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附件3</w:t>
      </w:r>
    </w:p>
    <w:p>
      <w:pPr>
        <w:widowControl/>
        <w:shd w:val="clear" w:color="auto" w:fill="FFFFFF"/>
        <w:jc w:val="center"/>
        <w:rPr>
          <w:rFonts w:hint="eastAsia"/>
        </w:rPr>
      </w:pPr>
      <w:bookmarkStart w:id="0" w:name="_GoBack"/>
      <w:r>
        <w:rPr>
          <w:rFonts w:hint="eastAsia" w:ascii="黑体" w:hAnsi="黑体" w:eastAsia="黑体" w:cs="黑体"/>
          <w:color w:val="333333"/>
          <w:kern w:val="0"/>
          <w:sz w:val="32"/>
          <w:szCs w:val="32"/>
        </w:rPr>
        <w:t>失效的</w:t>
      </w:r>
      <w:r>
        <w:rPr>
          <w:rFonts w:hint="eastAsia" w:ascii="黑体" w:hAnsi="黑体" w:eastAsia="黑体" w:cs="黑体"/>
          <w:color w:val="333333"/>
          <w:kern w:val="0"/>
          <w:sz w:val="32"/>
          <w:szCs w:val="32"/>
          <w:lang w:eastAsia="zh-CN"/>
        </w:rPr>
        <w:t>印花税优惠政策</w:t>
      </w:r>
      <w:r>
        <w:rPr>
          <w:rFonts w:hint="eastAsia" w:ascii="黑体" w:hAnsi="黑体" w:eastAsia="黑体" w:cs="黑体"/>
          <w:color w:val="333333"/>
          <w:kern w:val="0"/>
          <w:sz w:val="32"/>
          <w:szCs w:val="32"/>
        </w:rPr>
        <w:t>文件</w:t>
      </w:r>
      <w:r>
        <w:rPr>
          <w:rFonts w:hint="eastAsia" w:ascii="黑体" w:hAnsi="黑体" w:eastAsia="黑体" w:cs="黑体"/>
          <w:color w:val="333333"/>
          <w:kern w:val="0"/>
          <w:sz w:val="32"/>
          <w:szCs w:val="32"/>
          <w:lang w:eastAsia="zh-CN"/>
        </w:rPr>
        <w:t>及</w:t>
      </w:r>
      <w:r>
        <w:rPr>
          <w:rFonts w:hint="eastAsia" w:ascii="黑体" w:hAnsi="黑体" w:eastAsia="黑体" w:cs="黑体"/>
          <w:color w:val="333333"/>
          <w:kern w:val="0"/>
          <w:sz w:val="32"/>
          <w:szCs w:val="32"/>
        </w:rPr>
        <w:t>条款目录</w:t>
      </w:r>
    </w:p>
    <w:bookmarkEnd w:id="0"/>
    <w:tbl>
      <w:tblPr>
        <w:tblStyle w:val="10"/>
        <w:tblpPr w:leftFromText="180" w:rightFromText="180" w:vertAnchor="text" w:horzAnchor="page" w:tblpX="1177" w:tblpY="1039"/>
        <w:tblOverlap w:val="never"/>
        <w:tblW w:w="9788" w:type="dxa"/>
        <w:tblInd w:w="0" w:type="dxa"/>
        <w:tblLayout w:type="autofit"/>
        <w:tblCellMar>
          <w:top w:w="0" w:type="dxa"/>
          <w:left w:w="108" w:type="dxa"/>
          <w:bottom w:w="0" w:type="dxa"/>
          <w:right w:w="108" w:type="dxa"/>
        </w:tblCellMar>
      </w:tblPr>
      <w:tblGrid>
        <w:gridCol w:w="842"/>
        <w:gridCol w:w="5769"/>
        <w:gridCol w:w="3177"/>
      </w:tblGrid>
      <w:tr>
        <w:tblPrEx>
          <w:tblCellMar>
            <w:top w:w="0" w:type="dxa"/>
            <w:left w:w="108" w:type="dxa"/>
            <w:bottom w:w="0" w:type="dxa"/>
            <w:right w:w="108" w:type="dxa"/>
          </w:tblCellMar>
        </w:tblPrEx>
        <w:trPr>
          <w:trHeight w:val="561" w:hRule="atLeast"/>
          <w:tblHeader/>
        </w:trPr>
        <w:tc>
          <w:tcPr>
            <w:tcW w:w="8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黑体" w:hAnsi="黑体" w:eastAsia="黑体" w:cs="黑体"/>
                <w:color w:val="000000"/>
                <w:sz w:val="28"/>
                <w:szCs w:val="28"/>
              </w:rPr>
            </w:pPr>
            <w:r>
              <w:rPr>
                <w:rFonts w:hint="eastAsia" w:ascii="黑体" w:hAnsi="黑体" w:eastAsia="黑体" w:cs="黑体"/>
                <w:color w:val="000000"/>
                <w:kern w:val="0"/>
                <w:sz w:val="28"/>
                <w:szCs w:val="28"/>
                <w:lang w:bidi="ar"/>
              </w:rPr>
              <w:t>序号</w:t>
            </w:r>
          </w:p>
        </w:tc>
        <w:tc>
          <w:tcPr>
            <w:tcW w:w="57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黑体" w:hAnsi="黑体" w:eastAsia="黑体" w:cs="黑体"/>
                <w:color w:val="000000"/>
                <w:sz w:val="28"/>
                <w:szCs w:val="28"/>
              </w:rPr>
            </w:pPr>
            <w:r>
              <w:rPr>
                <w:rFonts w:hint="eastAsia" w:ascii="黑体" w:hAnsi="黑体" w:eastAsia="黑体" w:cs="黑体"/>
                <w:color w:val="000000"/>
                <w:kern w:val="0"/>
                <w:sz w:val="28"/>
                <w:szCs w:val="28"/>
                <w:lang w:bidi="ar"/>
              </w:rPr>
              <w:t>文件标题</w:t>
            </w:r>
            <w:r>
              <w:rPr>
                <w:rFonts w:hint="eastAsia" w:ascii="黑体" w:hAnsi="黑体" w:eastAsia="黑体" w:cs="黑体"/>
                <w:color w:val="000000"/>
                <w:kern w:val="0"/>
                <w:sz w:val="28"/>
                <w:szCs w:val="28"/>
                <w:lang w:eastAsia="zh-CN" w:bidi="ar"/>
              </w:rPr>
              <w:t>及</w:t>
            </w:r>
            <w:r>
              <w:rPr>
                <w:rFonts w:hint="eastAsia" w:ascii="黑体" w:hAnsi="黑体" w:eastAsia="黑体" w:cs="黑体"/>
                <w:color w:val="000000"/>
                <w:kern w:val="0"/>
                <w:sz w:val="28"/>
                <w:szCs w:val="28"/>
                <w:lang w:bidi="ar"/>
              </w:rPr>
              <w:t>条款</w:t>
            </w: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黑体" w:hAnsi="黑体" w:eastAsia="黑体" w:cs="黑体"/>
                <w:color w:val="000000"/>
                <w:sz w:val="28"/>
                <w:szCs w:val="28"/>
              </w:rPr>
            </w:pPr>
            <w:r>
              <w:rPr>
                <w:rFonts w:hint="eastAsia" w:ascii="黑体" w:hAnsi="黑体" w:eastAsia="黑体" w:cs="黑体"/>
                <w:color w:val="000000"/>
                <w:kern w:val="0"/>
                <w:sz w:val="28"/>
                <w:szCs w:val="28"/>
                <w:lang w:bidi="ar"/>
              </w:rPr>
              <w:t>文号</w:t>
            </w:r>
          </w:p>
        </w:tc>
      </w:tr>
      <w:tr>
        <w:tblPrEx>
          <w:tblCellMar>
            <w:top w:w="0" w:type="dxa"/>
            <w:left w:w="108" w:type="dxa"/>
            <w:bottom w:w="0" w:type="dxa"/>
            <w:right w:w="108" w:type="dxa"/>
          </w:tblCellMar>
        </w:tblPrEx>
        <w:trPr>
          <w:trHeight w:val="1408" w:hRule="atLeast"/>
        </w:trPr>
        <w:tc>
          <w:tcPr>
            <w:tcW w:w="84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olor w:val="auto"/>
                <w:kern w:val="0"/>
                <w:sz w:val="30"/>
                <w:szCs w:val="30"/>
                <w:highlight w:val="none"/>
                <w:u w:val="none"/>
                <w:lang w:val="en-US" w:eastAsia="zh-CN" w:bidi="ar"/>
              </w:rPr>
              <w:t>1</w:t>
            </w:r>
          </w:p>
        </w:tc>
        <w:tc>
          <w:tcPr>
            <w:tcW w:w="5769"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30"/>
                <w:szCs w:val="30"/>
                <w:lang w:val="en-US"/>
              </w:rPr>
            </w:pPr>
            <w:r>
              <w:rPr>
                <w:rFonts w:hint="eastAsia" w:ascii="仿宋_GB2312" w:hAnsi="仿宋_GB2312" w:eastAsia="仿宋_GB2312" w:cs="仿宋_GB2312"/>
                <w:i w:val="0"/>
                <w:color w:val="auto"/>
                <w:kern w:val="0"/>
                <w:sz w:val="30"/>
                <w:szCs w:val="30"/>
                <w:highlight w:val="none"/>
                <w:u w:val="none"/>
                <w:lang w:val="en-US" w:eastAsia="zh-CN" w:bidi="ar"/>
              </w:rPr>
              <w:t>《国家税务总局关于货运凭证征收印花税几个具体问题的通知》第五条第3项</w:t>
            </w:r>
          </w:p>
        </w:tc>
        <w:tc>
          <w:tcPr>
            <w:tcW w:w="3177"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olor w:val="auto"/>
                <w:kern w:val="0"/>
                <w:sz w:val="30"/>
                <w:szCs w:val="30"/>
                <w:highlight w:val="none"/>
                <w:u w:val="none"/>
                <w:lang w:val="en-US" w:eastAsia="zh-CN" w:bidi="ar"/>
              </w:rPr>
              <w:t>国税发</w:t>
            </w:r>
            <w:r>
              <w:rPr>
                <w:rFonts w:hint="eastAsia" w:ascii="仿宋_GB2312" w:hAnsi="仿宋_GB2312" w:eastAsia="仿宋_GB2312" w:cs="仿宋_GB2312"/>
                <w:i w:val="0"/>
                <w:color w:val="000000"/>
                <w:kern w:val="0"/>
                <w:sz w:val="30"/>
                <w:szCs w:val="30"/>
                <w:highlight w:val="none"/>
                <w:u w:val="none"/>
                <w:lang w:val="en-US" w:eastAsia="zh-CN" w:bidi="ar"/>
              </w:rPr>
              <w:t>〔1990〕</w:t>
            </w:r>
            <w:r>
              <w:rPr>
                <w:rFonts w:hint="eastAsia" w:ascii="仿宋_GB2312" w:hAnsi="仿宋_GB2312" w:eastAsia="仿宋_GB2312" w:cs="仿宋_GB2312"/>
                <w:i w:val="0"/>
                <w:color w:val="auto"/>
                <w:kern w:val="0"/>
                <w:sz w:val="30"/>
                <w:szCs w:val="30"/>
                <w:highlight w:val="none"/>
                <w:u w:val="none"/>
                <w:lang w:val="en-US" w:eastAsia="zh-CN" w:bidi="ar"/>
              </w:rPr>
              <w:t>173号</w:t>
            </w:r>
          </w:p>
        </w:tc>
      </w:tr>
      <w:tr>
        <w:tblPrEx>
          <w:tblCellMar>
            <w:top w:w="0" w:type="dxa"/>
            <w:left w:w="108" w:type="dxa"/>
            <w:bottom w:w="0" w:type="dxa"/>
            <w:right w:w="108" w:type="dxa"/>
          </w:tblCellMar>
        </w:tblPrEx>
        <w:trPr>
          <w:trHeight w:val="1495" w:hRule="atLeast"/>
        </w:trPr>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i w:val="0"/>
                <w:color w:val="000000"/>
                <w:kern w:val="0"/>
                <w:sz w:val="30"/>
                <w:szCs w:val="30"/>
                <w:highlight w:val="none"/>
                <w:u w:val="none"/>
                <w:lang w:val="en-US" w:eastAsia="zh-CN" w:bidi="ar"/>
              </w:rPr>
              <w:t>2</w:t>
            </w:r>
          </w:p>
        </w:tc>
        <w:tc>
          <w:tcPr>
            <w:tcW w:w="5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国家税务总局关于国家开发银行缴纳印花税问题的复函 》第三条</w:t>
            </w: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olor w:val="000000"/>
                <w:kern w:val="0"/>
                <w:sz w:val="30"/>
                <w:szCs w:val="30"/>
                <w:highlight w:val="none"/>
                <w:u w:val="none"/>
                <w:lang w:val="en-US" w:eastAsia="zh-CN" w:bidi="ar"/>
              </w:rPr>
              <w:t>财税字〔1995〕47号</w:t>
            </w:r>
          </w:p>
        </w:tc>
      </w:tr>
      <w:tr>
        <w:tblPrEx>
          <w:tblCellMar>
            <w:top w:w="0" w:type="dxa"/>
            <w:left w:w="108" w:type="dxa"/>
            <w:bottom w:w="0" w:type="dxa"/>
            <w:right w:w="108" w:type="dxa"/>
          </w:tblCellMar>
        </w:tblPrEx>
        <w:trPr>
          <w:trHeight w:val="1495" w:hRule="atLeast"/>
        </w:trPr>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3</w:t>
            </w:r>
          </w:p>
        </w:tc>
        <w:tc>
          <w:tcPr>
            <w:tcW w:w="5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国家税务总局关于铁道部所属单位恢复征收印花税问题的通知》第三条</w:t>
            </w: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olor w:val="000000"/>
                <w:kern w:val="0"/>
                <w:sz w:val="30"/>
                <w:szCs w:val="30"/>
                <w:highlight w:val="none"/>
                <w:u w:val="none"/>
                <w:lang w:val="en-US" w:eastAsia="zh-CN" w:bidi="ar"/>
              </w:rPr>
              <w:t>财税字〔1997〕56号</w:t>
            </w:r>
          </w:p>
        </w:tc>
      </w:tr>
      <w:tr>
        <w:tblPrEx>
          <w:tblCellMar>
            <w:top w:w="0" w:type="dxa"/>
            <w:left w:w="108" w:type="dxa"/>
            <w:bottom w:w="0" w:type="dxa"/>
            <w:right w:w="108" w:type="dxa"/>
          </w:tblCellMar>
        </w:tblPrEx>
        <w:trPr>
          <w:trHeight w:val="1582" w:hRule="atLeast"/>
        </w:trPr>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b w:val="0"/>
                <w:bCs w:val="0"/>
                <w:i w:val="0"/>
                <w:color w:val="000000"/>
                <w:kern w:val="0"/>
                <w:sz w:val="30"/>
                <w:szCs w:val="30"/>
                <w:highlight w:val="none"/>
                <w:u w:val="none"/>
                <w:lang w:val="en-US" w:eastAsia="zh-CN" w:bidi="ar"/>
              </w:rPr>
              <w:t>4</w:t>
            </w:r>
          </w:p>
        </w:tc>
        <w:tc>
          <w:tcPr>
            <w:tcW w:w="5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b w:val="0"/>
                <w:bCs w:val="0"/>
                <w:i w:val="0"/>
                <w:color w:val="000000"/>
                <w:kern w:val="0"/>
                <w:sz w:val="30"/>
                <w:szCs w:val="30"/>
                <w:highlight w:val="none"/>
                <w:u w:val="none"/>
                <w:lang w:val="en-US" w:eastAsia="zh-CN" w:bidi="ar"/>
              </w:rPr>
              <w:t>《财政部 国家税务总局关于铁道部所属单位恢复征收印花税问题的补充通知》第六条</w:t>
            </w: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b w:val="0"/>
                <w:bCs w:val="0"/>
                <w:i w:val="0"/>
                <w:color w:val="000000"/>
                <w:kern w:val="0"/>
                <w:sz w:val="30"/>
                <w:szCs w:val="30"/>
                <w:highlight w:val="none"/>
                <w:u w:val="none"/>
                <w:lang w:val="en-US" w:eastAsia="zh-CN" w:bidi="ar"/>
              </w:rPr>
              <w:t>财税字〔1997〕182号</w:t>
            </w:r>
          </w:p>
        </w:tc>
      </w:tr>
      <w:tr>
        <w:tblPrEx>
          <w:tblCellMar>
            <w:top w:w="0" w:type="dxa"/>
            <w:left w:w="108" w:type="dxa"/>
            <w:bottom w:w="0" w:type="dxa"/>
            <w:right w:w="108" w:type="dxa"/>
          </w:tblCellMar>
        </w:tblPrEx>
        <w:trPr>
          <w:trHeight w:val="2721" w:hRule="atLeast"/>
        </w:trPr>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5</w:t>
            </w:r>
          </w:p>
        </w:tc>
        <w:tc>
          <w:tcPr>
            <w:tcW w:w="5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i w:val="0"/>
                <w:color w:val="auto"/>
                <w:kern w:val="0"/>
                <w:sz w:val="30"/>
                <w:szCs w:val="30"/>
                <w:highlight w:val="none"/>
                <w:u w:val="none"/>
                <w:lang w:val="en-US" w:eastAsia="zh-CN" w:bidi="ar"/>
              </w:rPr>
              <w:t>《中国人民银行 农业农村部 国家发展计划委员会 财政部 国家税务总局关于免缴农村信用社接收农村合作基金会财产产权过户税费的通知》中关于印花税的政策</w:t>
            </w: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i w:val="0"/>
                <w:color w:val="auto"/>
                <w:kern w:val="0"/>
                <w:sz w:val="30"/>
                <w:szCs w:val="30"/>
                <w:highlight w:val="none"/>
                <w:u w:val="none"/>
                <w:lang w:val="en-US" w:eastAsia="zh-CN" w:bidi="ar"/>
              </w:rPr>
              <w:t>银发〔2000〕21号</w:t>
            </w:r>
          </w:p>
        </w:tc>
      </w:tr>
      <w:tr>
        <w:tblPrEx>
          <w:tblCellMar>
            <w:top w:w="0" w:type="dxa"/>
            <w:left w:w="108" w:type="dxa"/>
            <w:bottom w:w="0" w:type="dxa"/>
            <w:right w:w="108" w:type="dxa"/>
          </w:tblCellMar>
        </w:tblPrEx>
        <w:trPr>
          <w:trHeight w:val="2076" w:hRule="atLeast"/>
        </w:trPr>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6</w:t>
            </w:r>
          </w:p>
        </w:tc>
        <w:tc>
          <w:tcPr>
            <w:tcW w:w="5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国家税务总局关于免征中国华润总公司有关新增实收资本资本公积印花税的通知》</w:t>
            </w: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olor w:val="000000"/>
                <w:kern w:val="0"/>
                <w:sz w:val="30"/>
                <w:szCs w:val="30"/>
                <w:highlight w:val="none"/>
                <w:u w:val="none"/>
                <w:lang w:val="en-US" w:eastAsia="zh-CN" w:bidi="ar"/>
              </w:rPr>
              <w:t>财税〔2001〕155号</w:t>
            </w:r>
          </w:p>
        </w:tc>
      </w:tr>
      <w:tr>
        <w:tblPrEx>
          <w:tblCellMar>
            <w:top w:w="0" w:type="dxa"/>
            <w:left w:w="108" w:type="dxa"/>
            <w:bottom w:w="0" w:type="dxa"/>
            <w:right w:w="108" w:type="dxa"/>
          </w:tblCellMar>
        </w:tblPrEx>
        <w:trPr>
          <w:trHeight w:val="1560" w:hRule="atLeast"/>
        </w:trPr>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0"/>
                <w:szCs w:val="30"/>
                <w:highlight w:val="none"/>
                <w:u w:val="none"/>
                <w:lang w:val="en-US" w:eastAsia="zh-CN"/>
              </w:rPr>
            </w:pPr>
            <w:r>
              <w:rPr>
                <w:rFonts w:hint="eastAsia" w:ascii="仿宋_GB2312" w:hAnsi="仿宋_GB2312" w:eastAsia="仿宋_GB2312" w:cs="仿宋_GB2312"/>
                <w:i w:val="0"/>
                <w:color w:val="000000"/>
                <w:sz w:val="30"/>
                <w:szCs w:val="30"/>
                <w:highlight w:val="none"/>
                <w:u w:val="none"/>
                <w:lang w:val="en-US" w:eastAsia="zh-CN"/>
              </w:rPr>
              <w:t>7</w:t>
            </w:r>
          </w:p>
        </w:tc>
        <w:tc>
          <w:tcPr>
            <w:tcW w:w="5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国家税务总局关于中国对外贸易运输（集团）总公司有关印花税政策的通知》</w:t>
            </w: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i w:val="0"/>
                <w:color w:val="000000"/>
                <w:kern w:val="0"/>
                <w:sz w:val="30"/>
                <w:szCs w:val="30"/>
                <w:highlight w:val="none"/>
                <w:u w:val="none"/>
                <w:lang w:val="en-US" w:eastAsia="zh-CN" w:bidi="ar"/>
              </w:rPr>
              <w:t>财税〔2003〕7号</w:t>
            </w:r>
          </w:p>
        </w:tc>
      </w:tr>
      <w:tr>
        <w:tblPrEx>
          <w:tblCellMar>
            <w:top w:w="0" w:type="dxa"/>
            <w:left w:w="108" w:type="dxa"/>
            <w:bottom w:w="0" w:type="dxa"/>
            <w:right w:w="108" w:type="dxa"/>
          </w:tblCellMar>
        </w:tblPrEx>
        <w:trPr>
          <w:trHeight w:val="960" w:hRule="atLeast"/>
        </w:trPr>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8</w:t>
            </w:r>
          </w:p>
        </w:tc>
        <w:tc>
          <w:tcPr>
            <w:tcW w:w="5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国家税务总局关于大连证券破产及财产处置过程中有关税收政策问题的通知》第一条</w:t>
            </w: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olor w:val="000000"/>
                <w:kern w:val="0"/>
                <w:sz w:val="30"/>
                <w:szCs w:val="30"/>
                <w:highlight w:val="none"/>
                <w:u w:val="none"/>
                <w:lang w:val="en-US" w:eastAsia="zh-CN" w:bidi="ar"/>
              </w:rPr>
              <w:t>财税〔2003〕88号</w:t>
            </w:r>
          </w:p>
        </w:tc>
      </w:tr>
      <w:tr>
        <w:tblPrEx>
          <w:tblCellMar>
            <w:top w:w="0" w:type="dxa"/>
            <w:left w:w="108" w:type="dxa"/>
            <w:bottom w:w="0" w:type="dxa"/>
            <w:right w:w="108" w:type="dxa"/>
          </w:tblCellMar>
        </w:tblPrEx>
        <w:trPr>
          <w:trHeight w:val="1335" w:hRule="atLeast"/>
        </w:trPr>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9</w:t>
            </w:r>
          </w:p>
        </w:tc>
        <w:tc>
          <w:tcPr>
            <w:tcW w:w="5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国家税务总局关于香港中银集团重组上市有关税收问题的通知》第六条</w:t>
            </w: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olor w:val="000000"/>
                <w:kern w:val="0"/>
                <w:sz w:val="30"/>
                <w:szCs w:val="30"/>
                <w:highlight w:val="none"/>
                <w:u w:val="none"/>
                <w:lang w:val="en-US" w:eastAsia="zh-CN" w:bidi="ar"/>
              </w:rPr>
              <w:t>财税〔2003〕126号</w:t>
            </w:r>
          </w:p>
        </w:tc>
      </w:tr>
      <w:tr>
        <w:tblPrEx>
          <w:tblCellMar>
            <w:top w:w="0" w:type="dxa"/>
            <w:left w:w="108" w:type="dxa"/>
            <w:bottom w:w="0" w:type="dxa"/>
            <w:right w:w="108" w:type="dxa"/>
          </w:tblCellMar>
        </w:tblPrEx>
        <w:trPr>
          <w:trHeight w:val="1894" w:hRule="atLeast"/>
        </w:trPr>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i w:val="0"/>
                <w:color w:val="000000"/>
                <w:sz w:val="30"/>
                <w:szCs w:val="30"/>
                <w:highlight w:val="none"/>
                <w:u w:val="none"/>
                <w:lang w:val="en-US" w:eastAsia="zh-CN"/>
              </w:rPr>
              <w:t>10</w:t>
            </w:r>
          </w:p>
        </w:tc>
        <w:tc>
          <w:tcPr>
            <w:tcW w:w="5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国家税务总局关于中国华润总公司资产评估增值有关企业所得税和印花税政策的通知》第二条</w:t>
            </w: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olor w:val="000000"/>
                <w:kern w:val="0"/>
                <w:sz w:val="30"/>
                <w:szCs w:val="30"/>
                <w:highlight w:val="none"/>
                <w:u w:val="none"/>
                <w:lang w:val="en-US" w:eastAsia="zh-CN" w:bidi="ar"/>
              </w:rPr>
              <w:t>财税〔2003〕214号</w:t>
            </w:r>
          </w:p>
        </w:tc>
      </w:tr>
      <w:tr>
        <w:tblPrEx>
          <w:tblCellMar>
            <w:top w:w="0" w:type="dxa"/>
            <w:left w:w="108" w:type="dxa"/>
            <w:bottom w:w="0" w:type="dxa"/>
            <w:right w:w="108" w:type="dxa"/>
          </w:tblCellMar>
        </w:tblPrEx>
        <w:trPr>
          <w:trHeight w:val="2379" w:hRule="atLeast"/>
        </w:trPr>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11</w:t>
            </w:r>
          </w:p>
        </w:tc>
        <w:tc>
          <w:tcPr>
            <w:tcW w:w="5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国家税务总局关于中国长江电力股份有限公司上市及收购三峡发电资产有关税收问题的通知》第二条中关于印花税的政策</w:t>
            </w: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olor w:val="000000"/>
                <w:kern w:val="0"/>
                <w:sz w:val="30"/>
                <w:szCs w:val="30"/>
                <w:highlight w:val="none"/>
                <w:u w:val="none"/>
                <w:lang w:val="en-US" w:eastAsia="zh-CN" w:bidi="ar"/>
              </w:rPr>
              <w:t>财税〔2003〕235号</w:t>
            </w:r>
          </w:p>
        </w:tc>
      </w:tr>
      <w:tr>
        <w:tblPrEx>
          <w:tblCellMar>
            <w:top w:w="0" w:type="dxa"/>
            <w:left w:w="108" w:type="dxa"/>
            <w:bottom w:w="0" w:type="dxa"/>
            <w:right w:w="108" w:type="dxa"/>
          </w:tblCellMar>
        </w:tblPrEx>
        <w:trPr>
          <w:trHeight w:val="1271" w:hRule="atLeast"/>
        </w:trPr>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12</w:t>
            </w:r>
          </w:p>
        </w:tc>
        <w:tc>
          <w:tcPr>
            <w:tcW w:w="5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国家税务总局关于明确三峡发电资产有关印花税问题的通知》</w:t>
            </w: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olor w:val="000000"/>
                <w:kern w:val="0"/>
                <w:sz w:val="30"/>
                <w:szCs w:val="30"/>
                <w:highlight w:val="none"/>
                <w:u w:val="none"/>
                <w:lang w:val="en-US" w:eastAsia="zh-CN" w:bidi="ar"/>
              </w:rPr>
              <w:t>财税〔2004〕183号</w:t>
            </w:r>
          </w:p>
        </w:tc>
      </w:tr>
      <w:tr>
        <w:tblPrEx>
          <w:tblCellMar>
            <w:top w:w="0" w:type="dxa"/>
            <w:left w:w="108" w:type="dxa"/>
            <w:bottom w:w="0" w:type="dxa"/>
            <w:right w:w="108" w:type="dxa"/>
          </w:tblCellMar>
        </w:tblPrEx>
        <w:trPr>
          <w:trHeight w:val="1062" w:hRule="atLeast"/>
        </w:trPr>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13</w:t>
            </w:r>
          </w:p>
        </w:tc>
        <w:tc>
          <w:tcPr>
            <w:tcW w:w="5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国家税务总局关于免征中央汇金投资有限公司资金账簿印花税的通知》</w:t>
            </w: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olor w:val="000000"/>
                <w:kern w:val="0"/>
                <w:sz w:val="30"/>
                <w:szCs w:val="30"/>
                <w:highlight w:val="none"/>
                <w:u w:val="none"/>
                <w:lang w:val="en-US" w:eastAsia="zh-CN" w:bidi="ar"/>
              </w:rPr>
              <w:t>财税〔2005〕16号</w:t>
            </w:r>
          </w:p>
        </w:tc>
      </w:tr>
      <w:tr>
        <w:tblPrEx>
          <w:tblCellMar>
            <w:top w:w="0" w:type="dxa"/>
            <w:left w:w="108" w:type="dxa"/>
            <w:bottom w:w="0" w:type="dxa"/>
            <w:right w:w="108" w:type="dxa"/>
          </w:tblCellMar>
        </w:tblPrEx>
        <w:trPr>
          <w:trHeight w:val="1492" w:hRule="atLeast"/>
        </w:trPr>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14</w:t>
            </w:r>
          </w:p>
        </w:tc>
        <w:tc>
          <w:tcPr>
            <w:tcW w:w="5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国家税务总局关于国家石油储备基地建设有关税收政策的通知》 第一条中关于印花税的政策</w:t>
            </w: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olor w:val="000000"/>
                <w:kern w:val="0"/>
                <w:sz w:val="30"/>
                <w:szCs w:val="30"/>
                <w:highlight w:val="none"/>
                <w:u w:val="none"/>
                <w:lang w:val="en-US" w:eastAsia="zh-CN" w:bidi="ar"/>
              </w:rPr>
              <w:t>财税〔2005〕23号</w:t>
            </w:r>
          </w:p>
        </w:tc>
      </w:tr>
      <w:tr>
        <w:tblPrEx>
          <w:tblCellMar>
            <w:top w:w="0" w:type="dxa"/>
            <w:left w:w="108" w:type="dxa"/>
            <w:bottom w:w="0" w:type="dxa"/>
            <w:right w:w="108" w:type="dxa"/>
          </w:tblCellMar>
        </w:tblPrEx>
        <w:trPr>
          <w:trHeight w:val="880" w:hRule="atLeast"/>
        </w:trPr>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15</w:t>
            </w:r>
          </w:p>
        </w:tc>
        <w:tc>
          <w:tcPr>
            <w:tcW w:w="5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国家税务总局关于中国建银投资有限责任公司有关税收政策问题的通知》第二条</w:t>
            </w: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olor w:val="000000"/>
                <w:kern w:val="0"/>
                <w:sz w:val="30"/>
                <w:szCs w:val="30"/>
                <w:highlight w:val="none"/>
                <w:u w:val="none"/>
                <w:lang w:val="en-US" w:eastAsia="zh-CN" w:bidi="ar"/>
              </w:rPr>
              <w:t>财税〔2005〕160号</w:t>
            </w:r>
          </w:p>
        </w:tc>
      </w:tr>
      <w:tr>
        <w:tblPrEx>
          <w:tblCellMar>
            <w:top w:w="0" w:type="dxa"/>
            <w:left w:w="108" w:type="dxa"/>
            <w:bottom w:w="0" w:type="dxa"/>
            <w:right w:w="108" w:type="dxa"/>
          </w:tblCellMar>
        </w:tblPrEx>
        <w:trPr>
          <w:trHeight w:val="1120" w:hRule="atLeast"/>
        </w:trPr>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16</w:t>
            </w:r>
          </w:p>
        </w:tc>
        <w:tc>
          <w:tcPr>
            <w:tcW w:w="5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国家税务总局关于中国石油化工集团公司受让部分国有股权有关证券（股票）交易印花税政策的通知》</w:t>
            </w: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olor w:val="000000"/>
                <w:kern w:val="0"/>
                <w:sz w:val="30"/>
                <w:szCs w:val="30"/>
                <w:highlight w:val="none"/>
                <w:u w:val="none"/>
                <w:lang w:val="en-US" w:eastAsia="zh-CN" w:bidi="ar"/>
              </w:rPr>
              <w:t>财税〔2006〕31号</w:t>
            </w:r>
          </w:p>
        </w:tc>
      </w:tr>
      <w:tr>
        <w:tblPrEx>
          <w:tblCellMar>
            <w:top w:w="0" w:type="dxa"/>
            <w:left w:w="108" w:type="dxa"/>
            <w:bottom w:w="0" w:type="dxa"/>
            <w:right w:w="108" w:type="dxa"/>
          </w:tblCellMar>
        </w:tblPrEx>
        <w:trPr>
          <w:trHeight w:val="1120" w:hRule="atLeast"/>
        </w:trPr>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17</w:t>
            </w:r>
          </w:p>
        </w:tc>
        <w:tc>
          <w:tcPr>
            <w:tcW w:w="5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国家税务总局关于大秦铁路改制上市有关税收问题的通知》第三条</w:t>
            </w: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i w:val="0"/>
                <w:color w:val="000000"/>
                <w:kern w:val="0"/>
                <w:sz w:val="30"/>
                <w:szCs w:val="30"/>
                <w:highlight w:val="none"/>
                <w:u w:val="none"/>
                <w:lang w:val="en-US" w:eastAsia="zh-CN" w:bidi="ar"/>
              </w:rPr>
              <w:t>财税〔2006〕32号</w:t>
            </w:r>
          </w:p>
        </w:tc>
      </w:tr>
      <w:tr>
        <w:tblPrEx>
          <w:tblCellMar>
            <w:top w:w="0" w:type="dxa"/>
            <w:left w:w="108" w:type="dxa"/>
            <w:bottom w:w="0" w:type="dxa"/>
            <w:right w:w="108" w:type="dxa"/>
          </w:tblCellMar>
        </w:tblPrEx>
        <w:trPr>
          <w:trHeight w:val="880" w:hRule="atLeast"/>
        </w:trPr>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18</w:t>
            </w:r>
          </w:p>
        </w:tc>
        <w:tc>
          <w:tcPr>
            <w:tcW w:w="5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b w:val="0"/>
                <w:bCs w:val="0"/>
                <w:i w:val="0"/>
                <w:color w:val="000000"/>
                <w:kern w:val="0"/>
                <w:sz w:val="30"/>
                <w:szCs w:val="30"/>
                <w:highlight w:val="none"/>
                <w:u w:val="none"/>
                <w:lang w:val="en-US" w:eastAsia="zh-CN" w:bidi="ar"/>
              </w:rPr>
              <w:t>《财政部 国家税务总局关于对美国驻华使馆购买馆员住宅免征印花税的通知》</w:t>
            </w: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color w:val="000000"/>
                <w:sz w:val="30"/>
                <w:szCs w:val="30"/>
              </w:rPr>
            </w:pPr>
            <w:r>
              <w:rPr>
                <w:rFonts w:hint="eastAsia" w:ascii="仿宋_GB2312" w:hAnsi="仿宋_GB2312" w:eastAsia="仿宋_GB2312" w:cs="仿宋_GB2312"/>
                <w:b w:val="0"/>
                <w:bCs w:val="0"/>
                <w:i w:val="0"/>
                <w:color w:val="000000"/>
                <w:kern w:val="0"/>
                <w:sz w:val="30"/>
                <w:szCs w:val="30"/>
                <w:highlight w:val="none"/>
                <w:u w:val="none"/>
                <w:lang w:val="en-US" w:eastAsia="zh-CN" w:bidi="ar"/>
              </w:rPr>
              <w:t>财税〔2006〕101号</w:t>
            </w:r>
          </w:p>
        </w:tc>
      </w:tr>
      <w:tr>
        <w:tblPrEx>
          <w:tblCellMar>
            <w:top w:w="0" w:type="dxa"/>
            <w:left w:w="108" w:type="dxa"/>
            <w:bottom w:w="0" w:type="dxa"/>
            <w:right w:w="108" w:type="dxa"/>
          </w:tblCellMar>
        </w:tblPrEx>
        <w:trPr>
          <w:trHeight w:val="1446" w:hRule="atLeast"/>
        </w:trPr>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19</w:t>
            </w:r>
          </w:p>
        </w:tc>
        <w:tc>
          <w:tcPr>
            <w:tcW w:w="5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国家税务总局关于广深铁路股份有限公司改制上市和资产收购有关税收问题的通知》第三条</w:t>
            </w: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olor w:val="000000"/>
                <w:kern w:val="0"/>
                <w:sz w:val="30"/>
                <w:szCs w:val="30"/>
                <w:highlight w:val="none"/>
                <w:u w:val="none"/>
                <w:lang w:val="en-US" w:eastAsia="zh-CN" w:bidi="ar"/>
              </w:rPr>
              <w:t>财税〔2008〕12号</w:t>
            </w:r>
          </w:p>
        </w:tc>
      </w:tr>
      <w:tr>
        <w:tblPrEx>
          <w:tblCellMar>
            <w:top w:w="0" w:type="dxa"/>
            <w:left w:w="108" w:type="dxa"/>
            <w:bottom w:w="0" w:type="dxa"/>
            <w:right w:w="108" w:type="dxa"/>
          </w:tblCellMar>
        </w:tblPrEx>
        <w:trPr>
          <w:trHeight w:val="1493" w:hRule="atLeast"/>
        </w:trPr>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20</w:t>
            </w:r>
          </w:p>
        </w:tc>
        <w:tc>
          <w:tcPr>
            <w:tcW w:w="5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国家税务总局关于北京德国文化中心·歌德学院（中国）在华房产有关契税和印花税问题的通知》中关于印花税的政策</w:t>
            </w: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olor w:val="000000"/>
                <w:kern w:val="0"/>
                <w:sz w:val="30"/>
                <w:szCs w:val="30"/>
                <w:highlight w:val="none"/>
                <w:u w:val="none"/>
                <w:lang w:val="en-US" w:eastAsia="zh-CN" w:bidi="ar"/>
              </w:rPr>
              <w:t>财税〔2009〕159号</w:t>
            </w:r>
          </w:p>
        </w:tc>
      </w:tr>
      <w:tr>
        <w:tblPrEx>
          <w:tblCellMar>
            <w:top w:w="0" w:type="dxa"/>
            <w:left w:w="108" w:type="dxa"/>
            <w:bottom w:w="0" w:type="dxa"/>
            <w:right w:w="108" w:type="dxa"/>
          </w:tblCellMar>
        </w:tblPrEx>
        <w:trPr>
          <w:trHeight w:val="1446" w:hRule="atLeast"/>
        </w:trPr>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kern w:val="0"/>
                <w:sz w:val="30"/>
                <w:szCs w:val="30"/>
                <w:lang w:val="en-US" w:eastAsia="zh-CN" w:bidi="ar"/>
              </w:rPr>
              <w:t>21</w:t>
            </w:r>
          </w:p>
        </w:tc>
        <w:tc>
          <w:tcPr>
            <w:tcW w:w="5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国家税务总局关于明确中国邮政集团公司邮政速递物流业务重组改制过程中有关契税和印花税政策的通知》第二条、第三条、第四条</w:t>
            </w: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olor w:val="000000"/>
                <w:kern w:val="0"/>
                <w:sz w:val="30"/>
                <w:szCs w:val="30"/>
                <w:highlight w:val="none"/>
                <w:u w:val="none"/>
                <w:lang w:val="en-US" w:eastAsia="zh-CN" w:bidi="ar"/>
              </w:rPr>
              <w:t>财税〔2010〕92号</w:t>
            </w:r>
          </w:p>
        </w:tc>
      </w:tr>
      <w:tr>
        <w:tblPrEx>
          <w:tblCellMar>
            <w:top w:w="0" w:type="dxa"/>
            <w:left w:w="108" w:type="dxa"/>
            <w:bottom w:w="0" w:type="dxa"/>
            <w:right w:w="108" w:type="dxa"/>
          </w:tblCellMar>
        </w:tblPrEx>
        <w:trPr>
          <w:trHeight w:val="1481" w:hRule="atLeast"/>
        </w:trPr>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kern w:val="0"/>
                <w:sz w:val="30"/>
                <w:szCs w:val="30"/>
                <w:lang w:val="en-US" w:eastAsia="zh-CN" w:bidi="ar"/>
              </w:rPr>
              <w:t>22</w:t>
            </w:r>
          </w:p>
        </w:tc>
        <w:tc>
          <w:tcPr>
            <w:tcW w:w="5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center"/>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国家税务总局关于中国信达资产管理股份有限公司改制过程中有关契税和印花税问题的通知》第二条</w:t>
            </w: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olor w:val="000000"/>
                <w:kern w:val="0"/>
                <w:sz w:val="30"/>
                <w:szCs w:val="30"/>
                <w:highlight w:val="none"/>
                <w:u w:val="none"/>
                <w:lang w:val="en-US" w:eastAsia="zh-CN" w:bidi="ar"/>
              </w:rPr>
              <w:t>财税〔2011〕2号</w:t>
            </w:r>
          </w:p>
        </w:tc>
      </w:tr>
      <w:tr>
        <w:tblPrEx>
          <w:tblCellMar>
            <w:top w:w="0" w:type="dxa"/>
            <w:left w:w="108" w:type="dxa"/>
            <w:bottom w:w="0" w:type="dxa"/>
            <w:right w:w="108" w:type="dxa"/>
          </w:tblCellMar>
        </w:tblPrEx>
        <w:trPr>
          <w:trHeight w:val="1435" w:hRule="atLeast"/>
        </w:trPr>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kern w:val="0"/>
                <w:sz w:val="30"/>
                <w:szCs w:val="30"/>
                <w:lang w:val="en-US" w:eastAsia="zh-CN" w:bidi="ar"/>
              </w:rPr>
              <w:t>23</w:t>
            </w:r>
          </w:p>
        </w:tc>
        <w:tc>
          <w:tcPr>
            <w:tcW w:w="5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国家税务总局关于中国联合网络通信集团有限公司转让CDMA网及其用户资产企业合并资产整合过程中涉及的增值税 营业税 印花税和土地增值税政策问题的通知》第四条、第五条、第六条、第七条、第八条</w:t>
            </w: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olor w:val="000000"/>
                <w:kern w:val="0"/>
                <w:sz w:val="30"/>
                <w:szCs w:val="30"/>
                <w:highlight w:val="none"/>
                <w:u w:val="none"/>
                <w:lang w:val="en-US" w:eastAsia="zh-CN" w:bidi="ar"/>
              </w:rPr>
              <w:t>财税〔2011〕13号</w:t>
            </w:r>
          </w:p>
        </w:tc>
      </w:tr>
      <w:tr>
        <w:tblPrEx>
          <w:tblCellMar>
            <w:top w:w="0" w:type="dxa"/>
            <w:left w:w="108" w:type="dxa"/>
            <w:bottom w:w="0" w:type="dxa"/>
            <w:right w:w="108" w:type="dxa"/>
          </w:tblCellMar>
        </w:tblPrEx>
        <w:trPr>
          <w:trHeight w:val="1503" w:hRule="atLeast"/>
        </w:trPr>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kern w:val="0"/>
                <w:sz w:val="30"/>
                <w:szCs w:val="30"/>
                <w:lang w:val="en-US" w:eastAsia="zh-CN" w:bidi="ar"/>
              </w:rPr>
              <w:t>24</w:t>
            </w:r>
          </w:p>
        </w:tc>
        <w:tc>
          <w:tcPr>
            <w:tcW w:w="5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国家税务总局关于全国社会保障基金理事会回拨已转持国有股有关证券（股票）交易印花税问题的通知》</w:t>
            </w: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olor w:val="000000"/>
                <w:kern w:val="0"/>
                <w:sz w:val="30"/>
                <w:szCs w:val="30"/>
                <w:highlight w:val="none"/>
                <w:u w:val="none"/>
                <w:lang w:val="en-US" w:eastAsia="zh-CN" w:bidi="ar"/>
              </w:rPr>
              <w:t>财税〔2011〕65号</w:t>
            </w:r>
          </w:p>
        </w:tc>
      </w:tr>
      <w:tr>
        <w:tblPrEx>
          <w:tblCellMar>
            <w:top w:w="0" w:type="dxa"/>
            <w:left w:w="108" w:type="dxa"/>
            <w:bottom w:w="0" w:type="dxa"/>
            <w:right w:w="108" w:type="dxa"/>
          </w:tblCellMar>
        </w:tblPrEx>
        <w:trPr>
          <w:trHeight w:val="1458" w:hRule="atLeast"/>
        </w:trPr>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kern w:val="0"/>
                <w:sz w:val="30"/>
                <w:szCs w:val="30"/>
                <w:lang w:val="en-US" w:eastAsia="zh-CN" w:bidi="ar"/>
              </w:rPr>
              <w:t>25</w:t>
            </w:r>
          </w:p>
        </w:tc>
        <w:tc>
          <w:tcPr>
            <w:tcW w:w="5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国家税务总局关于中国中信集团公司重组改制过程中土地增值税等政策的通知》第二条中关于印花税的政策</w:t>
            </w: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olor w:val="000000"/>
                <w:kern w:val="0"/>
                <w:sz w:val="30"/>
                <w:szCs w:val="30"/>
                <w:highlight w:val="none"/>
                <w:u w:val="none"/>
                <w:lang w:val="en-US" w:eastAsia="zh-CN" w:bidi="ar"/>
              </w:rPr>
              <w:t>财税〔2013〕3号</w:t>
            </w:r>
          </w:p>
        </w:tc>
      </w:tr>
      <w:tr>
        <w:tblPrEx>
          <w:tblCellMar>
            <w:top w:w="0" w:type="dxa"/>
            <w:left w:w="108" w:type="dxa"/>
            <w:bottom w:w="0" w:type="dxa"/>
            <w:right w:w="108" w:type="dxa"/>
          </w:tblCellMar>
        </w:tblPrEx>
        <w:trPr>
          <w:trHeight w:val="1451" w:hRule="atLeast"/>
        </w:trPr>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kern w:val="0"/>
                <w:sz w:val="30"/>
                <w:szCs w:val="30"/>
                <w:lang w:val="en-US" w:eastAsia="zh-CN" w:bidi="ar"/>
              </w:rPr>
              <w:t>26</w:t>
            </w:r>
          </w:p>
        </w:tc>
        <w:tc>
          <w:tcPr>
            <w:tcW w:w="5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center"/>
              <w:rPr>
                <w:rFonts w:hint="eastAsia" w:ascii="仿宋_GB2312" w:hAnsi="仿宋_GB2312" w:eastAsia="仿宋_GB2312" w:cs="仿宋_GB2312"/>
                <w:color w:val="000000"/>
                <w:sz w:val="30"/>
                <w:szCs w:val="30"/>
                <w:lang w:val="en-US"/>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国家税务总局关于第二届夏季青年奥林匹克运动会等三项国际综合运动会税收政策的通知》第一条第7项 、第二条第3项</w:t>
            </w: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olor w:val="000000"/>
                <w:kern w:val="0"/>
                <w:sz w:val="30"/>
                <w:szCs w:val="30"/>
                <w:highlight w:val="none"/>
                <w:u w:val="none"/>
                <w:lang w:val="en-US" w:eastAsia="zh-CN" w:bidi="ar"/>
              </w:rPr>
              <w:t>财税〔2013〕11号</w:t>
            </w:r>
          </w:p>
        </w:tc>
      </w:tr>
      <w:tr>
        <w:tblPrEx>
          <w:tblCellMar>
            <w:top w:w="0" w:type="dxa"/>
            <w:left w:w="108" w:type="dxa"/>
            <w:bottom w:w="0" w:type="dxa"/>
            <w:right w:w="108" w:type="dxa"/>
          </w:tblCellMar>
        </w:tblPrEx>
        <w:trPr>
          <w:trHeight w:val="1456" w:hRule="atLeast"/>
        </w:trPr>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kern w:val="0"/>
                <w:sz w:val="30"/>
                <w:szCs w:val="30"/>
                <w:lang w:val="en-US" w:eastAsia="zh-CN" w:bidi="ar"/>
              </w:rPr>
              <w:t>27</w:t>
            </w:r>
          </w:p>
        </w:tc>
        <w:tc>
          <w:tcPr>
            <w:tcW w:w="5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国家税务总局关于中国邮政储蓄银行改制上市有关税收政策的通知》第五条中关于印花税的政策</w:t>
            </w: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olor w:val="000000"/>
                <w:kern w:val="0"/>
                <w:sz w:val="30"/>
                <w:szCs w:val="30"/>
                <w:highlight w:val="none"/>
                <w:u w:val="none"/>
                <w:lang w:val="en-US" w:eastAsia="zh-CN" w:bidi="ar"/>
              </w:rPr>
              <w:t>财税〔2013〕53号</w:t>
            </w:r>
          </w:p>
        </w:tc>
      </w:tr>
      <w:tr>
        <w:tblPrEx>
          <w:tblCellMar>
            <w:top w:w="0" w:type="dxa"/>
            <w:left w:w="108" w:type="dxa"/>
            <w:bottom w:w="0" w:type="dxa"/>
            <w:right w:w="108" w:type="dxa"/>
          </w:tblCellMar>
        </w:tblPrEx>
        <w:trPr>
          <w:trHeight w:val="1456" w:hRule="atLeast"/>
        </w:trPr>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28</w:t>
            </w:r>
          </w:p>
        </w:tc>
        <w:tc>
          <w:tcPr>
            <w:tcW w:w="5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国家税务总局关于铁路发展基金有关税收政策的通知》第二条</w:t>
            </w: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i w:val="0"/>
                <w:color w:val="000000"/>
                <w:kern w:val="0"/>
                <w:sz w:val="30"/>
                <w:szCs w:val="30"/>
                <w:highlight w:val="none"/>
                <w:u w:val="none"/>
                <w:lang w:val="en-US" w:eastAsia="zh-CN" w:bidi="ar"/>
              </w:rPr>
              <w:t>财税〔2014〕56号</w:t>
            </w:r>
          </w:p>
        </w:tc>
      </w:tr>
      <w:tr>
        <w:tblPrEx>
          <w:tblCellMar>
            <w:top w:w="0" w:type="dxa"/>
            <w:left w:w="108" w:type="dxa"/>
            <w:bottom w:w="0" w:type="dxa"/>
            <w:right w:w="108" w:type="dxa"/>
          </w:tblCellMar>
        </w:tblPrEx>
        <w:trPr>
          <w:trHeight w:val="1456" w:hRule="atLeast"/>
        </w:trPr>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29</w:t>
            </w:r>
          </w:p>
        </w:tc>
        <w:tc>
          <w:tcPr>
            <w:tcW w:w="5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国家税务总局关于组建中国铁路总公司有关印花税政策的通知》</w:t>
            </w: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i w:val="0"/>
                <w:color w:val="000000"/>
                <w:kern w:val="0"/>
                <w:sz w:val="30"/>
                <w:szCs w:val="30"/>
                <w:highlight w:val="none"/>
                <w:u w:val="none"/>
                <w:lang w:val="en-US" w:eastAsia="zh-CN" w:bidi="ar"/>
              </w:rPr>
              <w:t>财税〔2015〕57号</w:t>
            </w:r>
          </w:p>
        </w:tc>
      </w:tr>
      <w:tr>
        <w:tblPrEx>
          <w:tblCellMar>
            <w:top w:w="0" w:type="dxa"/>
            <w:left w:w="108" w:type="dxa"/>
            <w:bottom w:w="0" w:type="dxa"/>
            <w:right w:w="108" w:type="dxa"/>
          </w:tblCellMar>
        </w:tblPrEx>
        <w:trPr>
          <w:trHeight w:val="1456" w:hRule="atLeast"/>
        </w:trPr>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30</w:t>
            </w:r>
          </w:p>
        </w:tc>
        <w:tc>
          <w:tcPr>
            <w:tcW w:w="5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国家税务总局关于中国华融资产管理股份有限公司改制过程中有关印花税政策的通知》</w:t>
            </w: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i w:val="0"/>
                <w:color w:val="000000"/>
                <w:kern w:val="0"/>
                <w:sz w:val="30"/>
                <w:szCs w:val="30"/>
                <w:highlight w:val="none"/>
                <w:u w:val="none"/>
                <w:lang w:val="en-US" w:eastAsia="zh-CN" w:bidi="ar"/>
              </w:rPr>
              <w:t>财税〔2015〕109号</w:t>
            </w:r>
          </w:p>
        </w:tc>
      </w:tr>
      <w:tr>
        <w:tblPrEx>
          <w:tblCellMar>
            <w:top w:w="0" w:type="dxa"/>
            <w:left w:w="108" w:type="dxa"/>
            <w:bottom w:w="0" w:type="dxa"/>
            <w:right w:w="108" w:type="dxa"/>
          </w:tblCellMar>
        </w:tblPrEx>
        <w:trPr>
          <w:trHeight w:val="1456" w:hRule="atLeast"/>
        </w:trPr>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31</w:t>
            </w:r>
          </w:p>
        </w:tc>
        <w:tc>
          <w:tcPr>
            <w:tcW w:w="5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 xml:space="preserve">《财政部 税务总局 海关总署关于第七届世界军人运动会税收政策的通知》第二条第（三）项 </w:t>
            </w:r>
          </w:p>
        </w:tc>
        <w:tc>
          <w:tcPr>
            <w:tcW w:w="3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i w:val="0"/>
                <w:color w:val="000000"/>
                <w:kern w:val="0"/>
                <w:sz w:val="30"/>
                <w:szCs w:val="30"/>
                <w:highlight w:val="none"/>
                <w:u w:val="none"/>
                <w:lang w:val="en-US" w:eastAsia="zh-CN" w:bidi="ar"/>
              </w:rPr>
              <w:t>财税〔2018〕119号</w:t>
            </w:r>
          </w:p>
        </w:tc>
      </w:tr>
    </w:tbl>
    <w:p>
      <w:pPr>
        <w:widowControl/>
        <w:shd w:val="clear" w:color="auto" w:fill="FFFFFF"/>
        <w:jc w:val="center"/>
        <w:rPr>
          <w:rFonts w:hint="eastAsia" w:ascii="黑体" w:hAnsi="黑体" w:eastAsia="黑体" w:cs="黑体"/>
          <w:color w:val="333333"/>
          <w:kern w:val="0"/>
          <w:sz w:val="32"/>
          <w:szCs w:val="32"/>
        </w:rPr>
      </w:pPr>
    </w:p>
    <w:p>
      <w:pPr>
        <w:rPr>
          <w:rFonts w:hint="eastAsia" w:ascii="仿宋_GB2312" w:hAnsi="仿宋_GB2312" w:eastAsia="仿宋_GB2312" w:cs="仿宋_GB2312"/>
          <w:w w:val="90"/>
          <w:sz w:val="30"/>
          <w:szCs w:val="30"/>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1F0"/>
    <w:rsid w:val="001A7F06"/>
    <w:rsid w:val="003071F0"/>
    <w:rsid w:val="00B70155"/>
    <w:rsid w:val="00BC3EF9"/>
    <w:rsid w:val="1BDF6601"/>
    <w:rsid w:val="29E945EB"/>
    <w:rsid w:val="33D32F85"/>
    <w:rsid w:val="3B7E93A1"/>
    <w:rsid w:val="3EAB0813"/>
    <w:rsid w:val="3FED1370"/>
    <w:rsid w:val="43FD3B23"/>
    <w:rsid w:val="5FA23652"/>
    <w:rsid w:val="5FEFAED6"/>
    <w:rsid w:val="68D9CF3B"/>
    <w:rsid w:val="6CF99A79"/>
    <w:rsid w:val="6FDF9945"/>
    <w:rsid w:val="76F68328"/>
    <w:rsid w:val="77B77351"/>
    <w:rsid w:val="7D7E5714"/>
    <w:rsid w:val="7F7F1922"/>
    <w:rsid w:val="7F9F3FC3"/>
    <w:rsid w:val="7FF353AD"/>
    <w:rsid w:val="7FFFD707"/>
    <w:rsid w:val="A3D50BE7"/>
    <w:rsid w:val="AFED34B5"/>
    <w:rsid w:val="BDF52C4E"/>
    <w:rsid w:val="BDFB9AFE"/>
    <w:rsid w:val="BFEDCD93"/>
    <w:rsid w:val="BFEFB553"/>
    <w:rsid w:val="D6D7BD65"/>
    <w:rsid w:val="D7FB9F6F"/>
    <w:rsid w:val="DBF785CF"/>
    <w:rsid w:val="DE7D5709"/>
    <w:rsid w:val="DFFF6269"/>
    <w:rsid w:val="EDDD3A0F"/>
    <w:rsid w:val="F36EB5F9"/>
    <w:rsid w:val="F9ADEE55"/>
    <w:rsid w:val="FBF0042C"/>
    <w:rsid w:val="FFD85E62"/>
    <w:rsid w:val="FFDD7A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BodyText1I"/>
    <w:basedOn w:val="3"/>
    <w:qFormat/>
    <w:uiPriority w:val="99"/>
    <w:pPr>
      <w:spacing w:line="360" w:lineRule="auto"/>
      <w:ind w:firstLine="420" w:firstLineChars="100"/>
    </w:pPr>
    <w:rPr>
      <w:rFonts w:ascii="Times New Roman" w:hAnsi="Times New Roman"/>
      <w:sz w:val="28"/>
    </w:rPr>
  </w:style>
  <w:style w:type="paragraph" w:customStyle="1" w:styleId="3">
    <w:name w:val="BodyText"/>
    <w:basedOn w:val="1"/>
    <w:next w:val="4"/>
    <w:qFormat/>
    <w:uiPriority w:val="99"/>
    <w:pPr>
      <w:snapToGrid w:val="0"/>
      <w:spacing w:line="420" w:lineRule="auto"/>
      <w:ind w:firstLine="200" w:firstLineChars="200"/>
    </w:pPr>
    <w:rPr>
      <w:rFonts w:ascii="宋体" w:hAnsi="宋体"/>
      <w:sz w:val="24"/>
      <w:szCs w:val="20"/>
    </w:rPr>
  </w:style>
  <w:style w:type="paragraph" w:customStyle="1" w:styleId="4">
    <w:name w:val="UserStyle_0"/>
    <w:basedOn w:val="1"/>
    <w:qFormat/>
    <w:uiPriority w:val="99"/>
    <w:pPr>
      <w:spacing w:after="120"/>
      <w:ind w:firstLine="420" w:firstLineChars="100"/>
    </w:pPr>
    <w:rPr>
      <w:rFonts w:ascii="Times New Roman" w:hAnsi="Times New Roman"/>
    </w:rPr>
  </w:style>
  <w:style w:type="paragraph" w:styleId="5">
    <w:name w:val="Body Text"/>
    <w:basedOn w:val="1"/>
    <w:next w:val="6"/>
    <w:qFormat/>
    <w:uiPriority w:val="0"/>
    <w:pPr>
      <w:widowControl w:val="0"/>
      <w:autoSpaceDE w:val="0"/>
      <w:autoSpaceDN w:val="0"/>
      <w:adjustRightInd w:val="0"/>
      <w:snapToGrid w:val="0"/>
      <w:spacing w:line="588" w:lineRule="atLeast"/>
      <w:jc w:val="both"/>
    </w:pPr>
    <w:rPr>
      <w:rFonts w:ascii="宋体" w:hAnsi="宋体" w:eastAsia="仿宋_GB2312"/>
      <w:spacing w:val="-2"/>
      <w:sz w:val="32"/>
      <w:szCs w:val="24"/>
      <w:lang w:val="en-US" w:eastAsia="zh-CN" w:bidi="ar-SA"/>
    </w:rPr>
  </w:style>
  <w:style w:type="paragraph" w:styleId="6">
    <w:name w:val="toc 5"/>
    <w:basedOn w:val="1"/>
    <w:next w:val="1"/>
    <w:unhideWhenUsed/>
    <w:qFormat/>
    <w:uiPriority w:val="39"/>
    <w:pPr>
      <w:spacing w:line="600" w:lineRule="exact"/>
      <w:ind w:firstLine="720" w:firstLineChars="200"/>
    </w:pPr>
    <w:rPr>
      <w:rFonts w:ascii="Calibri" w:hAnsi="Calibri"/>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252</Words>
  <Characters>1438</Characters>
  <Lines>11</Lines>
  <Paragraphs>3</Paragraphs>
  <TotalTime>0</TotalTime>
  <ScaleCrop>false</ScaleCrop>
  <LinksUpToDate>false</LinksUpToDate>
  <CharactersWithSpaces>1687</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2014-11-06T20:08:00Z</dcterms:created>
  <dc:creator>Administrator</dc:creator>
  <cp:lastModifiedBy>kylin</cp:lastModifiedBy>
  <cp:lastPrinted>2021-08-14T08:42:00Z</cp:lastPrinted>
  <dcterms:modified xsi:type="dcterms:W3CDTF">2023-06-07T09:44:55Z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