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exact"/>
        <w:rPr>
          <w:rFonts w:eastAsia="黑体"/>
          <w:sz w:val="24"/>
        </w:rPr>
      </w:pPr>
      <w:r>
        <w:rPr>
          <w:rFonts w:eastAsia="黑体"/>
          <w:sz w:val="24"/>
        </w:rPr>
        <w:t>吴忠市红寺堡区三届人大</w:t>
      </w:r>
    </w:p>
    <w:p>
      <w:pPr>
        <w:overflowPunct w:val="0"/>
        <w:spacing w:line="400" w:lineRule="exact"/>
        <w:rPr>
          <w:b/>
          <w:sz w:val="28"/>
          <w:szCs w:val="28"/>
        </w:rPr>
      </w:pPr>
      <w:r>
        <w:rPr>
          <w:rFonts w:hint="eastAsia" w:eastAsia="黑体"/>
          <w:sz w:val="24"/>
        </w:rPr>
        <w:t>七</w:t>
      </w:r>
      <w:r>
        <w:rPr>
          <w:rFonts w:eastAsia="黑体"/>
          <w:sz w:val="24"/>
        </w:rPr>
        <w:t xml:space="preserve"> 次 会 议 文 件（</w:t>
      </w:r>
      <w:r>
        <w:rPr>
          <w:rFonts w:hint="eastAsia" w:eastAsia="黑体"/>
          <w:sz w:val="24"/>
        </w:rPr>
        <w:t>九</w:t>
      </w:r>
      <w:r>
        <w:rPr>
          <w:rFonts w:eastAsia="黑体"/>
          <w:sz w:val="24"/>
        </w:rPr>
        <w:t>）</w:t>
      </w:r>
    </w:p>
    <w:p>
      <w:pPr>
        <w:overflowPunct w:val="0"/>
        <w:spacing w:line="360" w:lineRule="exact"/>
      </w:pPr>
    </w:p>
    <w:p>
      <w:pPr>
        <w:tabs>
          <w:tab w:val="left" w:pos="1470"/>
        </w:tabs>
        <w:overflowPunct w:val="0"/>
        <w:snapToGrid w:val="0"/>
        <w:spacing w:line="660" w:lineRule="exact"/>
        <w:jc w:val="center"/>
        <w:rPr>
          <w:rFonts w:eastAsia="方正小标宋简体"/>
          <w:spacing w:val="-4"/>
          <w:sz w:val="44"/>
          <w:szCs w:val="44"/>
        </w:rPr>
      </w:pPr>
      <w:bookmarkStart w:id="2" w:name="_GoBack"/>
      <w:r>
        <w:rPr>
          <w:rFonts w:eastAsia="方正小标宋简体"/>
          <w:spacing w:val="-4"/>
          <w:sz w:val="44"/>
          <w:szCs w:val="44"/>
        </w:rPr>
        <w:t>关于吴忠市红寺堡区2020年财政预算执行情况</w:t>
      </w:r>
    </w:p>
    <w:p>
      <w:pPr>
        <w:tabs>
          <w:tab w:val="left" w:pos="1470"/>
        </w:tabs>
        <w:overflowPunct w:val="0"/>
        <w:snapToGrid w:val="0"/>
        <w:spacing w:after="468" w:afterLines="150" w:line="660" w:lineRule="exact"/>
        <w:jc w:val="center"/>
        <w:rPr>
          <w:rFonts w:eastAsia="方正小标宋简体"/>
          <w:sz w:val="44"/>
          <w:szCs w:val="44"/>
        </w:rPr>
      </w:pPr>
      <w:r>
        <w:rPr>
          <w:rFonts w:eastAsia="方正小标宋简体"/>
          <w:sz w:val="44"/>
          <w:szCs w:val="44"/>
        </w:rPr>
        <w:t>和2021年财政预算</w:t>
      </w:r>
      <w:r>
        <w:rPr>
          <w:rFonts w:hint="eastAsia" w:eastAsia="方正小标宋简体"/>
          <w:sz w:val="44"/>
          <w:szCs w:val="44"/>
        </w:rPr>
        <w:t>（</w:t>
      </w:r>
      <w:r>
        <w:rPr>
          <w:rFonts w:eastAsia="方正小标宋简体"/>
          <w:sz w:val="44"/>
          <w:szCs w:val="44"/>
        </w:rPr>
        <w:t>草案</w:t>
      </w:r>
      <w:r>
        <w:rPr>
          <w:rFonts w:hint="eastAsia" w:eastAsia="方正小标宋简体"/>
          <w:sz w:val="44"/>
          <w:szCs w:val="44"/>
        </w:rPr>
        <w:t>）</w:t>
      </w:r>
      <w:r>
        <w:rPr>
          <w:rFonts w:eastAsia="方正小标宋简体"/>
          <w:sz w:val="44"/>
          <w:szCs w:val="44"/>
        </w:rPr>
        <w:t>的报告</w:t>
      </w:r>
    </w:p>
    <w:bookmarkEnd w:id="2"/>
    <w:p>
      <w:pPr>
        <w:overflowPunct w:val="0"/>
        <w:spacing w:line="520" w:lineRule="exact"/>
        <w:jc w:val="center"/>
        <w:rPr>
          <w:rFonts w:eastAsia="楷体_GB2312"/>
          <w:b/>
          <w:bCs/>
          <w:sz w:val="30"/>
          <w:szCs w:val="30"/>
        </w:rPr>
      </w:pPr>
      <w:r>
        <w:rPr>
          <w:rFonts w:eastAsia="黑体"/>
          <w:b/>
          <w:bCs/>
          <w:sz w:val="30"/>
          <w:szCs w:val="30"/>
        </w:rPr>
        <w:t>——</w:t>
      </w:r>
      <w:r>
        <w:rPr>
          <w:rFonts w:eastAsia="楷体_GB2312"/>
          <w:b/>
          <w:bCs/>
          <w:sz w:val="30"/>
          <w:szCs w:val="30"/>
        </w:rPr>
        <w:t>2021年1月19日在红寺堡区第三届人民代表大会第</w:t>
      </w:r>
      <w:r>
        <w:rPr>
          <w:rFonts w:hint="eastAsia" w:eastAsia="楷体_GB2312"/>
          <w:b/>
          <w:bCs/>
          <w:sz w:val="30"/>
          <w:szCs w:val="30"/>
        </w:rPr>
        <w:t>七</w:t>
      </w:r>
      <w:r>
        <w:rPr>
          <w:rFonts w:eastAsia="楷体_GB2312"/>
          <w:b/>
          <w:bCs/>
          <w:sz w:val="30"/>
          <w:szCs w:val="30"/>
        </w:rPr>
        <w:t>次会议上</w:t>
      </w:r>
    </w:p>
    <w:p>
      <w:pPr>
        <w:tabs>
          <w:tab w:val="left" w:pos="1470"/>
        </w:tabs>
        <w:overflowPunct w:val="0"/>
        <w:snapToGrid w:val="0"/>
        <w:spacing w:after="468" w:afterLines="150" w:line="520" w:lineRule="exact"/>
        <w:jc w:val="center"/>
        <w:rPr>
          <w:rFonts w:eastAsia="仿宋_GB2312"/>
          <w:kern w:val="0"/>
          <w:sz w:val="32"/>
          <w:szCs w:val="32"/>
        </w:rPr>
      </w:pPr>
      <w:r>
        <w:rPr>
          <w:rFonts w:eastAsia="楷体_GB2312"/>
          <w:b/>
          <w:bCs/>
          <w:sz w:val="30"/>
          <w:szCs w:val="30"/>
        </w:rPr>
        <w:t>红寺堡区财政局</w:t>
      </w:r>
    </w:p>
    <w:p>
      <w:pPr>
        <w:overflowPunct w:val="0"/>
        <w:spacing w:line="560" w:lineRule="exact"/>
        <w:contextualSpacing/>
        <w:textAlignment w:val="baseline"/>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各位代表：</w:t>
      </w:r>
    </w:p>
    <w:p>
      <w:pPr>
        <w:overflowPunct w:val="0"/>
        <w:spacing w:line="560" w:lineRule="exact"/>
        <w:ind w:firstLine="640"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受区人民政府委托，现向大会报告</w:t>
      </w:r>
      <w:r>
        <w:rPr>
          <w:rFonts w:hint="eastAsia" w:eastAsia="仿宋_GB2312"/>
          <w:color w:val="000000" w:themeColor="text1"/>
          <w:sz w:val="32"/>
          <w:szCs w:val="32"/>
          <w14:textFill>
            <w14:solidFill>
              <w14:schemeClr w14:val="tx1"/>
            </w14:solidFill>
          </w14:textFill>
        </w:rPr>
        <w:t>《吴忠市</w:t>
      </w:r>
      <w:r>
        <w:rPr>
          <w:rFonts w:eastAsia="仿宋_GB2312"/>
          <w:color w:val="000000" w:themeColor="text1"/>
          <w:sz w:val="32"/>
          <w:szCs w:val="32"/>
          <w14:textFill>
            <w14:solidFill>
              <w14:schemeClr w14:val="tx1"/>
            </w14:solidFill>
          </w14:textFill>
        </w:rPr>
        <w:t>红寺堡区2020年财政预算执行情况和2021年财政预算</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草案</w:t>
      </w:r>
      <w:r>
        <w:rPr>
          <w:rFonts w:hint="eastAsia" w:eastAsia="仿宋_GB2312"/>
          <w:color w:val="000000" w:themeColor="text1"/>
          <w:sz w:val="32"/>
          <w:szCs w:val="32"/>
          <w14:textFill>
            <w14:solidFill>
              <w14:schemeClr w14:val="tx1"/>
            </w14:solidFill>
          </w14:textFill>
        </w:rPr>
        <w:t>）的</w:t>
      </w:r>
      <w:r>
        <w:rPr>
          <w:rFonts w:eastAsia="仿宋_GB2312"/>
          <w:color w:val="000000" w:themeColor="text1"/>
          <w:sz w:val="32"/>
          <w:szCs w:val="32"/>
          <w14:textFill>
            <w14:solidFill>
              <w14:schemeClr w14:val="tx1"/>
            </w14:solidFill>
          </w14:textFill>
        </w:rPr>
        <w:t>报告</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，请予审议，并请各位政协委员及列席</w:t>
      </w:r>
      <w:r>
        <w:rPr>
          <w:rFonts w:hint="eastAsia" w:eastAsia="仿宋_GB2312"/>
          <w:color w:val="000000" w:themeColor="text1"/>
          <w:sz w:val="32"/>
          <w:szCs w:val="32"/>
          <w14:textFill>
            <w14:solidFill>
              <w14:schemeClr w14:val="tx1"/>
            </w14:solidFill>
          </w14:textFill>
        </w:rPr>
        <w:t>人员</w:t>
      </w:r>
      <w:r>
        <w:rPr>
          <w:rFonts w:eastAsia="仿宋_GB2312"/>
          <w:color w:val="000000" w:themeColor="text1"/>
          <w:sz w:val="32"/>
          <w:szCs w:val="32"/>
          <w14:textFill>
            <w14:solidFill>
              <w14:schemeClr w14:val="tx1"/>
            </w14:solidFill>
          </w14:textFill>
        </w:rPr>
        <w:t>提出宝贵意见及建议。</w:t>
      </w:r>
    </w:p>
    <w:p>
      <w:pPr>
        <w:overflowPunct w:val="0"/>
        <w:spacing w:line="560" w:lineRule="exact"/>
        <w:ind w:firstLine="640" w:firstLineChars="200"/>
        <w:contextualSpacing/>
        <w:textAlignment w:val="baseline"/>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一、2020年财政预算执行情况</w:t>
      </w:r>
    </w:p>
    <w:p>
      <w:pPr>
        <w:overflowPunct w:val="0"/>
        <w:spacing w:line="560" w:lineRule="exact"/>
        <w:ind w:firstLine="640"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2020年，全区财政工作坚持以习近平新时代中国特色社会主义思想为指导，全面贯彻落实党的十九大和十九届</w:t>
      </w:r>
      <w:r>
        <w:rPr>
          <w:rFonts w:hint="eastAsia" w:eastAsia="仿宋_GB2312"/>
          <w:color w:val="000000" w:themeColor="text1"/>
          <w:sz w:val="32"/>
          <w:szCs w:val="32"/>
          <w14:textFill>
            <w14:solidFill>
              <w14:schemeClr w14:val="tx1"/>
            </w14:solidFill>
          </w14:textFill>
        </w:rPr>
        <w:t>二中</w:t>
      </w:r>
      <w:r>
        <w:rPr>
          <w:rFonts w:eastAsia="仿宋_GB2312"/>
          <w:color w:val="000000" w:themeColor="text1"/>
          <w:sz w:val="32"/>
          <w:szCs w:val="32"/>
          <w14:textFill>
            <w14:solidFill>
              <w14:schemeClr w14:val="tx1"/>
            </w14:solidFill>
          </w14:textFill>
        </w:rPr>
        <w:t>、三中、四中、五中全会精神及习近平总书记视察宁夏重要讲话精神</w:t>
      </w:r>
      <w:r>
        <w:rPr>
          <w:rFonts w:hint="eastAsia" w:eastAsia="仿宋_GB2312"/>
          <w:color w:val="000000" w:themeColor="text1"/>
          <w:sz w:val="32"/>
          <w:szCs w:val="32"/>
          <w14:textFill>
            <w14:solidFill>
              <w14:schemeClr w14:val="tx1"/>
            </w14:solidFill>
          </w14:textFill>
        </w:rPr>
        <w:t>，全面落实</w:t>
      </w:r>
      <w:r>
        <w:rPr>
          <w:rFonts w:eastAsia="仿宋_GB2312"/>
          <w:color w:val="000000" w:themeColor="text1"/>
          <w:sz w:val="32"/>
          <w:szCs w:val="32"/>
          <w14:textFill>
            <w14:solidFill>
              <w14:schemeClr w14:val="tx1"/>
            </w14:solidFill>
          </w14:textFill>
        </w:rPr>
        <w:t>党中央和区</w:t>
      </w:r>
      <w:r>
        <w:rPr>
          <w:rFonts w:eastAsia="仿宋_GB2312"/>
          <w:sz w:val="32"/>
          <w:szCs w:val="32"/>
        </w:rPr>
        <w:t>市决策部署，</w:t>
      </w:r>
      <w:r>
        <w:rPr>
          <w:rFonts w:hint="eastAsia" w:eastAsia="仿宋_GB2312"/>
          <w:color w:val="000000" w:themeColor="text1"/>
          <w:sz w:val="32"/>
          <w:szCs w:val="32"/>
          <w14:textFill>
            <w14:solidFill>
              <w14:schemeClr w14:val="tx1"/>
            </w14:solidFill>
          </w14:textFill>
        </w:rPr>
        <w:t>在区委</w:t>
      </w:r>
      <w:r>
        <w:rPr>
          <w:rFonts w:eastAsia="仿宋_GB2312"/>
          <w:color w:val="000000" w:themeColor="text1"/>
          <w:sz w:val="32"/>
          <w:szCs w:val="32"/>
          <w14:textFill>
            <w14:solidFill>
              <w14:schemeClr w14:val="tx1"/>
            </w14:solidFill>
          </w14:textFill>
        </w:rPr>
        <w:t>的坚强领导和人大、政协的有力监督下，</w:t>
      </w:r>
      <w:r>
        <w:rPr>
          <w:rFonts w:eastAsia="仿宋_GB2312"/>
          <w:sz w:val="32"/>
          <w:szCs w:val="32"/>
        </w:rPr>
        <w:t>统筹推进疫情防控和经济社会发展，</w:t>
      </w:r>
      <w:r>
        <w:rPr>
          <w:rFonts w:eastAsia="仿宋_GB2312"/>
          <w:color w:val="000000" w:themeColor="text1"/>
          <w:sz w:val="32"/>
          <w:szCs w:val="32"/>
          <w14:textFill>
            <w14:solidFill>
              <w14:schemeClr w14:val="tx1"/>
            </w14:solidFill>
          </w14:textFill>
        </w:rPr>
        <w:t>严格控制一般性支出，不断加大脱贫攻坚等重点领域投入力度，</w:t>
      </w:r>
      <w:r>
        <w:rPr>
          <w:rFonts w:eastAsia="仿宋_GB2312"/>
          <w:sz w:val="32"/>
          <w:szCs w:val="32"/>
        </w:rPr>
        <w:t>扎实做好</w:t>
      </w:r>
      <w:r>
        <w:rPr>
          <w:rFonts w:hint="eastAsia" w:eastAsia="仿宋_GB2312"/>
          <w:sz w:val="32"/>
          <w:szCs w:val="32"/>
        </w:rPr>
        <w:t>“</w:t>
      </w:r>
      <w:r>
        <w:rPr>
          <w:rFonts w:eastAsia="仿宋_GB2312"/>
          <w:sz w:val="32"/>
          <w:szCs w:val="32"/>
        </w:rPr>
        <w:t>六稳</w:t>
      </w:r>
      <w:r>
        <w:rPr>
          <w:rFonts w:hint="eastAsia" w:eastAsia="仿宋_GB2312"/>
          <w:sz w:val="32"/>
          <w:szCs w:val="32"/>
        </w:rPr>
        <w:t>”</w:t>
      </w:r>
      <w:r>
        <w:rPr>
          <w:rFonts w:eastAsia="仿宋_GB2312"/>
          <w:sz w:val="32"/>
          <w:szCs w:val="32"/>
        </w:rPr>
        <w:t>工作、全面落实</w:t>
      </w:r>
      <w:r>
        <w:rPr>
          <w:rFonts w:hint="eastAsia" w:eastAsia="仿宋_GB2312"/>
          <w:sz w:val="32"/>
          <w:szCs w:val="32"/>
        </w:rPr>
        <w:t>“</w:t>
      </w:r>
      <w:r>
        <w:rPr>
          <w:rFonts w:eastAsia="仿宋_GB2312"/>
          <w:sz w:val="32"/>
          <w:szCs w:val="32"/>
        </w:rPr>
        <w:t>六保</w:t>
      </w:r>
      <w:r>
        <w:rPr>
          <w:rFonts w:hint="eastAsia" w:eastAsia="仿宋_GB2312"/>
          <w:sz w:val="32"/>
          <w:szCs w:val="32"/>
        </w:rPr>
        <w:t>”</w:t>
      </w:r>
      <w:r>
        <w:rPr>
          <w:rFonts w:eastAsia="仿宋_GB2312"/>
          <w:sz w:val="32"/>
          <w:szCs w:val="32"/>
        </w:rPr>
        <w:t>任务，</w:t>
      </w:r>
      <w:r>
        <w:rPr>
          <w:rFonts w:eastAsia="仿宋_GB2312"/>
          <w:color w:val="000000" w:themeColor="text1"/>
          <w:sz w:val="32"/>
          <w:szCs w:val="32"/>
          <w14:textFill>
            <w14:solidFill>
              <w14:schemeClr w14:val="tx1"/>
            </w14:solidFill>
          </w14:textFill>
        </w:rPr>
        <w:t>财政运行情况总体平稳。</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（一）一般公共预算执行情况</w:t>
      </w:r>
    </w:p>
    <w:p>
      <w:pPr>
        <w:overflowPunct w:val="0"/>
        <w:spacing w:line="560" w:lineRule="exact"/>
        <w:ind w:firstLine="632" w:firstLineChars="200"/>
        <w:contextualSpacing/>
        <w:textAlignment w:val="baseline"/>
        <w:rPr>
          <w:rFonts w:eastAsia="仿宋_GB2312"/>
          <w:color w:val="000000"/>
          <w:spacing w:val="-2"/>
          <w:sz w:val="32"/>
          <w:szCs w:val="32"/>
        </w:rPr>
      </w:pPr>
      <w:r>
        <w:rPr>
          <w:rFonts w:eastAsia="仿宋_GB2312"/>
          <w:color w:val="000000"/>
          <w:spacing w:val="-2"/>
          <w:sz w:val="32"/>
          <w:szCs w:val="32"/>
        </w:rPr>
        <w:t>全年本级一般公共预算收入完成16893万元，为年度预算的105.6％</w:t>
      </w:r>
      <w:r>
        <w:rPr>
          <w:rFonts w:hint="eastAsia" w:eastAsia="仿宋_GB2312"/>
          <w:color w:val="000000"/>
          <w:spacing w:val="-2"/>
          <w:sz w:val="32"/>
          <w:szCs w:val="32"/>
        </w:rPr>
        <w:t>，同口径增长8</w:t>
      </w:r>
      <w:r>
        <w:rPr>
          <w:rFonts w:eastAsia="仿宋_GB2312"/>
          <w:color w:val="000000"/>
          <w:spacing w:val="-2"/>
          <w:sz w:val="32"/>
          <w:szCs w:val="32"/>
        </w:rPr>
        <w:t>.0</w:t>
      </w:r>
      <w:r>
        <w:rPr>
          <w:rFonts w:hint="eastAsia" w:eastAsia="仿宋_GB2312"/>
          <w:color w:val="000000"/>
          <w:spacing w:val="-2"/>
          <w:sz w:val="32"/>
          <w:szCs w:val="32"/>
        </w:rPr>
        <w:t>%</w:t>
      </w:r>
      <w:r>
        <w:rPr>
          <w:rFonts w:eastAsia="仿宋_GB2312"/>
          <w:color w:val="000000"/>
          <w:spacing w:val="-2"/>
          <w:sz w:val="32"/>
          <w:szCs w:val="32"/>
        </w:rPr>
        <w:t>。其中: 税收收入完成11402万元，非税收入完成5491万元</w:t>
      </w:r>
      <w:r>
        <w:rPr>
          <w:rFonts w:hint="eastAsia" w:eastAsia="仿宋_GB2312"/>
          <w:color w:val="000000"/>
          <w:spacing w:val="-2"/>
          <w:sz w:val="32"/>
          <w:szCs w:val="32"/>
        </w:rPr>
        <w:t>，</w:t>
      </w:r>
      <w:r>
        <w:rPr>
          <w:rFonts w:eastAsia="仿宋_GB2312"/>
          <w:color w:val="000000"/>
          <w:spacing w:val="-2"/>
          <w:sz w:val="32"/>
          <w:szCs w:val="32"/>
        </w:rPr>
        <w:t>税收占比</w:t>
      </w:r>
      <w:r>
        <w:rPr>
          <w:rFonts w:hint="eastAsia" w:eastAsia="仿宋_GB2312"/>
          <w:color w:val="000000"/>
          <w:spacing w:val="-2"/>
          <w:sz w:val="32"/>
          <w:szCs w:val="32"/>
        </w:rPr>
        <w:t>67.5</w:t>
      </w:r>
      <w:r>
        <w:rPr>
          <w:rFonts w:eastAsia="仿宋_GB2312"/>
          <w:color w:val="000000"/>
          <w:spacing w:val="-2"/>
          <w:sz w:val="32"/>
          <w:szCs w:val="32"/>
        </w:rPr>
        <w:t>%，</w:t>
      </w:r>
      <w:r>
        <w:rPr>
          <w:rFonts w:hint="eastAsia" w:eastAsia="仿宋_GB2312"/>
          <w:color w:val="000000"/>
          <w:spacing w:val="-2"/>
          <w:sz w:val="32"/>
          <w:szCs w:val="32"/>
        </w:rPr>
        <w:t>首次</w:t>
      </w:r>
      <w:r>
        <w:rPr>
          <w:rFonts w:eastAsia="仿宋_GB2312"/>
          <w:color w:val="000000"/>
          <w:spacing w:val="-2"/>
          <w:sz w:val="32"/>
          <w:szCs w:val="32"/>
        </w:rPr>
        <w:t>高于全区收入质量</w:t>
      </w:r>
      <w:r>
        <w:rPr>
          <w:rFonts w:hint="eastAsia" w:eastAsia="仿宋_GB2312"/>
          <w:color w:val="000000"/>
          <w:spacing w:val="-2"/>
          <w:sz w:val="32"/>
          <w:szCs w:val="32"/>
        </w:rPr>
        <w:t>64</w:t>
      </w:r>
      <w:r>
        <w:rPr>
          <w:rFonts w:eastAsia="仿宋_GB2312"/>
          <w:color w:val="000000"/>
          <w:spacing w:val="-2"/>
          <w:sz w:val="32"/>
          <w:szCs w:val="32"/>
        </w:rPr>
        <w:t>%</w:t>
      </w:r>
      <w:r>
        <w:rPr>
          <w:rFonts w:hint="eastAsia" w:eastAsia="仿宋_GB2312"/>
          <w:color w:val="000000"/>
          <w:spacing w:val="-2"/>
          <w:sz w:val="32"/>
          <w:szCs w:val="32"/>
        </w:rPr>
        <w:t>的</w:t>
      </w:r>
      <w:r>
        <w:rPr>
          <w:rFonts w:eastAsia="仿宋_GB2312"/>
          <w:color w:val="000000"/>
          <w:spacing w:val="-2"/>
          <w:sz w:val="32"/>
          <w:szCs w:val="32"/>
        </w:rPr>
        <w:t>考核目标。全年一般公共预算支出完成</w:t>
      </w:r>
      <w:r>
        <w:rPr>
          <w:rFonts w:hint="eastAsia" w:eastAsia="仿宋_GB2312"/>
          <w:color w:val="000000"/>
          <w:spacing w:val="-2"/>
          <w:sz w:val="32"/>
          <w:szCs w:val="32"/>
        </w:rPr>
        <w:t>30</w:t>
      </w:r>
      <w:r>
        <w:rPr>
          <w:rFonts w:eastAsia="仿宋_GB2312"/>
          <w:color w:val="000000"/>
          <w:spacing w:val="-2"/>
          <w:sz w:val="32"/>
          <w:szCs w:val="32"/>
        </w:rPr>
        <w:t>4832万元，增长7.4%。累计获得自治区市县收支执行全额奖励资金1800万元。</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（二）政府性基金预算执行情况</w:t>
      </w:r>
    </w:p>
    <w:p>
      <w:pPr>
        <w:overflowPunct w:val="0"/>
        <w:spacing w:line="560" w:lineRule="exact"/>
        <w:ind w:firstLine="640"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地方政府性基金收入完成21686万元，增长25.0%</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政府性基金支出完成40026万元，降低21.4%。</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（三）社会保险基金预算执行情况</w:t>
      </w:r>
    </w:p>
    <w:p>
      <w:pPr>
        <w:overflowPunct w:val="0"/>
        <w:spacing w:line="560" w:lineRule="exact"/>
        <w:ind w:firstLine="640"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社会保险基金收入36174万元，完成预算收入的96.3%。社会保险基金支出20039万元，完成预算支出的99.5%</w:t>
      </w:r>
      <w:bookmarkStart w:id="0" w:name="_Hlk28782963"/>
      <w:r>
        <w:rPr>
          <w:rFonts w:eastAsia="仿宋_GB2312"/>
          <w:color w:val="000000" w:themeColor="text1"/>
          <w:sz w:val="32"/>
          <w:szCs w:val="32"/>
          <w14:textFill>
            <w14:solidFill>
              <w14:schemeClr w14:val="tx1"/>
            </w14:solidFill>
          </w14:textFill>
        </w:rPr>
        <w:t>，</w:t>
      </w:r>
      <w:bookmarkEnd w:id="0"/>
      <w:r>
        <w:rPr>
          <w:rFonts w:eastAsia="仿宋_GB2312"/>
          <w:color w:val="000000" w:themeColor="text1"/>
          <w:sz w:val="32"/>
          <w:szCs w:val="32"/>
          <w14:textFill>
            <w14:solidFill>
              <w14:schemeClr w14:val="tx1"/>
            </w14:solidFill>
          </w14:textFill>
        </w:rPr>
        <w:t>上解支出5549万元，滚存结余91204万元。</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（四）国有资本经营无预算</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（五）政府债券安排使用情况</w:t>
      </w:r>
    </w:p>
    <w:p>
      <w:pPr>
        <w:overflowPunct w:val="0"/>
        <w:spacing w:line="560" w:lineRule="exact"/>
        <w:ind w:firstLine="640" w:firstLineChars="200"/>
        <w:contextualSpacing/>
        <w:textAlignment w:val="baseline"/>
        <w:rPr>
          <w:rFonts w:eastAsia="楷体_GB2312"/>
          <w:b/>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2020年</w:t>
      </w:r>
      <w:r>
        <w:rPr>
          <w:rFonts w:eastAsia="仿宋_GB2312"/>
          <w:color w:val="000000" w:themeColor="text1"/>
          <w:sz w:val="32"/>
          <w:szCs w:val="32"/>
          <w14:textFill>
            <w14:solidFill>
              <w14:schemeClr w14:val="tx1"/>
            </w14:solidFill>
          </w14:textFill>
        </w:rPr>
        <w:t>自治区转贷新增地方政府债券30100万元，其中：一般债券26900万元，专项债券3200万元，主要用于教育、市政建设、交通运输、城乡绿化、污染防治、医疗卫生等重点领域项目建设。再融资债券资金 9893万元</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置换到期一般债券9120万元，置换到期专项债券773万元。</w:t>
      </w:r>
    </w:p>
    <w:p>
      <w:pPr>
        <w:overflowPunct w:val="0"/>
        <w:spacing w:line="560" w:lineRule="exact"/>
        <w:ind w:firstLine="640" w:firstLineChars="200"/>
        <w:contextualSpacing/>
        <w:textAlignment w:val="baseline"/>
        <w:rPr>
          <w:rFonts w:eastAsia="黑体"/>
          <w:b/>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二、2020年财政主要工作</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（一）加强预算执行管理，财政收支</w:t>
      </w:r>
      <w:r>
        <w:rPr>
          <w:rFonts w:hint="eastAsia" w:eastAsia="楷体_GB2312"/>
          <w:b/>
          <w:color w:val="000000" w:themeColor="text1"/>
          <w:sz w:val="32"/>
          <w:szCs w:val="32"/>
          <w14:textFill>
            <w14:solidFill>
              <w14:schemeClr w14:val="tx1"/>
            </w14:solidFill>
          </w14:textFill>
        </w:rPr>
        <w:t>迈上新台阶</w:t>
      </w:r>
      <w:r>
        <w:rPr>
          <w:rFonts w:eastAsia="楷体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在经济下行、减税降费、新冠肺炎疫情影响下，科学研判我区经济形势，采取一系列有力措施，力促财政收支平稳运行</w:t>
      </w:r>
      <w:r>
        <w:rPr>
          <w:rFonts w:hint="eastAsia" w:eastAsia="仿宋_GB2312"/>
          <w:color w:val="000000" w:themeColor="text1"/>
          <w:sz w:val="32"/>
          <w:szCs w:val="32"/>
          <w14:textFill>
            <w14:solidFill>
              <w14:schemeClr w14:val="tx1"/>
            </w14:solidFill>
          </w14:textFill>
        </w:rPr>
        <w:t>，圆满完成全年收支任务，</w:t>
      </w:r>
      <w:r>
        <w:rPr>
          <w:rFonts w:eastAsia="仿宋_GB2312"/>
          <w:color w:val="000000" w:themeColor="text1"/>
          <w:sz w:val="32"/>
          <w:szCs w:val="32"/>
          <w14:textFill>
            <w14:solidFill>
              <w14:schemeClr w14:val="tx1"/>
            </w14:solidFill>
          </w14:textFill>
        </w:rPr>
        <w:t>财政实力不断迈上新的台阶。</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（二）加大资金争取力度，财力规模</w:t>
      </w:r>
      <w:r>
        <w:rPr>
          <w:rFonts w:hint="eastAsia" w:eastAsia="楷体_GB2312"/>
          <w:b/>
          <w:color w:val="000000" w:themeColor="text1"/>
          <w:sz w:val="32"/>
          <w:szCs w:val="32"/>
          <w14:textFill>
            <w14:solidFill>
              <w14:schemeClr w14:val="tx1"/>
            </w14:solidFill>
          </w14:textFill>
        </w:rPr>
        <w:t>实现新</w:t>
      </w:r>
      <w:r>
        <w:rPr>
          <w:rFonts w:eastAsia="楷体_GB2312"/>
          <w:b/>
          <w:color w:val="000000" w:themeColor="text1"/>
          <w:sz w:val="32"/>
          <w:szCs w:val="32"/>
          <w14:textFill>
            <w14:solidFill>
              <w14:schemeClr w14:val="tx1"/>
            </w14:solidFill>
          </w14:textFill>
        </w:rPr>
        <w:t>突破。</w:t>
      </w:r>
      <w:r>
        <w:rPr>
          <w:rFonts w:hint="eastAsia" w:eastAsia="仿宋_GB2312"/>
          <w:color w:val="000000" w:themeColor="text1"/>
          <w:sz w:val="32"/>
          <w:szCs w:val="32"/>
          <w14:textFill>
            <w14:solidFill>
              <w14:schemeClr w14:val="tx1"/>
            </w14:solidFill>
          </w14:textFill>
        </w:rPr>
        <w:t>2020年争取上级转移支付资金262486万元，增长7.</w:t>
      </w:r>
      <w:r>
        <w:rPr>
          <w:rFonts w:eastAsia="仿宋_GB2312"/>
          <w:color w:val="000000" w:themeColor="text1"/>
          <w:sz w:val="32"/>
          <w:szCs w:val="32"/>
          <w14:textFill>
            <w14:solidFill>
              <w14:schemeClr w14:val="tx1"/>
            </w14:solidFill>
          </w14:textFill>
        </w:rPr>
        <w:t>8</w:t>
      </w:r>
      <w:r>
        <w:rPr>
          <w:rFonts w:hint="eastAsia" w:eastAsia="仿宋_GB2312"/>
          <w:color w:val="000000" w:themeColor="text1"/>
          <w:sz w:val="32"/>
          <w:szCs w:val="32"/>
          <w14:textFill>
            <w14:solidFill>
              <w14:schemeClr w14:val="tx1"/>
            </w14:solidFill>
          </w14:textFill>
        </w:rPr>
        <w:t>%，特别是争取财力性转移支付资金82728万元，增长26.7%。争取政府新增债券资金30100万元，争取各类社会帮扶资金13043万元，有效夯实了我区政府履职尽责的财力基础。</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（三）强化资金统筹水平，财政保障</w:t>
      </w:r>
      <w:r>
        <w:rPr>
          <w:rFonts w:hint="eastAsia" w:eastAsia="楷体_GB2312"/>
          <w:b/>
          <w:color w:val="000000" w:themeColor="text1"/>
          <w:sz w:val="32"/>
          <w:szCs w:val="32"/>
          <w14:textFill>
            <w14:solidFill>
              <w14:schemeClr w14:val="tx1"/>
            </w14:solidFill>
          </w14:textFill>
        </w:rPr>
        <w:t>达到新水平</w:t>
      </w:r>
      <w:r>
        <w:rPr>
          <w:rFonts w:eastAsia="楷体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牢固树立过</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紧日子</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思想，坚决压减一般性支出，集中财力落实“六稳”、“六保”任务和重点领域支出，着力提高资金配置效率和使用效益，促进财政平稳运行和经济社会持续健康发展。</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民生保障体系不断健全。</w:t>
      </w:r>
      <w:r>
        <w:rPr>
          <w:rFonts w:eastAsia="仿宋_GB2312"/>
          <w:color w:val="000000" w:themeColor="text1"/>
          <w:sz w:val="32"/>
          <w:szCs w:val="32"/>
          <w14:textFill>
            <w14:solidFill>
              <w14:schemeClr w14:val="tx1"/>
            </w14:solidFill>
          </w14:textFill>
        </w:rPr>
        <w:t>持续加大民生领域投入，补短板，强弱项，切实增进民生福祉。</w:t>
      </w:r>
      <w:r>
        <w:rPr>
          <w:rFonts w:eastAsia="仿宋_GB2312"/>
          <w:b/>
          <w:color w:val="000000" w:themeColor="text1"/>
          <w:sz w:val="32"/>
          <w:szCs w:val="32"/>
          <w14:textFill>
            <w14:solidFill>
              <w14:schemeClr w14:val="tx1"/>
            </w14:solidFill>
          </w14:textFill>
        </w:rPr>
        <w:t>投入资金17668万元，</w:t>
      </w:r>
      <w:r>
        <w:rPr>
          <w:rFonts w:eastAsia="仿宋_GB2312"/>
          <w:color w:val="000000" w:themeColor="text1"/>
          <w:sz w:val="32"/>
          <w:szCs w:val="32"/>
          <w14:textFill>
            <w14:solidFill>
              <w14:schemeClr w14:val="tx1"/>
            </w14:solidFill>
          </w14:textFill>
        </w:rPr>
        <w:t>全面落实困难群体救助，复退军人安置，特困人员供养，重症残疾人护理等政策，加快推进基本公共服务均等化；</w:t>
      </w:r>
      <w:r>
        <w:rPr>
          <w:rFonts w:eastAsia="仿宋_GB2312"/>
          <w:b/>
          <w:color w:val="000000" w:themeColor="text1"/>
          <w:sz w:val="32"/>
          <w:szCs w:val="32"/>
          <w14:textFill>
            <w14:solidFill>
              <w14:schemeClr w14:val="tx1"/>
            </w14:solidFill>
          </w14:textFill>
        </w:rPr>
        <w:t>投入社会保险基金128</w:t>
      </w:r>
      <w:r>
        <w:rPr>
          <w:rFonts w:hint="eastAsia" w:eastAsia="仿宋_GB2312"/>
          <w:b/>
          <w:color w:val="000000" w:themeColor="text1"/>
          <w:sz w:val="32"/>
          <w:szCs w:val="32"/>
          <w14:textFill>
            <w14:solidFill>
              <w14:schemeClr w14:val="tx1"/>
            </w14:solidFill>
          </w14:textFill>
        </w:rPr>
        <w:t>5</w:t>
      </w:r>
      <w:r>
        <w:rPr>
          <w:rFonts w:eastAsia="仿宋_GB2312"/>
          <w:b/>
          <w:color w:val="000000" w:themeColor="text1"/>
          <w:sz w:val="32"/>
          <w:szCs w:val="32"/>
          <w14:textFill>
            <w14:solidFill>
              <w14:schemeClr w14:val="tx1"/>
            </w14:solidFill>
          </w14:textFill>
        </w:rPr>
        <w:t>万元，</w:t>
      </w:r>
      <w:r>
        <w:rPr>
          <w:rFonts w:eastAsia="仿宋_GB2312"/>
          <w:color w:val="000000" w:themeColor="text1"/>
          <w:sz w:val="32"/>
          <w:szCs w:val="32"/>
          <w14:textFill>
            <w14:solidFill>
              <w14:schemeClr w14:val="tx1"/>
            </w14:solidFill>
          </w14:textFill>
        </w:rPr>
        <w:t>确保了城乡居民养老、医疗、企业职工养老等社会保险制度的正常运行；</w:t>
      </w:r>
      <w:r>
        <w:rPr>
          <w:rFonts w:eastAsia="仿宋_GB2312"/>
          <w:b/>
          <w:color w:val="000000" w:themeColor="text1"/>
          <w:sz w:val="32"/>
          <w:szCs w:val="32"/>
          <w14:textFill>
            <w14:solidFill>
              <w14:schemeClr w14:val="tx1"/>
            </w14:solidFill>
          </w14:textFill>
        </w:rPr>
        <w:t>投入再就业资金12790万元，</w:t>
      </w:r>
      <w:r>
        <w:rPr>
          <w:rFonts w:eastAsia="仿宋_GB2312"/>
          <w:color w:val="000000" w:themeColor="text1"/>
          <w:sz w:val="32"/>
          <w:szCs w:val="32"/>
          <w14:textFill>
            <w14:solidFill>
              <w14:schemeClr w14:val="tx1"/>
            </w14:solidFill>
          </w14:textFill>
        </w:rPr>
        <w:t>用于“三支一扶”</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公益性岗位</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就业培训等项目，有效改善了我区就业创业工作环境；</w:t>
      </w:r>
      <w:r>
        <w:rPr>
          <w:rFonts w:eastAsia="仿宋_GB2312"/>
          <w:b/>
          <w:color w:val="000000" w:themeColor="text1"/>
          <w:sz w:val="32"/>
          <w:szCs w:val="32"/>
          <w14:textFill>
            <w14:solidFill>
              <w14:schemeClr w14:val="tx1"/>
            </w14:solidFill>
          </w14:textFill>
        </w:rPr>
        <w:t>投入资金38809万元，</w:t>
      </w:r>
      <w:r>
        <w:rPr>
          <w:rFonts w:eastAsia="仿宋_GB2312"/>
          <w:color w:val="000000" w:themeColor="text1"/>
          <w:sz w:val="32"/>
          <w:szCs w:val="32"/>
          <w14:textFill>
            <w14:solidFill>
              <w14:schemeClr w14:val="tx1"/>
            </w14:solidFill>
          </w14:textFill>
        </w:rPr>
        <w:t>落实职工基本工资提标、政府效能奖、平时考核奖、乡镇</w:t>
      </w:r>
      <w:r>
        <w:rPr>
          <w:rFonts w:hint="eastAsia" w:eastAsia="仿宋_GB2312"/>
          <w:color w:val="000000" w:themeColor="text1"/>
          <w:sz w:val="32"/>
          <w:szCs w:val="32"/>
          <w14:textFill>
            <w14:solidFill>
              <w14:schemeClr w14:val="tx1"/>
            </w14:solidFill>
          </w14:textFill>
        </w:rPr>
        <w:t>工作</w:t>
      </w:r>
      <w:r>
        <w:rPr>
          <w:rFonts w:eastAsia="仿宋_GB2312"/>
          <w:color w:val="000000" w:themeColor="text1"/>
          <w:sz w:val="32"/>
          <w:szCs w:val="32"/>
          <w14:textFill>
            <w14:solidFill>
              <w14:schemeClr w14:val="tx1"/>
            </w14:solidFill>
          </w14:textFill>
        </w:rPr>
        <w:t>人员补贴等增加收入政策。</w:t>
      </w:r>
    </w:p>
    <w:p>
      <w:pPr>
        <w:overflowPunct w:val="0"/>
        <w:spacing w:line="560" w:lineRule="exact"/>
        <w:ind w:firstLine="642" w:firstLineChars="200"/>
        <w:contextualSpacing/>
        <w:textAlignment w:val="baseline"/>
        <w:rPr>
          <w:rFonts w:eastAsia="仿宋_GB2312"/>
          <w:color w:val="000000" w:themeColor="text1"/>
          <w:spacing w:val="-2"/>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pacing w:val="-2"/>
          <w:sz w:val="32"/>
          <w:szCs w:val="32"/>
          <w14:textFill>
            <w14:solidFill>
              <w14:schemeClr w14:val="tx1"/>
            </w14:solidFill>
          </w14:textFill>
        </w:rPr>
        <w:t>社会公益事业持续壮大。</w:t>
      </w:r>
      <w:r>
        <w:rPr>
          <w:rFonts w:eastAsia="仿宋_GB2312"/>
          <w:color w:val="000000" w:themeColor="text1"/>
          <w:spacing w:val="-2"/>
          <w:sz w:val="32"/>
          <w:szCs w:val="32"/>
          <w14:textFill>
            <w14:solidFill>
              <w14:schemeClr w14:val="tx1"/>
            </w14:solidFill>
          </w14:textFill>
        </w:rPr>
        <w:t>加大社会公益事业建设投资力度，着力加快社会公益事业建设步伐。</w:t>
      </w:r>
      <w:r>
        <w:rPr>
          <w:rFonts w:eastAsia="仿宋_GB2312"/>
          <w:b/>
          <w:color w:val="000000" w:themeColor="text1"/>
          <w:spacing w:val="-2"/>
          <w:sz w:val="32"/>
          <w:szCs w:val="32"/>
          <w14:textFill>
            <w14:solidFill>
              <w14:schemeClr w14:val="tx1"/>
            </w14:solidFill>
          </w14:textFill>
        </w:rPr>
        <w:t>教育方面，投入资金70487万元，</w:t>
      </w:r>
      <w:r>
        <w:rPr>
          <w:rFonts w:eastAsia="仿宋_GB2312"/>
          <w:color w:val="000000" w:themeColor="text1"/>
          <w:spacing w:val="-2"/>
          <w:sz w:val="32"/>
          <w:szCs w:val="32"/>
          <w14:textFill>
            <w14:solidFill>
              <w14:schemeClr w14:val="tx1"/>
            </w14:solidFill>
          </w14:textFill>
        </w:rPr>
        <w:t>新</w:t>
      </w:r>
      <w:r>
        <w:rPr>
          <w:rFonts w:hint="eastAsia" w:eastAsia="仿宋_GB2312"/>
          <w:color w:val="000000" w:themeColor="text1"/>
          <w:spacing w:val="-2"/>
          <w:sz w:val="32"/>
          <w:szCs w:val="32"/>
          <w14:textFill>
            <w14:solidFill>
              <w14:schemeClr w14:val="tx1"/>
            </w14:solidFill>
          </w14:textFill>
        </w:rPr>
        <w:t>（续）</w:t>
      </w:r>
      <w:r>
        <w:rPr>
          <w:rFonts w:eastAsia="仿宋_GB2312"/>
          <w:color w:val="000000" w:themeColor="text1"/>
          <w:spacing w:val="-2"/>
          <w:sz w:val="32"/>
          <w:szCs w:val="32"/>
          <w14:textFill>
            <w14:solidFill>
              <w14:schemeClr w14:val="tx1"/>
            </w14:solidFill>
          </w14:textFill>
        </w:rPr>
        <w:t>建幼儿园</w:t>
      </w:r>
      <w:r>
        <w:rPr>
          <w:rFonts w:hint="eastAsia" w:eastAsia="仿宋_GB2312"/>
          <w:color w:val="000000" w:themeColor="text1"/>
          <w:spacing w:val="-2"/>
          <w:sz w:val="32"/>
          <w:szCs w:val="32"/>
          <w14:textFill>
            <w14:solidFill>
              <w14:schemeClr w14:val="tx1"/>
            </w14:solidFill>
          </w14:textFill>
        </w:rPr>
        <w:t>、</w:t>
      </w:r>
      <w:r>
        <w:rPr>
          <w:rFonts w:eastAsia="仿宋_GB2312"/>
          <w:color w:val="000000" w:themeColor="text1"/>
          <w:spacing w:val="-2"/>
          <w:sz w:val="32"/>
          <w:szCs w:val="32"/>
          <w14:textFill>
            <w14:solidFill>
              <w14:schemeClr w14:val="tx1"/>
            </w14:solidFill>
          </w14:textFill>
        </w:rPr>
        <w:t>一中分校综合楼、燕宝综合楼等，稳步推进</w:t>
      </w:r>
      <w:r>
        <w:rPr>
          <w:rFonts w:hint="eastAsia" w:ascii="仿宋_GB2312" w:eastAsia="仿宋_GB2312"/>
          <w:color w:val="000000" w:themeColor="text1"/>
          <w:spacing w:val="-2"/>
          <w:sz w:val="32"/>
          <w:szCs w:val="32"/>
          <w14:textFill>
            <w14:solidFill>
              <w14:schemeClr w14:val="tx1"/>
            </w14:solidFill>
          </w14:textFill>
        </w:rPr>
        <w:t>“互联网+教育”</w:t>
      </w:r>
      <w:r>
        <w:rPr>
          <w:rFonts w:hint="eastAsia" w:eastAsia="仿宋_GB2312"/>
          <w:color w:val="000000" w:themeColor="text1"/>
          <w:spacing w:val="-2"/>
          <w:sz w:val="32"/>
          <w:szCs w:val="32"/>
          <w14:textFill>
            <w14:solidFill>
              <w14:schemeClr w14:val="tx1"/>
            </w14:solidFill>
          </w14:textFill>
        </w:rPr>
        <w:t>建设</w:t>
      </w:r>
      <w:r>
        <w:rPr>
          <w:rFonts w:eastAsia="仿宋_GB2312"/>
          <w:color w:val="000000" w:themeColor="text1"/>
          <w:spacing w:val="-2"/>
          <w:sz w:val="32"/>
          <w:szCs w:val="32"/>
          <w14:textFill>
            <w14:solidFill>
              <w14:schemeClr w14:val="tx1"/>
            </w14:solidFill>
          </w14:textFill>
        </w:rPr>
        <w:t>，足额保障</w:t>
      </w:r>
      <w:r>
        <w:rPr>
          <w:rFonts w:hint="eastAsia" w:eastAsia="仿宋_GB2312"/>
          <w:color w:val="000000" w:themeColor="text1"/>
          <w:spacing w:val="-2"/>
          <w:sz w:val="32"/>
          <w:szCs w:val="32"/>
          <w14:textFill>
            <w14:solidFill>
              <w14:schemeClr w14:val="tx1"/>
            </w14:solidFill>
          </w14:textFill>
        </w:rPr>
        <w:t>教育</w:t>
      </w:r>
      <w:r>
        <w:rPr>
          <w:rFonts w:eastAsia="仿宋_GB2312"/>
          <w:color w:val="000000" w:themeColor="text1"/>
          <w:spacing w:val="-2"/>
          <w:sz w:val="32"/>
          <w:szCs w:val="32"/>
          <w14:textFill>
            <w14:solidFill>
              <w14:schemeClr w14:val="tx1"/>
            </w14:solidFill>
          </w14:textFill>
        </w:rPr>
        <w:t>购买服务</w:t>
      </w:r>
      <w:r>
        <w:rPr>
          <w:rFonts w:hint="eastAsia" w:eastAsia="仿宋_GB2312"/>
          <w:color w:val="000000" w:themeColor="text1"/>
          <w:spacing w:val="-2"/>
          <w:sz w:val="32"/>
          <w:szCs w:val="32"/>
          <w14:textFill>
            <w14:solidFill>
              <w14:schemeClr w14:val="tx1"/>
            </w14:solidFill>
          </w14:textFill>
        </w:rPr>
        <w:t>需求</w:t>
      </w:r>
      <w:r>
        <w:rPr>
          <w:rFonts w:eastAsia="仿宋_GB2312"/>
          <w:color w:val="000000" w:themeColor="text1"/>
          <w:spacing w:val="-2"/>
          <w:sz w:val="32"/>
          <w:szCs w:val="32"/>
          <w14:textFill>
            <w14:solidFill>
              <w14:schemeClr w14:val="tx1"/>
            </w14:solidFill>
          </w14:textFill>
        </w:rPr>
        <w:t>2208万元</w:t>
      </w:r>
      <w:r>
        <w:rPr>
          <w:rFonts w:hint="eastAsia" w:eastAsia="仿宋_GB2312"/>
          <w:color w:val="000000" w:themeColor="text1"/>
          <w:spacing w:val="-2"/>
          <w:sz w:val="32"/>
          <w:szCs w:val="32"/>
          <w14:textFill>
            <w14:solidFill>
              <w14:schemeClr w14:val="tx1"/>
            </w14:solidFill>
          </w14:textFill>
        </w:rPr>
        <w:t>、</w:t>
      </w:r>
      <w:r>
        <w:rPr>
          <w:rFonts w:eastAsia="仿宋_GB2312"/>
          <w:color w:val="000000" w:themeColor="text1"/>
          <w:spacing w:val="-2"/>
          <w:sz w:val="32"/>
          <w:szCs w:val="32"/>
          <w14:textFill>
            <w14:solidFill>
              <w14:schemeClr w14:val="tx1"/>
            </w14:solidFill>
          </w14:textFill>
        </w:rPr>
        <w:t>教育扶贫</w:t>
      </w:r>
      <w:r>
        <w:rPr>
          <w:rFonts w:hint="eastAsia" w:eastAsia="仿宋_GB2312"/>
          <w:color w:val="000000" w:themeColor="text1"/>
          <w:spacing w:val="-2"/>
          <w:sz w:val="32"/>
          <w:szCs w:val="32"/>
          <w14:textFill>
            <w14:solidFill>
              <w14:schemeClr w14:val="tx1"/>
            </w14:solidFill>
          </w14:textFill>
        </w:rPr>
        <w:t>资金600万元</w:t>
      </w:r>
      <w:r>
        <w:rPr>
          <w:rFonts w:eastAsia="仿宋_GB2312"/>
          <w:color w:val="000000" w:themeColor="text1"/>
          <w:spacing w:val="-2"/>
          <w:sz w:val="32"/>
          <w:szCs w:val="32"/>
          <w14:textFill>
            <w14:solidFill>
              <w14:schemeClr w14:val="tx1"/>
            </w14:solidFill>
          </w14:textFill>
        </w:rPr>
        <w:t>，</w:t>
      </w:r>
      <w:r>
        <w:rPr>
          <w:rFonts w:hint="eastAsia" w:eastAsia="仿宋_GB2312"/>
          <w:color w:val="000000" w:themeColor="text1"/>
          <w:spacing w:val="-2"/>
          <w:sz w:val="32"/>
          <w:szCs w:val="32"/>
          <w14:textFill>
            <w14:solidFill>
              <w14:schemeClr w14:val="tx1"/>
            </w14:solidFill>
          </w14:textFill>
        </w:rPr>
        <w:t>补缴历年</w:t>
      </w:r>
      <w:r>
        <w:rPr>
          <w:rFonts w:eastAsia="仿宋_GB2312"/>
          <w:color w:val="000000" w:themeColor="text1"/>
          <w:spacing w:val="-2"/>
          <w:sz w:val="32"/>
          <w:szCs w:val="32"/>
          <w14:textFill>
            <w14:solidFill>
              <w14:schemeClr w14:val="tx1"/>
            </w14:solidFill>
          </w14:textFill>
        </w:rPr>
        <w:t>特岗教师社保</w:t>
      </w:r>
      <w:r>
        <w:rPr>
          <w:rFonts w:hint="eastAsia" w:eastAsia="仿宋_GB2312"/>
          <w:color w:val="000000" w:themeColor="text1"/>
          <w:spacing w:val="-2"/>
          <w:sz w:val="32"/>
          <w:szCs w:val="32"/>
          <w14:textFill>
            <w14:solidFill>
              <w14:schemeClr w14:val="tx1"/>
            </w14:solidFill>
          </w14:textFill>
        </w:rPr>
        <w:t>费用4614</w:t>
      </w:r>
      <w:r>
        <w:rPr>
          <w:rFonts w:eastAsia="仿宋_GB2312"/>
          <w:color w:val="000000" w:themeColor="text1"/>
          <w:spacing w:val="-2"/>
          <w:sz w:val="32"/>
          <w:szCs w:val="32"/>
          <w14:textFill>
            <w14:solidFill>
              <w14:schemeClr w14:val="tx1"/>
            </w14:solidFill>
          </w14:textFill>
        </w:rPr>
        <w:t>万元，</w:t>
      </w:r>
      <w:r>
        <w:rPr>
          <w:rFonts w:hint="eastAsia" w:eastAsia="仿宋_GB2312"/>
          <w:color w:val="000000" w:themeColor="text1"/>
          <w:spacing w:val="-2"/>
          <w:sz w:val="32"/>
          <w:szCs w:val="32"/>
          <w14:textFill>
            <w14:solidFill>
              <w14:schemeClr w14:val="tx1"/>
            </w14:solidFill>
          </w14:textFill>
        </w:rPr>
        <w:t>助力贫困家庭在教育上实现长效脱贫。保障</w:t>
      </w:r>
      <w:r>
        <w:rPr>
          <w:rFonts w:eastAsia="仿宋_GB2312"/>
          <w:color w:val="000000" w:themeColor="text1"/>
          <w:spacing w:val="-2"/>
          <w:sz w:val="32"/>
          <w:szCs w:val="32"/>
          <w14:textFill>
            <w14:solidFill>
              <w14:schemeClr w14:val="tx1"/>
            </w14:solidFill>
          </w14:textFill>
        </w:rPr>
        <w:t>教师工资、营养改善计划资金及服务费等费用。</w:t>
      </w:r>
      <w:r>
        <w:rPr>
          <w:rFonts w:hint="eastAsia" w:eastAsia="仿宋_GB2312"/>
          <w:color w:val="000000" w:themeColor="text1"/>
          <w:spacing w:val="-2"/>
          <w:sz w:val="32"/>
          <w:szCs w:val="32"/>
          <w14:textFill>
            <w14:solidFill>
              <w14:schemeClr w14:val="tx1"/>
            </w14:solidFill>
          </w14:textFill>
        </w:rPr>
        <w:t>增加义教经费本级配套资金</w:t>
      </w:r>
      <w:r>
        <w:rPr>
          <w:rFonts w:eastAsia="仿宋_GB2312"/>
          <w:color w:val="000000" w:themeColor="text1"/>
          <w:spacing w:val="-2"/>
          <w:sz w:val="32"/>
          <w:szCs w:val="32"/>
          <w14:textFill>
            <w14:solidFill>
              <w14:schemeClr w14:val="tx1"/>
            </w14:solidFill>
          </w14:textFill>
        </w:rPr>
        <w:t>，提高教育教学经费保障水平，</w:t>
      </w:r>
      <w:r>
        <w:rPr>
          <w:rFonts w:hint="eastAsia" w:eastAsia="仿宋_GB2312"/>
          <w:color w:val="000000" w:themeColor="text1"/>
          <w:spacing w:val="-2"/>
          <w:sz w:val="32"/>
          <w:szCs w:val="32"/>
          <w14:textFill>
            <w14:solidFill>
              <w14:schemeClr w14:val="tx1"/>
            </w14:solidFill>
          </w14:textFill>
        </w:rPr>
        <w:t>“普高”顺利</w:t>
      </w:r>
      <w:r>
        <w:rPr>
          <w:rFonts w:eastAsia="仿宋_GB2312"/>
          <w:color w:val="000000" w:themeColor="text1"/>
          <w:spacing w:val="-2"/>
          <w:sz w:val="32"/>
          <w:szCs w:val="32"/>
          <w14:textFill>
            <w14:solidFill>
              <w14:schemeClr w14:val="tx1"/>
            </w14:solidFill>
          </w14:textFill>
        </w:rPr>
        <w:t>通过区、市验收；</w:t>
      </w:r>
      <w:r>
        <w:rPr>
          <w:rFonts w:eastAsia="仿宋_GB2312"/>
          <w:b/>
          <w:color w:val="000000" w:themeColor="text1"/>
          <w:spacing w:val="-2"/>
          <w:sz w:val="32"/>
          <w:szCs w:val="32"/>
          <w14:textFill>
            <w14:solidFill>
              <w14:schemeClr w14:val="tx1"/>
            </w14:solidFill>
          </w14:textFill>
        </w:rPr>
        <w:t>文化体育旅游方面，投入资金6578万元</w:t>
      </w:r>
      <w:r>
        <w:rPr>
          <w:rFonts w:eastAsia="仿宋_GB2312"/>
          <w:color w:val="000000" w:themeColor="text1"/>
          <w:spacing w:val="-2"/>
          <w:sz w:val="32"/>
          <w:szCs w:val="32"/>
          <w14:textFill>
            <w14:solidFill>
              <w14:schemeClr w14:val="tx1"/>
            </w14:solidFill>
          </w14:textFill>
        </w:rPr>
        <w:t>，新建社区多功能运动场、葡萄小镇（紫光湖）游客中心、弘德村足球场、罗山航空飞行营地塔台等一批重点文化体育旅游项目，健全完善区、乡、村、户四级公共文化服务设施网络体系；</w:t>
      </w:r>
      <w:r>
        <w:rPr>
          <w:rFonts w:eastAsia="仿宋_GB2312"/>
          <w:b/>
          <w:color w:val="000000" w:themeColor="text1"/>
          <w:spacing w:val="-2"/>
          <w:sz w:val="32"/>
          <w:szCs w:val="32"/>
          <w14:textFill>
            <w14:solidFill>
              <w14:schemeClr w14:val="tx1"/>
            </w14:solidFill>
          </w14:textFill>
        </w:rPr>
        <w:t>卫生健康方面，投入资金10827万元，</w:t>
      </w:r>
      <w:r>
        <w:rPr>
          <w:rFonts w:eastAsia="仿宋_GB2312"/>
          <w:color w:val="000000" w:themeColor="text1"/>
          <w:spacing w:val="-2"/>
          <w:sz w:val="32"/>
          <w:szCs w:val="32"/>
          <w14:textFill>
            <w14:solidFill>
              <w14:schemeClr w14:val="tx1"/>
            </w14:solidFill>
          </w14:textFill>
        </w:rPr>
        <w:t>相继建成疾控中心综合楼、残疾人康复中心等，</w:t>
      </w:r>
      <w:r>
        <w:rPr>
          <w:rFonts w:hint="eastAsia" w:eastAsia="仿宋_GB2312"/>
          <w:color w:val="000000" w:themeColor="text1"/>
          <w:spacing w:val="-2"/>
          <w:sz w:val="32"/>
          <w:szCs w:val="32"/>
          <w14:textFill>
            <w14:solidFill>
              <w14:schemeClr w14:val="tx1"/>
            </w14:solidFill>
          </w14:textFill>
        </w:rPr>
        <w:t>安排债券资金1000万元改造</w:t>
      </w:r>
      <w:r>
        <w:rPr>
          <w:rFonts w:eastAsia="仿宋_GB2312"/>
          <w:color w:val="000000" w:themeColor="text1"/>
          <w:spacing w:val="-2"/>
          <w:sz w:val="32"/>
          <w:szCs w:val="32"/>
          <w14:textFill>
            <w14:solidFill>
              <w14:schemeClr w14:val="tx1"/>
            </w14:solidFill>
          </w14:textFill>
        </w:rPr>
        <w:t>人民医院医技楼、门诊楼</w:t>
      </w:r>
      <w:r>
        <w:rPr>
          <w:rFonts w:hint="eastAsia" w:eastAsia="仿宋_GB2312"/>
          <w:color w:val="000000" w:themeColor="text1"/>
          <w:spacing w:val="-2"/>
          <w:sz w:val="32"/>
          <w:szCs w:val="32"/>
          <w14:textFill>
            <w14:solidFill>
              <w14:schemeClr w14:val="tx1"/>
            </w14:solidFill>
          </w14:textFill>
        </w:rPr>
        <w:t>等，</w:t>
      </w:r>
      <w:r>
        <w:rPr>
          <w:rFonts w:eastAsia="仿宋_GB2312"/>
          <w:color w:val="000000" w:themeColor="text1"/>
          <w:spacing w:val="-2"/>
          <w:sz w:val="32"/>
          <w:szCs w:val="32"/>
          <w14:textFill>
            <w14:solidFill>
              <w14:schemeClr w14:val="tx1"/>
            </w14:solidFill>
          </w14:textFill>
        </w:rPr>
        <w:t>提升了医疗服务水平，促进卫生健康事业稳步发展；</w:t>
      </w:r>
      <w:r>
        <w:rPr>
          <w:rFonts w:eastAsia="仿宋_GB2312"/>
          <w:b/>
          <w:color w:val="000000" w:themeColor="text1"/>
          <w:spacing w:val="-2"/>
          <w:sz w:val="32"/>
          <w:szCs w:val="32"/>
          <w14:textFill>
            <w14:solidFill>
              <w14:schemeClr w14:val="tx1"/>
            </w14:solidFill>
          </w14:textFill>
        </w:rPr>
        <w:t>公共安全方面，投入资金7058万元，</w:t>
      </w:r>
      <w:r>
        <w:rPr>
          <w:rFonts w:eastAsia="仿宋_GB2312"/>
          <w:color w:val="000000" w:themeColor="text1"/>
          <w:spacing w:val="-2"/>
          <w:sz w:val="32"/>
          <w:szCs w:val="32"/>
          <w14:textFill>
            <w14:solidFill>
              <w14:schemeClr w14:val="tx1"/>
            </w14:solidFill>
          </w14:textFill>
        </w:rPr>
        <w:t>用于扫黑除恶</w:t>
      </w:r>
      <w:r>
        <w:rPr>
          <w:rFonts w:hint="eastAsia" w:eastAsia="仿宋_GB2312"/>
          <w:color w:val="000000" w:themeColor="text1"/>
          <w:spacing w:val="-2"/>
          <w:sz w:val="32"/>
          <w:szCs w:val="32"/>
          <w14:textFill>
            <w14:solidFill>
              <w14:schemeClr w14:val="tx1"/>
            </w14:solidFill>
          </w14:textFill>
        </w:rPr>
        <w:t>、禁毒、</w:t>
      </w:r>
      <w:r>
        <w:rPr>
          <w:rFonts w:eastAsia="仿宋_GB2312"/>
          <w:color w:val="000000" w:themeColor="text1"/>
          <w:spacing w:val="-2"/>
          <w:sz w:val="32"/>
          <w:szCs w:val="32"/>
          <w14:textFill>
            <w14:solidFill>
              <w14:schemeClr w14:val="tx1"/>
            </w14:solidFill>
          </w14:textFill>
        </w:rPr>
        <w:t>购置执法装备</w:t>
      </w:r>
      <w:r>
        <w:rPr>
          <w:rFonts w:hint="eastAsia" w:eastAsia="仿宋_GB2312"/>
          <w:color w:val="000000" w:themeColor="text1"/>
          <w:spacing w:val="-2"/>
          <w:sz w:val="32"/>
          <w:szCs w:val="32"/>
          <w14:textFill>
            <w14:solidFill>
              <w14:schemeClr w14:val="tx1"/>
            </w14:solidFill>
          </w14:textFill>
        </w:rPr>
        <w:t>等，</w:t>
      </w:r>
      <w:r>
        <w:rPr>
          <w:rFonts w:eastAsia="仿宋_GB2312"/>
          <w:color w:val="000000" w:themeColor="text1"/>
          <w:spacing w:val="-2"/>
          <w:sz w:val="32"/>
          <w:szCs w:val="32"/>
          <w14:textFill>
            <w14:solidFill>
              <w14:schemeClr w14:val="tx1"/>
            </w14:solidFill>
          </w14:textFill>
        </w:rPr>
        <w:t>建</w:t>
      </w:r>
      <w:r>
        <w:rPr>
          <w:rFonts w:hint="eastAsia" w:eastAsia="仿宋_GB2312"/>
          <w:color w:val="000000" w:themeColor="text1"/>
          <w:spacing w:val="-2"/>
          <w:sz w:val="32"/>
          <w:szCs w:val="32"/>
          <w14:textFill>
            <w14:solidFill>
              <w14:schemeClr w14:val="tx1"/>
            </w14:solidFill>
          </w14:textFill>
        </w:rPr>
        <w:t>成</w:t>
      </w:r>
      <w:r>
        <w:rPr>
          <w:rFonts w:eastAsia="仿宋_GB2312"/>
          <w:color w:val="000000" w:themeColor="text1"/>
          <w:spacing w:val="-2"/>
          <w:sz w:val="32"/>
          <w:szCs w:val="32"/>
          <w14:textFill>
            <w14:solidFill>
              <w14:schemeClr w14:val="tx1"/>
            </w14:solidFill>
          </w14:textFill>
        </w:rPr>
        <w:t>红寺堡区智慧矫正中心</w:t>
      </w:r>
      <w:r>
        <w:rPr>
          <w:rFonts w:hint="eastAsia" w:eastAsia="仿宋_GB2312"/>
          <w:color w:val="000000" w:themeColor="text1"/>
          <w:spacing w:val="-2"/>
          <w:sz w:val="32"/>
          <w:szCs w:val="32"/>
          <w14:textFill>
            <w14:solidFill>
              <w14:schemeClr w14:val="tx1"/>
            </w14:solidFill>
          </w14:textFill>
        </w:rPr>
        <w:t>，</w:t>
      </w:r>
      <w:r>
        <w:rPr>
          <w:rFonts w:eastAsia="仿宋_GB2312"/>
          <w:color w:val="000000" w:themeColor="text1"/>
          <w:spacing w:val="-2"/>
          <w:sz w:val="32"/>
          <w:szCs w:val="32"/>
          <w14:textFill>
            <w14:solidFill>
              <w14:schemeClr w14:val="tx1"/>
            </w14:solidFill>
          </w14:textFill>
        </w:rPr>
        <w:t>开展各类法律</w:t>
      </w:r>
      <w:r>
        <w:rPr>
          <w:rFonts w:hint="eastAsia" w:eastAsia="仿宋_GB2312"/>
          <w:color w:val="000000" w:themeColor="text1"/>
          <w:spacing w:val="-2"/>
          <w:sz w:val="32"/>
          <w:szCs w:val="32"/>
          <w14:textFill>
            <w14:solidFill>
              <w14:schemeClr w14:val="tx1"/>
            </w14:solidFill>
          </w14:textFill>
        </w:rPr>
        <w:t>援助、法律咨询</w:t>
      </w:r>
      <w:r>
        <w:rPr>
          <w:rFonts w:eastAsia="仿宋_GB2312"/>
          <w:color w:val="000000" w:themeColor="text1"/>
          <w:spacing w:val="-2"/>
          <w:sz w:val="32"/>
          <w:szCs w:val="32"/>
          <w14:textFill>
            <w14:solidFill>
              <w14:schemeClr w14:val="tx1"/>
            </w14:solidFill>
          </w14:textFill>
        </w:rPr>
        <w:t>，</w:t>
      </w:r>
      <w:r>
        <w:rPr>
          <w:rFonts w:hint="eastAsia" w:eastAsia="仿宋_GB2312"/>
          <w:color w:val="000000" w:themeColor="text1"/>
          <w:spacing w:val="-2"/>
          <w:sz w:val="32"/>
          <w:szCs w:val="32"/>
          <w14:textFill>
            <w14:solidFill>
              <w14:schemeClr w14:val="tx1"/>
            </w14:solidFill>
          </w14:textFill>
        </w:rPr>
        <w:t>法治红寺堡、法治政府、法治社会建设迈上新台阶，安全保障更加有力。</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3.城乡基础设施日益完善。</w:t>
      </w:r>
      <w:r>
        <w:rPr>
          <w:rFonts w:eastAsia="仿宋_GB2312"/>
          <w:color w:val="000000" w:themeColor="text1"/>
          <w:sz w:val="32"/>
          <w:szCs w:val="32"/>
          <w14:textFill>
            <w14:solidFill>
              <w14:schemeClr w14:val="tx1"/>
            </w14:solidFill>
          </w14:textFill>
        </w:rPr>
        <w:t>强化城乡基础设施建设，提升城市化进程。</w:t>
      </w:r>
      <w:r>
        <w:rPr>
          <w:rFonts w:eastAsia="仿宋_GB2312"/>
          <w:b/>
          <w:color w:val="000000" w:themeColor="text1"/>
          <w:sz w:val="32"/>
          <w:szCs w:val="32"/>
          <w14:textFill>
            <w14:solidFill>
              <w14:schemeClr w14:val="tx1"/>
            </w14:solidFill>
          </w14:textFill>
        </w:rPr>
        <w:t>投入资金5737万元，</w:t>
      </w:r>
      <w:r>
        <w:rPr>
          <w:rFonts w:eastAsia="仿宋_GB2312"/>
          <w:color w:val="000000" w:themeColor="text1"/>
          <w:sz w:val="32"/>
          <w:szCs w:val="32"/>
          <w14:textFill>
            <w14:solidFill>
              <w14:schemeClr w14:val="tx1"/>
            </w14:solidFill>
          </w14:textFill>
        </w:rPr>
        <w:t>用于梧桐苑配套基础设施（文化街及幼儿园）工程、生活垃圾集中转运工程、第二污水厂二期工程等重点项目；</w:t>
      </w:r>
      <w:r>
        <w:rPr>
          <w:rFonts w:eastAsia="仿宋_GB2312"/>
          <w:b/>
          <w:color w:val="000000" w:themeColor="text1"/>
          <w:sz w:val="32"/>
          <w:szCs w:val="32"/>
          <w14:textFill>
            <w14:solidFill>
              <w14:schemeClr w14:val="tx1"/>
            </w14:solidFill>
          </w14:textFill>
        </w:rPr>
        <w:t>投入资金16385万元，</w:t>
      </w:r>
      <w:r>
        <w:rPr>
          <w:rFonts w:eastAsia="仿宋_GB2312"/>
          <w:color w:val="000000" w:themeColor="text1"/>
          <w:sz w:val="32"/>
          <w:szCs w:val="32"/>
          <w14:textFill>
            <w14:solidFill>
              <w14:schemeClr w14:val="tx1"/>
            </w14:solidFill>
          </w14:textFill>
        </w:rPr>
        <w:t>修建G344线红寺堡过境段</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乌沙塘至红阳</w:t>
      </w:r>
      <w:r>
        <w:rPr>
          <w:rFonts w:hint="eastAsia" w:eastAsia="仿宋_GB2312"/>
          <w:color w:val="000000" w:themeColor="text1"/>
          <w:sz w:val="32"/>
          <w:szCs w:val="32"/>
          <w14:textFill>
            <w14:solidFill>
              <w14:schemeClr w14:val="tx1"/>
            </w14:solidFill>
          </w14:textFill>
        </w:rPr>
        <w:t>段</w:t>
      </w:r>
      <w:r>
        <w:rPr>
          <w:rFonts w:eastAsia="仿宋_GB2312"/>
          <w:color w:val="000000" w:themeColor="text1"/>
          <w:sz w:val="32"/>
          <w:szCs w:val="32"/>
          <w14:textFill>
            <w14:solidFill>
              <w14:schemeClr w14:val="tx1"/>
            </w14:solidFill>
          </w14:textFill>
        </w:rPr>
        <w:t>公路，新建南原至向阳桥梁1座，建设美丽乡村6个，积极推动红寺堡区城镇化建设进程；</w:t>
      </w:r>
      <w:r>
        <w:rPr>
          <w:rFonts w:eastAsia="仿宋_GB2312"/>
          <w:b/>
          <w:color w:val="000000" w:themeColor="text1"/>
          <w:sz w:val="32"/>
          <w:szCs w:val="32"/>
          <w14:textFill>
            <w14:solidFill>
              <w14:schemeClr w14:val="tx1"/>
            </w14:solidFill>
          </w14:textFill>
        </w:rPr>
        <w:t>投入农业生产发展资金20098万元，</w:t>
      </w:r>
      <w:r>
        <w:rPr>
          <w:rFonts w:eastAsia="仿宋_GB2312"/>
          <w:color w:val="000000" w:themeColor="text1"/>
          <w:sz w:val="32"/>
          <w:szCs w:val="32"/>
          <w14:textFill>
            <w14:solidFill>
              <w14:schemeClr w14:val="tx1"/>
            </w14:solidFill>
          </w14:textFill>
        </w:rPr>
        <w:t>用于农机购置补贴政策、推进一二三产业融合发展、开展农业防灾减灾、政策性农业保险等，提高农业综合生产能力, 为发展智慧化、现代化农业奠定了坚实的基础。</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生态文明</w:t>
      </w:r>
      <w:r>
        <w:rPr>
          <w:rFonts w:hint="eastAsia" w:eastAsia="仿宋_GB2312"/>
          <w:b/>
          <w:color w:val="000000" w:themeColor="text1"/>
          <w:sz w:val="32"/>
          <w:szCs w:val="32"/>
          <w14:textFill>
            <w14:solidFill>
              <w14:schemeClr w14:val="tx1"/>
            </w14:solidFill>
          </w14:textFill>
        </w:rPr>
        <w:t>建设</w:t>
      </w:r>
      <w:r>
        <w:rPr>
          <w:rFonts w:eastAsia="仿宋_GB2312"/>
          <w:b/>
          <w:color w:val="000000" w:themeColor="text1"/>
          <w:sz w:val="32"/>
          <w:szCs w:val="32"/>
          <w14:textFill>
            <w14:solidFill>
              <w14:schemeClr w14:val="tx1"/>
            </w14:solidFill>
          </w14:textFill>
        </w:rPr>
        <w:t>持续加强。投入资金1682</w:t>
      </w:r>
      <w:r>
        <w:rPr>
          <w:rFonts w:hint="eastAsia" w:eastAsia="仿宋_GB2312"/>
          <w:b/>
          <w:color w:val="000000" w:themeColor="text1"/>
          <w:sz w:val="32"/>
          <w:szCs w:val="32"/>
          <w14:textFill>
            <w14:solidFill>
              <w14:schemeClr w14:val="tx1"/>
            </w14:solidFill>
          </w14:textFill>
        </w:rPr>
        <w:t>4</w:t>
      </w:r>
      <w:r>
        <w:rPr>
          <w:rFonts w:eastAsia="仿宋_GB2312"/>
          <w:b/>
          <w:color w:val="000000" w:themeColor="text1"/>
          <w:sz w:val="32"/>
          <w:szCs w:val="32"/>
          <w14:textFill>
            <w14:solidFill>
              <w14:schemeClr w14:val="tx1"/>
            </w14:solidFill>
          </w14:textFill>
        </w:rPr>
        <w:t>万元，</w:t>
      </w:r>
      <w:r>
        <w:rPr>
          <w:rFonts w:eastAsia="仿宋_GB2312"/>
          <w:color w:val="000000" w:themeColor="text1"/>
          <w:sz w:val="32"/>
          <w:szCs w:val="32"/>
          <w14:textFill>
            <w14:solidFill>
              <w14:schemeClr w14:val="tx1"/>
            </w14:solidFill>
          </w14:textFill>
        </w:rPr>
        <w:t>用于沙泉、弘德等村污水管网工程、林业草原生态保护等农田水利发展项目，推进大气污染防治、农村生活垃圾治理、 “厕所革命”等重点工程有序实施</w:t>
      </w:r>
      <w:r>
        <w:rPr>
          <w:rFonts w:hint="eastAsia"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投入923万元</w:t>
      </w:r>
      <w:r>
        <w:rPr>
          <w:rFonts w:hint="eastAsia"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用于乡村绿化，全面整治提升村容村貌及农业生产废弃物资源化利用等工作，稳步推进蓝天碧水净土保卫战。</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5.</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农村饮水安全巩固提升。投入资金4812万元，</w:t>
      </w:r>
      <w:r>
        <w:rPr>
          <w:rFonts w:eastAsia="仿宋_GB2312"/>
          <w:color w:val="000000" w:themeColor="text1"/>
          <w:sz w:val="32"/>
          <w:szCs w:val="32"/>
          <w14:textFill>
            <w14:solidFill>
              <w14:schemeClr w14:val="tx1"/>
            </w14:solidFill>
          </w14:textFill>
        </w:rPr>
        <w:t>实施农村人饮改造工程14个，改造周新水厂和红崖水厂，对开元、香园、永新、黄羊滩</w:t>
      </w:r>
      <w:r>
        <w:rPr>
          <w:rFonts w:hint="eastAsia" w:eastAsia="仿宋_GB2312"/>
          <w:color w:val="000000" w:themeColor="text1"/>
          <w:sz w:val="32"/>
          <w:szCs w:val="32"/>
          <w14:textFill>
            <w14:solidFill>
              <w14:schemeClr w14:val="tx1"/>
            </w14:solidFill>
          </w14:textFill>
        </w:rPr>
        <w:t>等村</w:t>
      </w:r>
      <w:r>
        <w:rPr>
          <w:rFonts w:eastAsia="仿宋_GB2312"/>
          <w:color w:val="000000" w:themeColor="text1"/>
          <w:sz w:val="32"/>
          <w:szCs w:val="32"/>
          <w14:textFill>
            <w14:solidFill>
              <w14:schemeClr w14:val="tx1"/>
            </w14:solidFill>
          </w14:textFill>
        </w:rPr>
        <w:t>入巷、入户管道进行提升改造，进一步提高农村饮水安全保障水平。</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6.</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脱贫攻坚工作如期完成。统筹整合各类扶贫资金 4799</w:t>
      </w:r>
      <w:r>
        <w:rPr>
          <w:rFonts w:hint="eastAsia" w:eastAsia="仿宋_GB2312"/>
          <w:b/>
          <w:color w:val="000000" w:themeColor="text1"/>
          <w:sz w:val="32"/>
          <w:szCs w:val="32"/>
          <w14:textFill>
            <w14:solidFill>
              <w14:schemeClr w14:val="tx1"/>
            </w14:solidFill>
          </w14:textFill>
        </w:rPr>
        <w:t>0</w:t>
      </w:r>
      <w:r>
        <w:rPr>
          <w:rFonts w:eastAsia="仿宋_GB2312"/>
          <w:b/>
          <w:color w:val="000000" w:themeColor="text1"/>
          <w:sz w:val="32"/>
          <w:szCs w:val="32"/>
          <w14:textFill>
            <w14:solidFill>
              <w14:schemeClr w14:val="tx1"/>
            </w14:solidFill>
          </w14:textFill>
        </w:rPr>
        <w:t>万元，</w:t>
      </w:r>
      <w:r>
        <w:rPr>
          <w:rFonts w:eastAsia="仿宋_GB2312"/>
          <w:color w:val="000000" w:themeColor="text1"/>
          <w:sz w:val="32"/>
          <w:szCs w:val="32"/>
          <w14:textFill>
            <w14:solidFill>
              <w14:schemeClr w14:val="tx1"/>
            </w14:solidFill>
          </w14:textFill>
        </w:rPr>
        <w:t>用于农村基础设施建设、产业发展、小额贷款贴息、光伏电站等，严格负面清单管理，建立资金使用情况督查通报制度，资金全年支付率达到96.3%，年度脱贫攻坚目标任务顺利完成。优化融资环境，充分发挥担保公司职能，持续放大财政资金撬动贷款作用，2020年担保贷款14524万元，有效缓解了新型农业经营主体、企业等融资难、融资贵的问题。</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7.</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社会基层治理成效显著。争取农村公益事业财政奖补项目资金2417万元，</w:t>
      </w:r>
      <w:r>
        <w:rPr>
          <w:rFonts w:eastAsia="仿宋_GB2312"/>
          <w:color w:val="000000" w:themeColor="text1"/>
          <w:sz w:val="32"/>
          <w:szCs w:val="32"/>
          <w14:textFill>
            <w14:solidFill>
              <w14:schemeClr w14:val="tx1"/>
            </w14:solidFill>
          </w14:textFill>
        </w:rPr>
        <w:t>实施农村公益事业财政奖补项目36个；</w:t>
      </w:r>
      <w:r>
        <w:rPr>
          <w:rFonts w:eastAsia="仿宋_GB2312"/>
          <w:b/>
          <w:color w:val="000000" w:themeColor="text1"/>
          <w:sz w:val="32"/>
          <w:szCs w:val="32"/>
          <w14:textFill>
            <w14:solidFill>
              <w14:schemeClr w14:val="tx1"/>
            </w14:solidFill>
          </w14:textFill>
        </w:rPr>
        <w:t>投入资金78</w:t>
      </w:r>
      <w:r>
        <w:rPr>
          <w:rFonts w:hint="eastAsia" w:eastAsia="仿宋_GB2312"/>
          <w:b/>
          <w:color w:val="000000" w:themeColor="text1"/>
          <w:sz w:val="32"/>
          <w:szCs w:val="32"/>
          <w14:textFill>
            <w14:solidFill>
              <w14:schemeClr w14:val="tx1"/>
            </w14:solidFill>
          </w14:textFill>
        </w:rPr>
        <w:t>9</w:t>
      </w:r>
      <w:r>
        <w:rPr>
          <w:rFonts w:eastAsia="仿宋_GB2312"/>
          <w:b/>
          <w:color w:val="000000" w:themeColor="text1"/>
          <w:sz w:val="32"/>
          <w:szCs w:val="32"/>
          <w14:textFill>
            <w14:solidFill>
              <w14:schemeClr w14:val="tx1"/>
            </w14:solidFill>
          </w14:textFill>
        </w:rPr>
        <w:t>万元</w:t>
      </w:r>
      <w:r>
        <w:rPr>
          <w:rFonts w:hint="eastAsia"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用于完善</w:t>
      </w:r>
      <w:r>
        <w:rPr>
          <w:rFonts w:hint="eastAsia" w:eastAsia="仿宋_GB2312"/>
          <w:color w:val="000000" w:themeColor="text1"/>
          <w:sz w:val="32"/>
          <w:szCs w:val="32"/>
          <w14:textFill>
            <w14:solidFill>
              <w14:schemeClr w14:val="tx1"/>
            </w14:solidFill>
          </w14:textFill>
        </w:rPr>
        <w:t>社区、</w:t>
      </w:r>
      <w:r>
        <w:rPr>
          <w:rFonts w:eastAsia="仿宋_GB2312"/>
          <w:color w:val="000000" w:themeColor="text1"/>
          <w:sz w:val="32"/>
          <w:szCs w:val="32"/>
          <w14:textFill>
            <w14:solidFill>
              <w14:schemeClr w14:val="tx1"/>
            </w14:solidFill>
          </w14:textFill>
        </w:rPr>
        <w:t>村部基础设施建设，打造</w:t>
      </w:r>
      <w:r>
        <w:rPr>
          <w:rFonts w:hint="eastAsia" w:eastAsia="仿宋_GB2312"/>
          <w:color w:val="000000" w:themeColor="text1"/>
          <w:sz w:val="32"/>
          <w:szCs w:val="32"/>
          <w14:textFill>
            <w14:solidFill>
              <w14:schemeClr w14:val="tx1"/>
            </w14:solidFill>
          </w14:textFill>
        </w:rPr>
        <w:t>基层</w:t>
      </w:r>
      <w:r>
        <w:rPr>
          <w:rFonts w:eastAsia="仿宋_GB2312"/>
          <w:color w:val="000000" w:themeColor="text1"/>
          <w:sz w:val="32"/>
          <w:szCs w:val="32"/>
          <w14:textFill>
            <w14:solidFill>
              <w14:schemeClr w14:val="tx1"/>
            </w14:solidFill>
          </w14:textFill>
        </w:rPr>
        <w:t>文化</w:t>
      </w:r>
      <w:r>
        <w:rPr>
          <w:rFonts w:hint="eastAsia" w:eastAsia="仿宋_GB2312"/>
          <w:color w:val="000000" w:themeColor="text1"/>
          <w:sz w:val="32"/>
          <w:szCs w:val="32"/>
          <w14:textFill>
            <w14:solidFill>
              <w14:schemeClr w14:val="tx1"/>
            </w14:solidFill>
          </w14:textFill>
        </w:rPr>
        <w:t>阵地</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基层社会治理水平持续提升。</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8.</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疫情防控政策全面落实</w:t>
      </w:r>
      <w:r>
        <w:rPr>
          <w:rFonts w:hint="eastAsia" w:eastAsia="仿宋_GB2312"/>
          <w:b/>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投入资金5992万元，</w:t>
      </w:r>
      <w:r>
        <w:rPr>
          <w:rFonts w:hint="eastAsia" w:eastAsia="仿宋_GB2312"/>
          <w:color w:val="000000" w:themeColor="text1"/>
          <w:sz w:val="32"/>
          <w:szCs w:val="32"/>
          <w14:textFill>
            <w14:solidFill>
              <w14:schemeClr w14:val="tx1"/>
            </w14:solidFill>
          </w14:textFill>
        </w:rPr>
        <w:t>落实落细疫情防控各项政策措施，及时储备各类</w:t>
      </w:r>
      <w:r>
        <w:rPr>
          <w:rFonts w:eastAsia="仿宋_GB2312"/>
          <w:color w:val="000000" w:themeColor="text1"/>
          <w:sz w:val="32"/>
          <w:szCs w:val="32"/>
          <w14:textFill>
            <w14:solidFill>
              <w14:schemeClr w14:val="tx1"/>
            </w14:solidFill>
          </w14:textFill>
        </w:rPr>
        <w:t>疫情防控物资，完善应急物资保障体系，全力保障我区打赢疫情防控攻坚战。</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w:t>
      </w:r>
      <w:r>
        <w:rPr>
          <w:rFonts w:eastAsia="楷体_GB2312"/>
          <w:b/>
          <w:bCs/>
          <w:color w:val="000000" w:themeColor="text1"/>
          <w:sz w:val="32"/>
          <w:szCs w:val="32"/>
          <w14:textFill>
            <w14:solidFill>
              <w14:schemeClr w14:val="tx1"/>
            </w14:solidFill>
          </w14:textFill>
        </w:rPr>
        <w:t>贯彻新发展理念</w:t>
      </w:r>
      <w:r>
        <w:rPr>
          <w:rFonts w:hint="eastAsia" w:eastAsia="楷体_GB2312"/>
          <w:b/>
          <w:color w:val="000000" w:themeColor="text1"/>
          <w:sz w:val="32"/>
          <w:szCs w:val="32"/>
          <w14:textFill>
            <w14:solidFill>
              <w14:schemeClr w14:val="tx1"/>
            </w14:solidFill>
          </w14:textFill>
        </w:rPr>
        <w:t>，力促财政改革新步伐</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w:t>
      </w:r>
      <w:r>
        <w:rPr>
          <w:rFonts w:hint="eastAsia" w:eastAsia="楷体_GB2312"/>
          <w:b/>
          <w:bCs/>
          <w:color w:val="000000" w:themeColor="text1"/>
          <w:sz w:val="32"/>
          <w:szCs w:val="32"/>
          <w14:textFill>
            <w14:solidFill>
              <w14:schemeClr w14:val="tx1"/>
            </w14:solidFill>
          </w14:textFill>
        </w:rPr>
        <w:t xml:space="preserve"> </w:t>
      </w:r>
      <w:r>
        <w:rPr>
          <w:rFonts w:eastAsia="楷体_GB2312"/>
          <w:b/>
          <w:bCs/>
          <w:color w:val="000000" w:themeColor="text1"/>
          <w:sz w:val="32"/>
          <w:szCs w:val="32"/>
          <w14:textFill>
            <w14:solidFill>
              <w14:schemeClr w14:val="tx1"/>
            </w14:solidFill>
          </w14:textFill>
        </w:rPr>
        <w:t>积极改进管理方式，</w:t>
      </w:r>
      <w:r>
        <w:rPr>
          <w:rFonts w:hint="eastAsia" w:eastAsia="楷体_GB2312"/>
          <w:b/>
          <w:bCs/>
          <w:color w:val="000000" w:themeColor="text1"/>
          <w:sz w:val="32"/>
          <w:szCs w:val="32"/>
          <w14:textFill>
            <w14:solidFill>
              <w14:schemeClr w14:val="tx1"/>
            </w14:solidFill>
          </w14:textFill>
        </w:rPr>
        <w:t>预算管理制度改革取得阶段性成果。</w:t>
      </w:r>
      <w:r>
        <w:rPr>
          <w:rFonts w:eastAsia="仿宋_GB2312"/>
          <w:b/>
          <w:color w:val="000000" w:themeColor="text1"/>
          <w:sz w:val="32"/>
          <w:szCs w:val="32"/>
          <w14:textFill>
            <w14:solidFill>
              <w14:schemeClr w14:val="tx1"/>
            </w14:solidFill>
          </w14:textFill>
        </w:rPr>
        <w:t>一是完善政府预算体系。</w:t>
      </w:r>
      <w:r>
        <w:rPr>
          <w:rFonts w:eastAsia="仿宋_GB2312"/>
          <w:color w:val="000000" w:themeColor="text1"/>
          <w:sz w:val="32"/>
          <w:szCs w:val="32"/>
          <w14:textFill>
            <w14:solidFill>
              <w14:schemeClr w14:val="tx1"/>
            </w14:solidFill>
          </w14:textFill>
        </w:rPr>
        <w:t>推进综合预算管理，强化全口径预算，加大结余结转与新增财力的统筹力度，形成定位清晰、分工明确的政府预算体系</w:t>
      </w:r>
      <w:r>
        <w:rPr>
          <w:rFonts w:hint="eastAsia"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二是深化部门预算编制改革。</w:t>
      </w:r>
      <w:r>
        <w:rPr>
          <w:rFonts w:eastAsia="仿宋_GB2312"/>
          <w:color w:val="000000" w:themeColor="text1"/>
          <w:sz w:val="32"/>
          <w:szCs w:val="32"/>
          <w14:textFill>
            <w14:solidFill>
              <w14:schemeClr w14:val="tx1"/>
            </w14:solidFill>
          </w14:textFill>
        </w:rPr>
        <w:t>推行部门预算编制精准度、结转结余、绩效结果、支出进度与预算安排挂钩“四个挂钩”机制，突出权责下沉，强化部门主体责任</w:t>
      </w:r>
      <w:r>
        <w:rPr>
          <w:rFonts w:hint="eastAsia"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三是启动实施财政项目库管理。</w:t>
      </w:r>
      <w:r>
        <w:rPr>
          <w:rFonts w:eastAsia="仿宋_GB2312"/>
          <w:color w:val="000000" w:themeColor="text1"/>
          <w:sz w:val="32"/>
          <w:szCs w:val="32"/>
          <w14:textFill>
            <w14:solidFill>
              <w14:schemeClr w14:val="tx1"/>
            </w14:solidFill>
          </w14:textFill>
        </w:rPr>
        <w:t>所有资金全部纳入项目库</w:t>
      </w:r>
      <w:r>
        <w:rPr>
          <w:rFonts w:hint="eastAsia" w:eastAsia="仿宋_GB2312"/>
          <w:color w:val="000000" w:themeColor="text1"/>
          <w:sz w:val="32"/>
          <w:szCs w:val="32"/>
          <w14:textFill>
            <w14:solidFill>
              <w14:schemeClr w14:val="tx1"/>
            </w14:solidFill>
          </w14:textFill>
        </w:rPr>
        <w:t>管理</w:t>
      </w:r>
      <w:r>
        <w:rPr>
          <w:rFonts w:eastAsia="仿宋_GB2312"/>
          <w:color w:val="000000" w:themeColor="text1"/>
          <w:sz w:val="32"/>
          <w:szCs w:val="32"/>
          <w14:textFill>
            <w14:solidFill>
              <w14:schemeClr w14:val="tx1"/>
            </w14:solidFill>
          </w14:textFill>
        </w:rPr>
        <w:t>，进一步提升了资金安排与项目筹划的有效衔接</w:t>
      </w:r>
      <w:r>
        <w:rPr>
          <w:rFonts w:hint="eastAsia"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四是打造“阳光”财政。</w:t>
      </w:r>
      <w:r>
        <w:rPr>
          <w:rFonts w:eastAsia="仿宋_GB2312"/>
          <w:color w:val="000000" w:themeColor="text1"/>
          <w:sz w:val="32"/>
          <w:szCs w:val="32"/>
          <w14:textFill>
            <w14:solidFill>
              <w14:schemeClr w14:val="tx1"/>
            </w14:solidFill>
          </w14:textFill>
        </w:rPr>
        <w:t>全力推进预决算公开，2020年预决算公开率达100%。</w:t>
      </w:r>
    </w:p>
    <w:p>
      <w:pPr>
        <w:overflowPunct w:val="0"/>
        <w:spacing w:line="560" w:lineRule="exact"/>
        <w:ind w:firstLine="642" w:firstLineChars="200"/>
        <w:contextualSpacing/>
        <w:textAlignment w:val="baseline"/>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w:t>
      </w:r>
      <w:r>
        <w:rPr>
          <w:rFonts w:hint="eastAsia" w:eastAsia="仿宋_GB2312"/>
          <w:b/>
          <w:color w:val="000000" w:themeColor="text1"/>
          <w:sz w:val="32"/>
          <w:szCs w:val="32"/>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14:textFill>
            <w14:solidFill>
              <w14:schemeClr w14:val="tx1"/>
            </w14:solidFill>
          </w14:textFill>
        </w:rPr>
        <w:t>全面实施预算绩效管理，着力提升财政资源配置效率。</w:t>
      </w:r>
      <w:r>
        <w:rPr>
          <w:rFonts w:eastAsia="仿宋_GB2312"/>
          <w:b/>
          <w:color w:val="000000" w:themeColor="text1"/>
          <w:sz w:val="32"/>
          <w:szCs w:val="32"/>
          <w14:textFill>
            <w14:solidFill>
              <w14:schemeClr w14:val="tx1"/>
            </w14:solidFill>
          </w14:textFill>
        </w:rPr>
        <w:t>一是加强绩效目标管理。</w:t>
      </w:r>
      <w:r>
        <w:rPr>
          <w:rFonts w:eastAsia="仿宋_GB2312"/>
          <w:color w:val="000000" w:themeColor="text1"/>
          <w:sz w:val="32"/>
          <w:szCs w:val="32"/>
          <w14:textFill>
            <w14:solidFill>
              <w14:schemeClr w14:val="tx1"/>
            </w14:solidFill>
          </w14:textFill>
        </w:rPr>
        <w:t>规范绩效目标设置，实现绩效目标与部门预算同步申报、同步审核、同步批复</w:t>
      </w:r>
      <w:r>
        <w:rPr>
          <w:rFonts w:hint="eastAsia"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二是分步建设绩效评价指标体系。</w:t>
      </w:r>
      <w:r>
        <w:rPr>
          <w:rFonts w:eastAsia="仿宋_GB2312"/>
          <w:color w:val="000000" w:themeColor="text1"/>
          <w:sz w:val="32"/>
          <w:szCs w:val="32"/>
          <w14:textFill>
            <w14:solidFill>
              <w14:schemeClr w14:val="tx1"/>
            </w14:solidFill>
          </w14:textFill>
        </w:rPr>
        <w:t>建成“科技”、“环保”、“扶贫”、“教育”四大类专项指标体系，做到指标清晰、简单易行、科学标准、操作性强</w:t>
      </w:r>
      <w:r>
        <w:rPr>
          <w:rFonts w:hint="eastAsia"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三是推动绩效评价提质扩面。</w:t>
      </w:r>
      <w:r>
        <w:rPr>
          <w:rFonts w:eastAsia="仿宋_GB2312"/>
          <w:color w:val="000000" w:themeColor="text1"/>
          <w:sz w:val="32"/>
          <w:szCs w:val="32"/>
          <w14:textFill>
            <w14:solidFill>
              <w14:schemeClr w14:val="tx1"/>
            </w14:solidFill>
          </w14:textFill>
        </w:rPr>
        <w:t>选取区委</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政府高度重视、社会公众普遍关注、社会影响深远的</w:t>
      </w:r>
      <w:r>
        <w:rPr>
          <w:rFonts w:hint="eastAsia" w:eastAsia="仿宋_GB2312"/>
          <w:color w:val="000000" w:themeColor="text1"/>
          <w:sz w:val="32"/>
          <w:szCs w:val="32"/>
          <w14:textFill>
            <w14:solidFill>
              <w14:schemeClr w14:val="tx1"/>
            </w14:solidFill>
          </w14:textFill>
        </w:rPr>
        <w:t>扶贫资金、疫情防控捐赠资金、新增债券资金、污染防治资金、公共文化服务等5个领域</w:t>
      </w:r>
      <w:r>
        <w:rPr>
          <w:rFonts w:eastAsia="仿宋_GB2312"/>
          <w:color w:val="000000" w:themeColor="text1"/>
          <w:sz w:val="32"/>
          <w:szCs w:val="32"/>
          <w14:textFill>
            <w14:solidFill>
              <w14:schemeClr w14:val="tx1"/>
            </w14:solidFill>
          </w14:textFill>
        </w:rPr>
        <w:t>，委托第三方机构开展重点</w:t>
      </w:r>
      <w:r>
        <w:rPr>
          <w:rFonts w:hint="eastAsia" w:eastAsia="仿宋_GB2312"/>
          <w:color w:val="000000" w:themeColor="text1"/>
          <w:sz w:val="32"/>
          <w:szCs w:val="32"/>
          <w14:textFill>
            <w14:solidFill>
              <w14:schemeClr w14:val="tx1"/>
            </w14:solidFill>
          </w14:textFill>
        </w:rPr>
        <w:t>绩效</w:t>
      </w:r>
      <w:r>
        <w:rPr>
          <w:rFonts w:eastAsia="仿宋_GB2312"/>
          <w:color w:val="000000" w:themeColor="text1"/>
          <w:sz w:val="32"/>
          <w:szCs w:val="32"/>
          <w14:textFill>
            <w14:solidFill>
              <w14:schemeClr w14:val="tx1"/>
            </w14:solidFill>
          </w14:textFill>
        </w:rPr>
        <w:t>评价，</w:t>
      </w:r>
      <w:r>
        <w:rPr>
          <w:rFonts w:hint="eastAsia" w:eastAsia="仿宋_GB2312"/>
          <w:color w:val="000000" w:themeColor="text1"/>
          <w:sz w:val="32"/>
          <w:szCs w:val="32"/>
          <w14:textFill>
            <w14:solidFill>
              <w14:schemeClr w14:val="tx1"/>
            </w14:solidFill>
          </w14:textFill>
        </w:rPr>
        <w:t>确保</w:t>
      </w:r>
      <w:r>
        <w:rPr>
          <w:rFonts w:eastAsia="仿宋_GB2312"/>
          <w:color w:val="000000" w:themeColor="text1"/>
          <w:sz w:val="32"/>
          <w:szCs w:val="32"/>
          <w14:textFill>
            <w14:solidFill>
              <w14:schemeClr w14:val="tx1"/>
            </w14:solidFill>
          </w14:textFill>
        </w:rPr>
        <w:t>财政</w:t>
      </w:r>
      <w:r>
        <w:rPr>
          <w:rFonts w:hint="eastAsia" w:eastAsia="仿宋_GB2312"/>
          <w:color w:val="000000" w:themeColor="text1"/>
          <w:sz w:val="32"/>
          <w:szCs w:val="32"/>
          <w14:textFill>
            <w14:solidFill>
              <w14:schemeClr w14:val="tx1"/>
            </w14:solidFill>
          </w14:textFill>
        </w:rPr>
        <w:t>资金</w:t>
      </w:r>
      <w:r>
        <w:rPr>
          <w:rFonts w:eastAsia="仿宋_GB2312"/>
          <w:color w:val="000000" w:themeColor="text1"/>
          <w:sz w:val="32"/>
          <w:szCs w:val="32"/>
          <w14:textFill>
            <w14:solidFill>
              <w14:schemeClr w14:val="tx1"/>
            </w14:solidFill>
          </w14:textFill>
        </w:rPr>
        <w:t>使用安全。</w:t>
      </w:r>
    </w:p>
    <w:p>
      <w:pPr>
        <w:overflowPunct w:val="0"/>
        <w:spacing w:line="560" w:lineRule="exact"/>
        <w:ind w:firstLine="642" w:firstLineChars="200"/>
        <w:contextualSpacing/>
        <w:textAlignment w:val="baseline"/>
        <w:rPr>
          <w:rFonts w:eastAsia="楷体_GB2312"/>
          <w:b/>
          <w:color w:val="000000" w:themeColor="text1"/>
          <w:spacing w:val="-5"/>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3</w:t>
      </w:r>
      <w:r>
        <w:rPr>
          <w:rFonts w:eastAsia="仿宋_GB2312"/>
          <w:b/>
          <w:color w:val="000000" w:themeColor="text1"/>
          <w:sz w:val="32"/>
          <w:szCs w:val="32"/>
          <w14:textFill>
            <w14:solidFill>
              <w14:schemeClr w14:val="tx1"/>
            </w14:solidFill>
          </w14:textFill>
        </w:rPr>
        <w:t>.</w:t>
      </w:r>
      <w:r>
        <w:rPr>
          <w:rFonts w:hint="eastAsia" w:eastAsia="仿宋_GB2312"/>
          <w:b/>
          <w:color w:val="000000" w:themeColor="text1"/>
          <w:sz w:val="32"/>
          <w:szCs w:val="32"/>
          <w14:textFill>
            <w14:solidFill>
              <w14:schemeClr w14:val="tx1"/>
            </w14:solidFill>
          </w14:textFill>
        </w:rPr>
        <w:t xml:space="preserve"> </w:t>
      </w:r>
      <w:r>
        <w:rPr>
          <w:rFonts w:hint="eastAsia" w:ascii="楷体_GB2312" w:hAnsi="楷体_GB2312" w:eastAsia="楷体_GB2312" w:cs="楷体_GB2312"/>
          <w:b/>
          <w:bCs/>
          <w:color w:val="000000" w:themeColor="text1"/>
          <w:spacing w:val="-5"/>
          <w:sz w:val="32"/>
          <w:szCs w:val="32"/>
          <w14:textFill>
            <w14:solidFill>
              <w14:schemeClr w14:val="tx1"/>
            </w14:solidFill>
          </w14:textFill>
        </w:rPr>
        <w:t>不断健全政府债务管理制度，严控政府债务风险。</w:t>
      </w:r>
      <w:r>
        <w:rPr>
          <w:rFonts w:eastAsia="仿宋_GB2312"/>
          <w:color w:val="000000" w:themeColor="text1"/>
          <w:spacing w:val="-5"/>
          <w:sz w:val="32"/>
          <w:szCs w:val="32"/>
          <w14:textFill>
            <w14:solidFill>
              <w14:schemeClr w14:val="tx1"/>
            </w14:solidFill>
          </w14:textFill>
        </w:rPr>
        <w:t>坚持把防风险摆在首要位置，牢牢守住不发生系统性区域性风险的底线。</w:t>
      </w:r>
      <w:r>
        <w:rPr>
          <w:rFonts w:eastAsia="仿宋_GB2312"/>
          <w:b/>
          <w:color w:val="000000" w:themeColor="text1"/>
          <w:spacing w:val="-5"/>
          <w:sz w:val="32"/>
          <w:szCs w:val="32"/>
          <w14:textFill>
            <w14:solidFill>
              <w14:schemeClr w14:val="tx1"/>
            </w14:solidFill>
          </w14:textFill>
        </w:rPr>
        <w:t>一是建立长效机制。</w:t>
      </w:r>
      <w:r>
        <w:rPr>
          <w:rFonts w:eastAsia="仿宋_GB2312"/>
          <w:color w:val="000000" w:themeColor="text1"/>
          <w:spacing w:val="-5"/>
          <w:sz w:val="32"/>
          <w:szCs w:val="32"/>
          <w14:textFill>
            <w14:solidFill>
              <w14:schemeClr w14:val="tx1"/>
            </w14:solidFill>
          </w14:textFill>
        </w:rPr>
        <w:t>先后出台</w:t>
      </w:r>
      <w:r>
        <w:rPr>
          <w:rFonts w:hint="eastAsia" w:eastAsia="仿宋_GB2312"/>
          <w:color w:val="000000" w:themeColor="text1"/>
          <w:spacing w:val="-5"/>
          <w:sz w:val="32"/>
          <w:szCs w:val="32"/>
          <w14:textFill>
            <w14:solidFill>
              <w14:schemeClr w14:val="tx1"/>
            </w14:solidFill>
          </w14:textFill>
        </w:rPr>
        <w:t>《</w:t>
      </w:r>
      <w:r>
        <w:rPr>
          <w:rFonts w:eastAsia="仿宋_GB2312"/>
          <w:color w:val="000000" w:themeColor="text1"/>
          <w:spacing w:val="-5"/>
          <w:sz w:val="32"/>
          <w:szCs w:val="32"/>
          <w14:textFill>
            <w14:solidFill>
              <w14:schemeClr w14:val="tx1"/>
            </w14:solidFill>
          </w14:textFill>
        </w:rPr>
        <w:t>红寺堡区加强政府性债务管理意见</w:t>
      </w:r>
      <w:r>
        <w:rPr>
          <w:rFonts w:hint="eastAsia" w:eastAsia="仿宋_GB2312"/>
          <w:color w:val="000000" w:themeColor="text1"/>
          <w:spacing w:val="-5"/>
          <w:sz w:val="32"/>
          <w:szCs w:val="32"/>
          <w14:textFill>
            <w14:solidFill>
              <w14:schemeClr w14:val="tx1"/>
            </w14:solidFill>
          </w14:textFill>
        </w:rPr>
        <w:t>》《</w:t>
      </w:r>
      <w:r>
        <w:rPr>
          <w:rFonts w:eastAsia="仿宋_GB2312"/>
          <w:color w:val="000000" w:themeColor="text1"/>
          <w:spacing w:val="-5"/>
          <w:sz w:val="32"/>
          <w:szCs w:val="32"/>
          <w14:textFill>
            <w14:solidFill>
              <w14:schemeClr w14:val="tx1"/>
            </w14:solidFill>
          </w14:textFill>
        </w:rPr>
        <w:t>红寺堡区</w:t>
      </w:r>
      <w:r>
        <w:rPr>
          <w:rFonts w:hint="eastAsia" w:eastAsia="仿宋_GB2312"/>
          <w:color w:val="000000" w:themeColor="text1"/>
          <w:spacing w:val="-5"/>
          <w:sz w:val="32"/>
          <w:szCs w:val="32"/>
          <w14:textFill>
            <w14:solidFill>
              <w14:schemeClr w14:val="tx1"/>
            </w14:solidFill>
          </w14:textFill>
        </w:rPr>
        <w:t>债务</w:t>
      </w:r>
      <w:r>
        <w:rPr>
          <w:rFonts w:eastAsia="仿宋_GB2312"/>
          <w:color w:val="000000" w:themeColor="text1"/>
          <w:spacing w:val="-5"/>
          <w:sz w:val="32"/>
          <w:szCs w:val="32"/>
          <w14:textFill>
            <w14:solidFill>
              <w14:schemeClr w14:val="tx1"/>
            </w14:solidFill>
          </w14:textFill>
        </w:rPr>
        <w:t>风险应急处置预案</w:t>
      </w:r>
      <w:r>
        <w:rPr>
          <w:rFonts w:hint="eastAsia" w:eastAsia="仿宋_GB2312"/>
          <w:color w:val="000000" w:themeColor="text1"/>
          <w:spacing w:val="-5"/>
          <w:sz w:val="32"/>
          <w:szCs w:val="32"/>
          <w14:textFill>
            <w14:solidFill>
              <w14:schemeClr w14:val="tx1"/>
            </w14:solidFill>
          </w14:textFill>
        </w:rPr>
        <w:t>》</w:t>
      </w:r>
      <w:r>
        <w:rPr>
          <w:rFonts w:eastAsia="仿宋_GB2312"/>
          <w:color w:val="000000" w:themeColor="text1"/>
          <w:spacing w:val="-5"/>
          <w:sz w:val="32"/>
          <w:szCs w:val="32"/>
          <w14:textFill>
            <w14:solidFill>
              <w14:schemeClr w14:val="tx1"/>
            </w14:solidFill>
          </w14:textFill>
        </w:rPr>
        <w:t>等一系列制度措施，明确时间表、路线图，为全面加强政府债务管理、防范化解隐性债务风险奠定扎实基础</w:t>
      </w:r>
      <w:r>
        <w:rPr>
          <w:rFonts w:hint="eastAsia" w:eastAsia="仿宋_GB2312"/>
          <w:color w:val="000000" w:themeColor="text1"/>
          <w:spacing w:val="-5"/>
          <w:sz w:val="32"/>
          <w:szCs w:val="32"/>
          <w14:textFill>
            <w14:solidFill>
              <w14:schemeClr w14:val="tx1"/>
            </w14:solidFill>
          </w14:textFill>
        </w:rPr>
        <w:t>；</w:t>
      </w:r>
      <w:r>
        <w:rPr>
          <w:rFonts w:eastAsia="仿宋_GB2312"/>
          <w:b/>
          <w:color w:val="000000" w:themeColor="text1"/>
          <w:spacing w:val="-5"/>
          <w:sz w:val="32"/>
          <w:szCs w:val="32"/>
          <w14:textFill>
            <w14:solidFill>
              <w14:schemeClr w14:val="tx1"/>
            </w14:solidFill>
          </w14:textFill>
        </w:rPr>
        <w:t>二是坚持严堵后门，坚决遏制政府债务增量。</w:t>
      </w:r>
      <w:r>
        <w:rPr>
          <w:rFonts w:eastAsia="仿宋_GB2312"/>
          <w:color w:val="000000" w:themeColor="text1"/>
          <w:spacing w:val="-5"/>
          <w:sz w:val="32"/>
          <w:szCs w:val="32"/>
          <w14:textFill>
            <w14:solidFill>
              <w14:schemeClr w14:val="tx1"/>
            </w14:solidFill>
          </w14:textFill>
        </w:rPr>
        <w:t>对政府债务实行规模控制、限额管理。严格执行债务报告和公开制度，加大信息披露力度</w:t>
      </w:r>
      <w:r>
        <w:rPr>
          <w:rFonts w:hint="eastAsia" w:eastAsia="仿宋_GB2312"/>
          <w:color w:val="000000" w:themeColor="text1"/>
          <w:spacing w:val="-5"/>
          <w:sz w:val="32"/>
          <w:szCs w:val="32"/>
          <w14:textFill>
            <w14:solidFill>
              <w14:schemeClr w14:val="tx1"/>
            </w14:solidFill>
          </w14:textFill>
        </w:rPr>
        <w:t>，全年无新增</w:t>
      </w:r>
      <w:r>
        <w:rPr>
          <w:rFonts w:eastAsia="仿宋_GB2312"/>
          <w:color w:val="000000" w:themeColor="text1"/>
          <w:spacing w:val="-5"/>
          <w:sz w:val="32"/>
          <w:szCs w:val="32"/>
          <w14:textFill>
            <w14:solidFill>
              <w14:schemeClr w14:val="tx1"/>
            </w14:solidFill>
          </w14:textFill>
        </w:rPr>
        <w:t>隐性债务</w:t>
      </w:r>
      <w:r>
        <w:rPr>
          <w:rFonts w:hint="eastAsia" w:eastAsia="仿宋_GB2312"/>
          <w:color w:val="000000" w:themeColor="text1"/>
          <w:spacing w:val="-5"/>
          <w:sz w:val="32"/>
          <w:szCs w:val="32"/>
          <w14:textFill>
            <w14:solidFill>
              <w14:schemeClr w14:val="tx1"/>
            </w14:solidFill>
          </w14:textFill>
        </w:rPr>
        <w:t>；</w:t>
      </w:r>
      <w:r>
        <w:rPr>
          <w:rFonts w:eastAsia="仿宋_GB2312"/>
          <w:b/>
          <w:color w:val="000000" w:themeColor="text1"/>
          <w:spacing w:val="-5"/>
          <w:sz w:val="32"/>
          <w:szCs w:val="32"/>
          <w14:textFill>
            <w14:solidFill>
              <w14:schemeClr w14:val="tx1"/>
            </w14:solidFill>
          </w14:textFill>
        </w:rPr>
        <w:t>三是坚持分类施策，积极妥善化解政府债务存量。</w:t>
      </w:r>
      <w:r>
        <w:rPr>
          <w:rFonts w:eastAsia="仿宋_GB2312"/>
          <w:color w:val="000000" w:themeColor="text1"/>
          <w:spacing w:val="-5"/>
          <w:sz w:val="32"/>
          <w:szCs w:val="32"/>
          <w14:textFill>
            <w14:solidFill>
              <w14:schemeClr w14:val="tx1"/>
            </w14:solidFill>
          </w14:textFill>
        </w:rPr>
        <w:t>筹措资金化解政府隐性债务12508万元，超额完成年度化解任务。全力清欠民营企业中小企业账款4327万元，累计清欠13850万元，完成清欠任务的100%。</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全面落实减税降费政策措施。</w:t>
      </w:r>
      <w:r>
        <w:rPr>
          <w:rFonts w:eastAsia="仿宋_GB2312"/>
          <w:color w:val="000000" w:themeColor="text1"/>
          <w:sz w:val="32"/>
          <w:szCs w:val="32"/>
          <w14:textFill>
            <w14:solidFill>
              <w14:schemeClr w14:val="tx1"/>
            </w14:solidFill>
          </w14:textFill>
        </w:rPr>
        <w:t>落实纾困惠企各项减税降费政策，</w:t>
      </w:r>
      <w:r>
        <w:rPr>
          <w:rFonts w:hint="eastAsia" w:eastAsia="仿宋_GB2312"/>
          <w:color w:val="000000" w:themeColor="text1"/>
          <w:sz w:val="32"/>
          <w:szCs w:val="32"/>
          <w14:textFill>
            <w14:solidFill>
              <w14:schemeClr w14:val="tx1"/>
            </w14:solidFill>
          </w14:textFill>
        </w:rPr>
        <w:t>减免</w:t>
      </w:r>
      <w:r>
        <w:rPr>
          <w:rFonts w:eastAsia="仿宋_GB2312"/>
          <w:color w:val="000000" w:themeColor="text1"/>
          <w:sz w:val="32"/>
          <w:szCs w:val="32"/>
          <w14:textFill>
            <w14:solidFill>
              <w14:schemeClr w14:val="tx1"/>
            </w14:solidFill>
          </w14:textFill>
        </w:rPr>
        <w:t>税款3361万元</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特别是支持个体工商户复工复业减税降费力度大，涉及减免税款383万元；小微企业普惠红利多，涉及减免税款55</w:t>
      </w: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万元，减税降费政策帮助企业及时“回血”复苏。</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5.</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财政监督检查工作持续开展。</w:t>
      </w:r>
      <w:r>
        <w:rPr>
          <w:rFonts w:eastAsia="仿宋_GB2312"/>
          <w:color w:val="000000" w:themeColor="text1"/>
          <w:sz w:val="32"/>
          <w:szCs w:val="32"/>
          <w14:textFill>
            <w14:solidFill>
              <w14:schemeClr w14:val="tx1"/>
            </w14:solidFill>
          </w14:textFill>
        </w:rPr>
        <w:t>开展存量资金</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预决算公开</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直达资金、扶贫资金等专项监督检查</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处理预警信息297条。对投融资平台、金融企业、基金会、代理记账机构进行会计法规执行情况检查，确保财政资金安全高效使用。</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6.</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政府采购改革全面推进。</w:t>
      </w:r>
      <w:r>
        <w:rPr>
          <w:rFonts w:eastAsia="仿宋_GB2312"/>
          <w:color w:val="000000" w:themeColor="text1"/>
          <w:sz w:val="32"/>
          <w:szCs w:val="32"/>
          <w14:textFill>
            <w14:solidFill>
              <w14:schemeClr w14:val="tx1"/>
            </w14:solidFill>
          </w14:textFill>
        </w:rPr>
        <w:t>全面深化“放管服”改革，推动政府采购工作“换挡提速和优化升级”。</w:t>
      </w:r>
      <w:r>
        <w:rPr>
          <w:rFonts w:eastAsia="仿宋_GB2312"/>
          <w:b/>
          <w:color w:val="000000" w:themeColor="text1"/>
          <w:sz w:val="32"/>
          <w:szCs w:val="32"/>
          <w14:textFill>
            <w14:solidFill>
              <w14:schemeClr w14:val="tx1"/>
            </w14:solidFill>
          </w14:textFill>
        </w:rPr>
        <w:t>一是以“放”促公平，推动政采活动规范高效。</w:t>
      </w:r>
      <w:r>
        <w:rPr>
          <w:rFonts w:hint="eastAsia" w:eastAsia="仿宋_GB2312"/>
          <w:color w:val="000000" w:themeColor="text1"/>
          <w:sz w:val="32"/>
          <w:szCs w:val="32"/>
          <w14:textFill>
            <w14:solidFill>
              <w14:schemeClr w14:val="tx1"/>
            </w14:solidFill>
          </w14:textFill>
        </w:rPr>
        <w:t>全年</w:t>
      </w:r>
      <w:r>
        <w:rPr>
          <w:rFonts w:eastAsia="仿宋_GB2312"/>
          <w:color w:val="000000" w:themeColor="text1"/>
          <w:sz w:val="32"/>
          <w:szCs w:val="32"/>
          <w14:textFill>
            <w14:solidFill>
              <w14:schemeClr w14:val="tx1"/>
            </w14:solidFill>
          </w14:textFill>
        </w:rPr>
        <w:t>审批通过政府采购项目163 项29736万元，实际采购资金21600万元，节约8136万元，节约率27</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二是以“管”促公正，营造风清气正的政采环境。</w:t>
      </w:r>
      <w:r>
        <w:rPr>
          <w:rFonts w:hint="eastAsia" w:eastAsia="仿宋_GB2312"/>
          <w:color w:val="000000" w:themeColor="text1"/>
          <w:sz w:val="32"/>
          <w:szCs w:val="32"/>
          <w14:textFill>
            <w14:solidFill>
              <w14:schemeClr w14:val="tx1"/>
            </w14:solidFill>
          </w14:textFill>
        </w:rPr>
        <w:t>全年</w:t>
      </w:r>
      <w:r>
        <w:rPr>
          <w:rFonts w:eastAsia="仿宋_GB2312"/>
          <w:color w:val="000000" w:themeColor="text1"/>
          <w:sz w:val="32"/>
          <w:szCs w:val="32"/>
          <w14:textFill>
            <w14:solidFill>
              <w14:schemeClr w14:val="tx1"/>
            </w14:solidFill>
          </w14:textFill>
        </w:rPr>
        <w:t>共接收投诉10件，各类举报6件，通过调解依法撤诉2件，按期处理14件。</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7.</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国有资产管理</w:t>
      </w:r>
      <w:r>
        <w:rPr>
          <w:rFonts w:hint="eastAsia" w:eastAsia="仿宋_GB2312"/>
          <w:b/>
          <w:color w:val="000000" w:themeColor="text1"/>
          <w:sz w:val="32"/>
          <w:szCs w:val="32"/>
          <w14:textFill>
            <w14:solidFill>
              <w14:schemeClr w14:val="tx1"/>
            </w14:solidFill>
          </w14:textFill>
        </w:rPr>
        <w:t>改革</w:t>
      </w:r>
      <w:r>
        <w:rPr>
          <w:rFonts w:eastAsia="仿宋_GB2312"/>
          <w:b/>
          <w:color w:val="000000" w:themeColor="text1"/>
          <w:sz w:val="32"/>
          <w:szCs w:val="32"/>
          <w14:textFill>
            <w14:solidFill>
              <w14:schemeClr w14:val="tx1"/>
            </w14:solidFill>
          </w14:textFill>
        </w:rPr>
        <w:t>稳步推进。一是严格按规定和程序办事。</w:t>
      </w:r>
      <w:r>
        <w:rPr>
          <w:rFonts w:hint="eastAsia" w:eastAsia="仿宋_GB2312"/>
          <w:color w:val="000000" w:themeColor="text1"/>
          <w:sz w:val="32"/>
          <w:szCs w:val="32"/>
          <w14:textFill>
            <w14:solidFill>
              <w14:schemeClr w14:val="tx1"/>
            </w14:solidFill>
          </w14:textFill>
        </w:rPr>
        <w:t>全年</w:t>
      </w:r>
      <w:r>
        <w:rPr>
          <w:rFonts w:eastAsia="仿宋_GB2312"/>
          <w:color w:val="000000" w:themeColor="text1"/>
          <w:sz w:val="32"/>
          <w:szCs w:val="32"/>
          <w14:textFill>
            <w14:solidFill>
              <w14:schemeClr w14:val="tx1"/>
            </w14:solidFill>
          </w14:textFill>
        </w:rPr>
        <w:t>报废固定资产2661万元，调拨资产47</w:t>
      </w:r>
      <w:r>
        <w:rPr>
          <w:rFonts w:hint="eastAsia" w:eastAsia="仿宋_GB2312"/>
          <w:color w:val="000000" w:themeColor="text1"/>
          <w:sz w:val="32"/>
          <w:szCs w:val="32"/>
          <w14:textFill>
            <w14:solidFill>
              <w14:schemeClr w14:val="tx1"/>
            </w14:solidFill>
          </w14:textFill>
        </w:rPr>
        <w:t>10</w:t>
      </w:r>
      <w:r>
        <w:rPr>
          <w:rFonts w:eastAsia="仿宋_GB2312"/>
          <w:color w:val="000000" w:themeColor="text1"/>
          <w:sz w:val="32"/>
          <w:szCs w:val="32"/>
          <w14:textFill>
            <w14:solidFill>
              <w14:schemeClr w14:val="tx1"/>
            </w14:solidFill>
          </w14:textFill>
        </w:rPr>
        <w:t>万元；</w:t>
      </w:r>
      <w:r>
        <w:rPr>
          <w:rFonts w:eastAsia="仿宋_GB2312"/>
          <w:b/>
          <w:color w:val="000000" w:themeColor="text1"/>
          <w:sz w:val="32"/>
          <w:szCs w:val="32"/>
          <w14:textFill>
            <w14:solidFill>
              <w14:schemeClr w14:val="tx1"/>
            </w14:solidFill>
          </w14:textFill>
        </w:rPr>
        <w:t>二是落实国有资产报告制度</w:t>
      </w:r>
      <w:r>
        <w:rPr>
          <w:rFonts w:hint="eastAsia" w:eastAsia="仿宋_GB2312"/>
          <w:color w:val="000000" w:themeColor="text1"/>
          <w:sz w:val="32"/>
          <w:szCs w:val="32"/>
          <w14:textFill>
            <w14:solidFill>
              <w14:schemeClr w14:val="tx1"/>
            </w14:solidFill>
          </w14:textFill>
        </w:rPr>
        <w:t>。及时</w:t>
      </w:r>
      <w:r>
        <w:rPr>
          <w:rFonts w:eastAsia="仿宋_GB2312"/>
          <w:color w:val="000000" w:themeColor="text1"/>
          <w:sz w:val="32"/>
          <w:szCs w:val="32"/>
          <w14:textFill>
            <w14:solidFill>
              <w14:schemeClr w14:val="tx1"/>
            </w14:solidFill>
          </w14:textFill>
        </w:rPr>
        <w:t>向人大常委会报告《2019年国有资产综合报告》，并审议通过；</w:t>
      </w:r>
      <w:r>
        <w:rPr>
          <w:rFonts w:hint="eastAsia" w:eastAsia="仿宋_GB2312"/>
          <w:b/>
          <w:color w:val="000000" w:themeColor="text1"/>
          <w:sz w:val="32"/>
          <w:szCs w:val="32"/>
          <w14:textFill>
            <w14:solidFill>
              <w14:schemeClr w14:val="tx1"/>
            </w14:solidFill>
          </w14:textFill>
        </w:rPr>
        <w:t>三</w:t>
      </w:r>
      <w:r>
        <w:rPr>
          <w:rFonts w:eastAsia="仿宋_GB2312"/>
          <w:b/>
          <w:color w:val="000000" w:themeColor="text1"/>
          <w:sz w:val="32"/>
          <w:szCs w:val="32"/>
          <w14:textFill>
            <w14:solidFill>
              <w14:schemeClr w14:val="tx1"/>
            </w14:solidFill>
          </w14:textFill>
        </w:rPr>
        <w:t>是配备国产化电脑。</w:t>
      </w:r>
      <w:r>
        <w:rPr>
          <w:rFonts w:eastAsia="仿宋_GB2312"/>
          <w:color w:val="000000" w:themeColor="text1"/>
          <w:sz w:val="32"/>
          <w:szCs w:val="32"/>
          <w14:textFill>
            <w14:solidFill>
              <w14:schemeClr w14:val="tx1"/>
            </w14:solidFill>
          </w14:textFill>
        </w:rPr>
        <w:t>投入54</w:t>
      </w:r>
      <w:r>
        <w:rPr>
          <w:rFonts w:hint="eastAsia" w:eastAsia="仿宋_GB2312"/>
          <w:color w:val="000000" w:themeColor="text1"/>
          <w:sz w:val="32"/>
          <w:szCs w:val="32"/>
          <w14:textFill>
            <w14:solidFill>
              <w14:schemeClr w14:val="tx1"/>
            </w14:solidFill>
          </w14:textFill>
        </w:rPr>
        <w:t>5</w:t>
      </w:r>
      <w:r>
        <w:rPr>
          <w:rFonts w:eastAsia="仿宋_GB2312"/>
          <w:color w:val="000000" w:themeColor="text1"/>
          <w:sz w:val="32"/>
          <w:szCs w:val="32"/>
          <w14:textFill>
            <w14:solidFill>
              <w14:schemeClr w14:val="tx1"/>
            </w14:solidFill>
          </w14:textFill>
        </w:rPr>
        <w:t>万元为全区48家单位配备国产化电脑673台。</w:t>
      </w:r>
      <w:r>
        <w:rPr>
          <w:rFonts w:eastAsia="楷体_GB2312"/>
          <w:b/>
          <w:color w:val="000000" w:themeColor="text1"/>
          <w:sz w:val="32"/>
          <w:szCs w:val="32"/>
          <w14:textFill>
            <w14:solidFill>
              <w14:schemeClr w14:val="tx1"/>
            </w14:solidFill>
          </w14:textFill>
        </w:rPr>
        <w:t xml:space="preserve"> </w:t>
      </w:r>
    </w:p>
    <w:p>
      <w:pPr>
        <w:overflowPunct w:val="0"/>
        <w:spacing w:line="560" w:lineRule="exact"/>
        <w:ind w:firstLine="642" w:firstLineChars="200"/>
        <w:contextualSpacing/>
        <w:textAlignment w:val="baseline"/>
        <w:rPr>
          <w:rFonts w:eastAsia="楷体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8.</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会计</w:t>
      </w:r>
      <w:r>
        <w:rPr>
          <w:rFonts w:hint="eastAsia" w:eastAsia="仿宋_GB2312"/>
          <w:b/>
          <w:color w:val="000000" w:themeColor="text1"/>
          <w:sz w:val="32"/>
          <w:szCs w:val="32"/>
          <w14:textFill>
            <w14:solidFill>
              <w14:schemeClr w14:val="tx1"/>
            </w14:solidFill>
          </w14:textFill>
        </w:rPr>
        <w:t>管理</w:t>
      </w:r>
      <w:r>
        <w:rPr>
          <w:rFonts w:eastAsia="仿宋_GB2312"/>
          <w:b/>
          <w:color w:val="000000" w:themeColor="text1"/>
          <w:sz w:val="32"/>
          <w:szCs w:val="32"/>
          <w14:textFill>
            <w14:solidFill>
              <w14:schemeClr w14:val="tx1"/>
            </w14:solidFill>
          </w14:textFill>
        </w:rPr>
        <w:t>改革持续深化。</w:t>
      </w:r>
      <w:r>
        <w:rPr>
          <w:rFonts w:eastAsia="仿宋_GB2312"/>
          <w:color w:val="000000" w:themeColor="text1"/>
          <w:sz w:val="32"/>
          <w:szCs w:val="32"/>
          <w14:textFill>
            <w14:solidFill>
              <w14:schemeClr w14:val="tx1"/>
            </w14:solidFill>
          </w14:textFill>
        </w:rPr>
        <w:t>结合红寺堡区会计人员不足且分布不均衡的现状，为切实加强会计队伍建设，提高行政事业单位财务管理水平，成立圆丰财务管理有限公司，彻底解决了财务人员不足的问题，为我区行政事业单位科学管理、高效运转、低成本运行奠定了坚实的基础。</w:t>
      </w:r>
    </w:p>
    <w:p>
      <w:pPr>
        <w:overflowPunct w:val="0"/>
        <w:spacing w:line="560" w:lineRule="exact"/>
        <w:ind w:firstLine="640" w:firstLineChars="200"/>
        <w:contextualSpacing/>
        <w:textAlignment w:val="baseline"/>
        <w:rPr>
          <w:rFonts w:eastAsia="楷体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各位代表，今年以来，我区财政改革和财政工作取得了一定成绩，但是，我们</w:t>
      </w:r>
      <w:r>
        <w:rPr>
          <w:rFonts w:hint="eastAsia" w:eastAsia="仿宋_GB2312"/>
          <w:color w:val="000000" w:themeColor="text1"/>
          <w:sz w:val="32"/>
          <w:szCs w:val="32"/>
          <w14:textFill>
            <w14:solidFill>
              <w14:schemeClr w14:val="tx1"/>
            </w14:solidFill>
          </w14:textFill>
        </w:rPr>
        <w:t>也</w:t>
      </w:r>
      <w:r>
        <w:rPr>
          <w:rFonts w:eastAsia="仿宋_GB2312"/>
          <w:color w:val="000000" w:themeColor="text1"/>
          <w:sz w:val="32"/>
          <w:szCs w:val="32"/>
          <w14:textFill>
            <w14:solidFill>
              <w14:schemeClr w14:val="tx1"/>
            </w14:solidFill>
          </w14:textFill>
        </w:rPr>
        <w:t>清醒地看到，全区财政运行和财政工作中还面临一些突出困难和问题，我区国民经济发展总体水平仍然比较低，资金需求与财政供给能力之间的矛盾较为突出，财政面临的形势仍然相当严峻。</w:t>
      </w:r>
      <w:r>
        <w:rPr>
          <w:rFonts w:eastAsia="仿宋_GB2312"/>
          <w:b/>
          <w:bCs/>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受宏观经济下行、国家减税降费持续加力影响，财政增收困难加大；</w:t>
      </w:r>
      <w:r>
        <w:rPr>
          <w:rFonts w:eastAsia="仿宋_GB2312"/>
          <w:b/>
          <w:bCs/>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刚性支出、重点项目支出逐年增加，财政平衡压力加剧；</w:t>
      </w:r>
      <w:r>
        <w:rPr>
          <w:rFonts w:eastAsia="仿宋_GB2312"/>
          <w:b/>
          <w:bCs/>
          <w:color w:val="000000" w:themeColor="text1"/>
          <w:sz w:val="32"/>
          <w:szCs w:val="32"/>
          <w14:textFill>
            <w14:solidFill>
              <w14:schemeClr w14:val="tx1"/>
            </w14:solidFill>
          </w14:textFill>
        </w:rPr>
        <w:t>三是</w:t>
      </w:r>
      <w:r>
        <w:rPr>
          <w:rFonts w:eastAsia="仿宋_GB2312"/>
          <w:color w:val="000000" w:themeColor="text1"/>
          <w:sz w:val="32"/>
          <w:szCs w:val="32"/>
          <w14:textFill>
            <w14:solidFill>
              <w14:schemeClr w14:val="tx1"/>
            </w14:solidFill>
          </w14:textFill>
        </w:rPr>
        <w:t>政府性债务风险防范化解要求高，财政化债压力较大；</w:t>
      </w:r>
      <w:r>
        <w:rPr>
          <w:rFonts w:eastAsia="仿宋_GB2312"/>
          <w:b/>
          <w:bCs/>
          <w:color w:val="000000" w:themeColor="text1"/>
          <w:sz w:val="32"/>
          <w:szCs w:val="32"/>
          <w14:textFill>
            <w14:solidFill>
              <w14:schemeClr w14:val="tx1"/>
            </w14:solidFill>
          </w14:textFill>
        </w:rPr>
        <w:t>四是</w:t>
      </w:r>
      <w:r>
        <w:rPr>
          <w:rFonts w:eastAsia="仿宋_GB2312"/>
          <w:color w:val="000000" w:themeColor="text1"/>
          <w:sz w:val="32"/>
          <w:szCs w:val="32"/>
          <w14:textFill>
            <w14:solidFill>
              <w14:schemeClr w14:val="tx1"/>
            </w14:solidFill>
          </w14:textFill>
        </w:rPr>
        <w:t>城市基础设施、工业园区基础设施建设</w:t>
      </w:r>
      <w:r>
        <w:rPr>
          <w:rFonts w:hint="eastAsia" w:eastAsia="仿宋_GB2312"/>
          <w:color w:val="000000" w:themeColor="text1"/>
          <w:sz w:val="32"/>
          <w:szCs w:val="32"/>
          <w14:textFill>
            <w14:solidFill>
              <w14:schemeClr w14:val="tx1"/>
            </w14:solidFill>
          </w14:textFill>
        </w:rPr>
        <w:t>等形成暂付款</w:t>
      </w:r>
      <w:r>
        <w:rPr>
          <w:rFonts w:eastAsia="仿宋_GB2312"/>
          <w:color w:val="000000" w:themeColor="text1"/>
          <w:sz w:val="32"/>
          <w:szCs w:val="32"/>
          <w14:textFill>
            <w14:solidFill>
              <w14:schemeClr w14:val="tx1"/>
            </w14:solidFill>
          </w14:textFill>
        </w:rPr>
        <w:t>化解任务艰巨。这些都需要在今后的工作中认真加以研究解决。</w:t>
      </w:r>
    </w:p>
    <w:p>
      <w:pPr>
        <w:overflowPunct w:val="0"/>
        <w:spacing w:line="560" w:lineRule="exact"/>
        <w:ind w:firstLine="645"/>
        <w:contextualSpacing/>
        <w:textAlignment w:val="baseline"/>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三、2021年财政预算草案</w:t>
      </w:r>
    </w:p>
    <w:p>
      <w:pPr>
        <w:overflowPunct w:val="0"/>
        <w:spacing w:line="560" w:lineRule="exact"/>
        <w:ind w:firstLine="645"/>
        <w:contextualSpacing/>
        <w:textAlignment w:val="baseline"/>
        <w:rPr>
          <w:rFonts w:eastAsia="黑体"/>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2021</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全</w:t>
      </w:r>
      <w:r>
        <w:rPr>
          <w:rFonts w:eastAsia="仿宋_GB2312"/>
          <w:color w:val="000000" w:themeColor="text1"/>
          <w:sz w:val="32"/>
          <w:szCs w:val="32"/>
          <w14:textFill>
            <w14:solidFill>
              <w14:schemeClr w14:val="tx1"/>
            </w14:solidFill>
          </w14:textFill>
        </w:rPr>
        <w:t>区财政工作指导思想是：</w:t>
      </w:r>
      <w:r>
        <w:rPr>
          <w:rFonts w:eastAsia="黑体"/>
          <w:color w:val="000000" w:themeColor="text1"/>
          <w:sz w:val="32"/>
          <w:szCs w:val="32"/>
          <w14:textFill>
            <w14:solidFill>
              <w14:schemeClr w14:val="tx1"/>
            </w14:solidFill>
          </w14:textFill>
        </w:rPr>
        <w:t>坚持以习近平新时代中国特色社会主义思想为指导，全面贯彻落实党的十九大和十九届</w:t>
      </w:r>
      <w:r>
        <w:rPr>
          <w:rFonts w:hint="eastAsia" w:eastAsia="黑体"/>
          <w:color w:val="000000" w:themeColor="text1"/>
          <w:sz w:val="32"/>
          <w:szCs w:val="32"/>
          <w14:textFill>
            <w14:solidFill>
              <w14:schemeClr w14:val="tx1"/>
            </w14:solidFill>
          </w14:textFill>
        </w:rPr>
        <w:t>二中</w:t>
      </w:r>
      <w:r>
        <w:rPr>
          <w:rFonts w:eastAsia="黑体"/>
          <w:color w:val="000000" w:themeColor="text1"/>
          <w:sz w:val="32"/>
          <w:szCs w:val="32"/>
          <w14:textFill>
            <w14:solidFill>
              <w14:schemeClr w14:val="tx1"/>
            </w14:solidFill>
          </w14:textFill>
        </w:rPr>
        <w:t>、三中、四中、五中全会精神及习近平总书记视察宁夏重要讲话精神，</w:t>
      </w:r>
      <w:r>
        <w:rPr>
          <w:rFonts w:hint="eastAsia" w:eastAsia="黑体"/>
          <w:color w:val="000000" w:themeColor="text1"/>
          <w:sz w:val="32"/>
          <w:szCs w:val="32"/>
          <w14:textFill>
            <w14:solidFill>
              <w14:schemeClr w14:val="tx1"/>
            </w14:solidFill>
          </w14:textFill>
        </w:rPr>
        <w:t>全面</w:t>
      </w:r>
      <w:r>
        <w:rPr>
          <w:rFonts w:eastAsia="黑体"/>
          <w:color w:val="000000" w:themeColor="text1"/>
          <w:sz w:val="32"/>
          <w:szCs w:val="32"/>
          <w14:textFill>
            <w14:solidFill>
              <w14:schemeClr w14:val="tx1"/>
            </w14:solidFill>
          </w14:textFill>
        </w:rPr>
        <w:t>落实自治区党委十二届十二次全会、吴忠市委五届十二次全会、区委三届十</w:t>
      </w: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次全会精神，坚定不移贯彻新发展理念，坚持稳中求进工作总基调，以深化供给侧结构性改革为主线，落实好提质增效的积极财政政策</w:t>
      </w:r>
      <w:r>
        <w:rPr>
          <w:rFonts w:hint="eastAsia" w:eastAsia="黑体"/>
          <w:color w:val="000000" w:themeColor="text1"/>
          <w:sz w:val="32"/>
          <w:szCs w:val="32"/>
          <w14:textFill>
            <w14:solidFill>
              <w14:schemeClr w14:val="tx1"/>
            </w14:solidFill>
          </w14:textFill>
        </w:rPr>
        <w:t>。坚持党政机关过“紧日子”思想和以收定支原则，大力调整优化财政支出结构，全面落实“六稳”、“六保”任务，突出保基本、守底线，集中财力保障“三保”和重点领域支出。继续深化预算管理制度改革，加快完善标准科学、规范透明、约束有力的预算制度。坚决防范化解政府债务风险，切实增强财政可持续性。</w:t>
      </w:r>
    </w:p>
    <w:p>
      <w:pPr>
        <w:overflowPunct w:val="0"/>
        <w:spacing w:line="560" w:lineRule="exact"/>
        <w:ind w:firstLine="645"/>
        <w:contextualSpacing/>
        <w:textAlignment w:val="baseline"/>
        <w:rPr>
          <w:rFonts w:eastAsia="黑体"/>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2021年预算编制的基本原则是：</w:t>
      </w:r>
      <w:r>
        <w:rPr>
          <w:rFonts w:eastAsia="黑体"/>
          <w:color w:val="000000" w:themeColor="text1"/>
          <w:sz w:val="32"/>
          <w:szCs w:val="32"/>
          <w14:textFill>
            <w14:solidFill>
              <w14:schemeClr w14:val="tx1"/>
            </w14:solidFill>
          </w14:textFill>
        </w:rPr>
        <w:t>一是实事求是、积极稳妥。</w:t>
      </w:r>
      <w:r>
        <w:rPr>
          <w:rFonts w:eastAsia="仿宋_GB2312"/>
          <w:color w:val="000000" w:themeColor="text1"/>
          <w:sz w:val="32"/>
          <w:szCs w:val="32"/>
          <w14:textFill>
            <w14:solidFill>
              <w14:schemeClr w14:val="tx1"/>
            </w14:solidFill>
          </w14:textFill>
        </w:rPr>
        <w:t>收入预期要与经济社会发展水平相适应；支出安排要尽力而为、量力而行，根据全区经济社会发展水平，历年财政收支基数，确定财政收支增长目标，制定财政收支计划；</w:t>
      </w:r>
      <w:r>
        <w:rPr>
          <w:rFonts w:eastAsia="黑体"/>
          <w:color w:val="000000" w:themeColor="text1"/>
          <w:sz w:val="32"/>
          <w:szCs w:val="32"/>
          <w14:textFill>
            <w14:solidFill>
              <w14:schemeClr w14:val="tx1"/>
            </w14:solidFill>
          </w14:textFill>
        </w:rPr>
        <w:t>二是突出重点、有保有压。</w:t>
      </w:r>
      <w:r>
        <w:rPr>
          <w:rFonts w:eastAsia="仿宋_GB2312"/>
          <w:color w:val="000000" w:themeColor="text1"/>
          <w:sz w:val="32"/>
          <w:szCs w:val="32"/>
          <w14:textFill>
            <w14:solidFill>
              <w14:schemeClr w14:val="tx1"/>
            </w14:solidFill>
          </w14:textFill>
        </w:rPr>
        <w:t>突出“三保”的财力保障机制，在做好“三保”的前提下优先安排政府债务还本付息支出，防范化解财政风险，集中财力保障“三大攻坚战”、“三大战略”等重点支出；</w:t>
      </w:r>
      <w:r>
        <w:rPr>
          <w:rFonts w:eastAsia="黑体"/>
          <w:color w:val="000000" w:themeColor="text1"/>
          <w:sz w:val="32"/>
          <w:szCs w:val="32"/>
          <w14:textFill>
            <w14:solidFill>
              <w14:schemeClr w14:val="tx1"/>
            </w14:solidFill>
          </w14:textFill>
        </w:rPr>
        <w:t>三是科学精细、厉行节约。</w:t>
      </w:r>
      <w:r>
        <w:rPr>
          <w:rFonts w:eastAsia="仿宋_GB2312"/>
          <w:color w:val="000000" w:themeColor="text1"/>
          <w:sz w:val="32"/>
          <w:szCs w:val="32"/>
          <w14:textFill>
            <w14:solidFill>
              <w14:schemeClr w14:val="tx1"/>
            </w14:solidFill>
          </w14:textFill>
        </w:rPr>
        <w:t>不断完善预算编制、执行及监督管理机制，增强预算约束性，努力降低行政运行成本，坚决压缩一般性支出，从严控制“三公”经费支出；</w:t>
      </w:r>
      <w:r>
        <w:rPr>
          <w:rFonts w:eastAsia="黑体"/>
          <w:color w:val="000000" w:themeColor="text1"/>
          <w:sz w:val="32"/>
          <w:szCs w:val="32"/>
          <w14:textFill>
            <w14:solidFill>
              <w14:schemeClr w14:val="tx1"/>
            </w14:solidFill>
          </w14:textFill>
        </w:rPr>
        <w:t>四是结果导向，注重绩效。</w:t>
      </w:r>
      <w:r>
        <w:rPr>
          <w:rFonts w:eastAsia="仿宋_GB2312"/>
          <w:color w:val="000000" w:themeColor="text1"/>
          <w:sz w:val="32"/>
          <w:szCs w:val="32"/>
          <w14:textFill>
            <w14:solidFill>
              <w14:schemeClr w14:val="tx1"/>
            </w14:solidFill>
          </w14:textFill>
        </w:rPr>
        <w:t>深化预算管理改革，创新财政支持方式，充分发挥财政资金引导带动作用。全面实施预算绩效管理，加快推进预算和绩效管理一体化，提高财政政策实施效果和资金使用效益</w:t>
      </w:r>
      <w:r>
        <w:rPr>
          <w:rFonts w:hint="eastAsia" w:eastAsia="仿宋_GB2312"/>
          <w:color w:val="000000" w:themeColor="text1"/>
          <w:sz w:val="32"/>
          <w:szCs w:val="32"/>
          <w14:textFill>
            <w14:solidFill>
              <w14:schemeClr w14:val="tx1"/>
            </w14:solidFill>
          </w14:textFill>
        </w:rPr>
        <w:t>；</w:t>
      </w:r>
      <w:r>
        <w:rPr>
          <w:rFonts w:ascii="黑体" w:hAnsi="黑体" w:eastAsia="黑体"/>
          <w:color w:val="000000" w:themeColor="text1"/>
          <w:sz w:val="32"/>
          <w:szCs w:val="32"/>
          <w14:textFill>
            <w14:solidFill>
              <w14:schemeClr w14:val="tx1"/>
            </w14:solidFill>
          </w14:textFill>
        </w:rPr>
        <w:t>五是公开公正、规范透明。</w:t>
      </w:r>
      <w:r>
        <w:rPr>
          <w:rFonts w:eastAsia="仿宋_GB2312"/>
          <w:color w:val="000000" w:themeColor="text1"/>
          <w:sz w:val="32"/>
          <w:szCs w:val="32"/>
          <w14:textFill>
            <w14:solidFill>
              <w14:schemeClr w14:val="tx1"/>
            </w14:solidFill>
          </w14:textFill>
        </w:rPr>
        <w:t>对各部门按照统一的预算原则、定额标准安排财政支出，2021年财政预算草案经人大批准后将对外全面公开。</w:t>
      </w:r>
    </w:p>
    <w:p>
      <w:pPr>
        <w:overflowPunct w:val="0"/>
        <w:spacing w:line="560" w:lineRule="exact"/>
        <w:ind w:firstLine="645"/>
        <w:contextualSpacing/>
        <w:textAlignment w:val="baseline"/>
        <w:rPr>
          <w:rFonts w:eastAsia="黑体"/>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按照上述指导思想</w:t>
      </w:r>
      <w:r>
        <w:rPr>
          <w:rFonts w:hint="eastAsia" w:eastAsia="仿宋_GB2312"/>
          <w:color w:val="000000" w:themeColor="text1"/>
          <w:sz w:val="32"/>
          <w:szCs w:val="32"/>
          <w14:textFill>
            <w14:solidFill>
              <w14:schemeClr w14:val="tx1"/>
            </w14:solidFill>
          </w14:textFill>
        </w:rPr>
        <w:t>、预算编制基本原则</w:t>
      </w:r>
      <w:r>
        <w:rPr>
          <w:rFonts w:eastAsia="仿宋_GB2312"/>
          <w:color w:val="000000" w:themeColor="text1"/>
          <w:sz w:val="32"/>
          <w:szCs w:val="32"/>
          <w14:textFill>
            <w14:solidFill>
              <w14:schemeClr w14:val="tx1"/>
            </w14:solidFill>
          </w14:textFill>
        </w:rPr>
        <w:t>及经济社会发展预期情况，2021年全区财政预算草案作如下安排：</w:t>
      </w:r>
    </w:p>
    <w:p>
      <w:pPr>
        <w:overflowPunct w:val="0"/>
        <w:spacing w:line="560" w:lineRule="exact"/>
        <w:ind w:firstLine="645"/>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（一）一般公共预算草案</w:t>
      </w:r>
    </w:p>
    <w:p>
      <w:pPr>
        <w:overflowPunct w:val="0"/>
        <w:spacing w:line="560" w:lineRule="exact"/>
        <w:ind w:firstLine="645"/>
        <w:contextualSpacing/>
        <w:textAlignment w:val="baseline"/>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全区地方一般公共预算收入</w:t>
      </w:r>
      <w:r>
        <w:rPr>
          <w:rFonts w:hint="eastAsia" w:eastAsia="仿宋_GB2312"/>
          <w:color w:val="000000" w:themeColor="text1"/>
          <w:sz w:val="32"/>
          <w:szCs w:val="32"/>
          <w14:textFill>
            <w14:solidFill>
              <w14:schemeClr w14:val="tx1"/>
            </w14:solidFill>
          </w14:textFill>
        </w:rPr>
        <w:t>18076</w:t>
      </w:r>
      <w:r>
        <w:rPr>
          <w:rFonts w:eastAsia="仿宋_GB2312"/>
          <w:color w:val="000000" w:themeColor="text1"/>
          <w:sz w:val="32"/>
          <w:szCs w:val="32"/>
          <w14:textFill>
            <w14:solidFill>
              <w14:schemeClr w14:val="tx1"/>
            </w14:solidFill>
          </w14:textFill>
        </w:rPr>
        <w:t>万元，增长</w:t>
      </w:r>
      <w:r>
        <w:rPr>
          <w:rFonts w:hint="eastAsia" w:eastAsia="仿宋_GB2312"/>
          <w:color w:val="000000" w:themeColor="text1"/>
          <w:sz w:val="32"/>
          <w:szCs w:val="32"/>
          <w14:textFill>
            <w14:solidFill>
              <w14:schemeClr w14:val="tx1"/>
            </w14:solidFill>
          </w14:textFill>
        </w:rPr>
        <w:t>7</w:t>
      </w:r>
      <w:r>
        <w:rPr>
          <w:rFonts w:eastAsia="仿宋_GB2312"/>
          <w:color w:val="000000" w:themeColor="text1"/>
          <w:sz w:val="32"/>
          <w:szCs w:val="32"/>
          <w14:textFill>
            <w14:solidFill>
              <w14:schemeClr w14:val="tx1"/>
            </w14:solidFill>
          </w14:textFill>
        </w:rPr>
        <w:t>%。自治区财政厅提前下达一般性转移支付资金154</w:t>
      </w:r>
      <w:r>
        <w:rPr>
          <w:rFonts w:hint="eastAsia" w:eastAsia="仿宋_GB2312"/>
          <w:color w:val="000000" w:themeColor="text1"/>
          <w:sz w:val="32"/>
          <w:szCs w:val="32"/>
          <w14:textFill>
            <w14:solidFill>
              <w14:schemeClr w14:val="tx1"/>
            </w14:solidFill>
          </w14:textFill>
        </w:rPr>
        <w:t>477</w:t>
      </w:r>
      <w:r>
        <w:rPr>
          <w:rFonts w:eastAsia="仿宋_GB2312"/>
          <w:color w:val="000000" w:themeColor="text1"/>
          <w:sz w:val="32"/>
          <w:szCs w:val="32"/>
          <w14:textFill>
            <w14:solidFill>
              <w14:schemeClr w14:val="tx1"/>
            </w14:solidFill>
          </w14:textFill>
        </w:rPr>
        <w:t>万元，专项转移支付资金14377万元，红寺堡区一般公共预算全口径收入为186930万元。安排一般公共预算全口径支出为186930万元，当年预算收支平衡。</w:t>
      </w:r>
    </w:p>
    <w:p>
      <w:pPr>
        <w:overflowPunct w:val="0"/>
        <w:spacing w:line="560" w:lineRule="exact"/>
        <w:ind w:firstLine="645"/>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（二）政府性基金预算草案</w:t>
      </w:r>
    </w:p>
    <w:p>
      <w:pPr>
        <w:overflowPunct w:val="0"/>
        <w:spacing w:line="560" w:lineRule="exact"/>
        <w:ind w:firstLine="645"/>
        <w:contextualSpacing/>
        <w:textAlignment w:val="baseline"/>
        <w:rPr>
          <w:rFonts w:eastAsia="黑体"/>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全区地方政府性基金预算收入30000万元，与上年持平，自治区财政厅提前下达专项资金853万元，全区政府性基金预算全口径收入为30853万元。安排政府性基金预算全口径支出30853万元，当年预算收支平衡。</w:t>
      </w:r>
    </w:p>
    <w:p>
      <w:pPr>
        <w:overflowPunct w:val="0"/>
        <w:spacing w:line="560" w:lineRule="exact"/>
        <w:ind w:firstLine="645"/>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（三）社会保险基金预算草案</w:t>
      </w:r>
    </w:p>
    <w:p>
      <w:pPr>
        <w:overflowPunct w:val="0"/>
        <w:spacing w:line="560" w:lineRule="exact"/>
        <w:ind w:firstLine="645"/>
        <w:contextualSpacing/>
        <w:textAlignment w:val="baseline"/>
        <w:rPr>
          <w:rFonts w:eastAsia="楷体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全区社会保险基金预算收入13006万元，降低36.7%。全区社会保险基金预算支出6680万元，降低66.8%。2021年全区社会保险基金上解上级支出12769万元，其中：企业职工基本养老保险基金上解支出5304万元,医疗保险基金上解支出7340万元。2021年社保基金预算收支结余6087万元，预计滚存结余45119万元。</w:t>
      </w:r>
    </w:p>
    <w:p>
      <w:pPr>
        <w:overflowPunct w:val="0"/>
        <w:spacing w:line="560" w:lineRule="exact"/>
        <w:ind w:firstLine="645"/>
        <w:contextualSpacing/>
        <w:textAlignment w:val="baseline"/>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（四）国有资本经营无预算</w:t>
      </w:r>
    </w:p>
    <w:p>
      <w:pPr>
        <w:overflowPunct w:val="0"/>
        <w:spacing w:line="560" w:lineRule="exact"/>
        <w:ind w:firstLine="645"/>
        <w:contextualSpacing/>
        <w:textAlignment w:val="baseline"/>
        <w:rPr>
          <w:rFonts w:eastAsia="黑体"/>
          <w:b/>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四、主动适应经济发展新常态，努力做好2021年各项财政工作</w:t>
      </w:r>
      <w:bookmarkStart w:id="1" w:name="_Hlk27386881"/>
    </w:p>
    <w:p>
      <w:pPr>
        <w:overflowPunct w:val="0"/>
        <w:spacing w:line="560" w:lineRule="exact"/>
        <w:ind w:firstLine="645"/>
        <w:contextualSpacing/>
        <w:textAlignment w:val="baseline"/>
        <w:rPr>
          <w:rFonts w:eastAsia="黑体"/>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2021年是“十四五”规划的开局之年，做好财政改革发展各项工作意义重大。我们将牢固树立过</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紧日子</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思想，坚持“紧平衡”原则，尽力而为、量力而行。压减一般性支出和“三公经费”支出，盘活存量资产，保障重点领域资金投入，实现我区财政收支平稳运行，促进经济持续健康发展。</w:t>
      </w:r>
      <w:bookmarkEnd w:id="1"/>
    </w:p>
    <w:p>
      <w:pPr>
        <w:overflowPunct w:val="0"/>
        <w:spacing w:line="560" w:lineRule="exact"/>
        <w:ind w:firstLine="645"/>
        <w:contextualSpacing/>
        <w:textAlignment w:val="baseline"/>
        <w:rPr>
          <w:rFonts w:eastAsia="黑体"/>
          <w:b/>
          <w:color w:val="000000" w:themeColor="text1"/>
          <w:spacing w:val="-4"/>
          <w:sz w:val="32"/>
          <w:szCs w:val="32"/>
          <w14:textFill>
            <w14:solidFill>
              <w14:schemeClr w14:val="tx1"/>
            </w14:solidFill>
          </w14:textFill>
        </w:rPr>
      </w:pPr>
      <w:r>
        <w:rPr>
          <w:rFonts w:eastAsia="楷体_GB2312"/>
          <w:b/>
          <w:color w:val="000000" w:themeColor="text1"/>
          <w:spacing w:val="-4"/>
          <w:sz w:val="32"/>
          <w:szCs w:val="32"/>
          <w14:textFill>
            <w14:solidFill>
              <w14:schemeClr w14:val="tx1"/>
            </w14:solidFill>
          </w14:textFill>
        </w:rPr>
        <w:t>（一）扎实做好“六稳”工作，全面落实“六保”任务。</w:t>
      </w:r>
      <w:r>
        <w:rPr>
          <w:rFonts w:eastAsia="仿宋_GB2312"/>
          <w:color w:val="000000" w:themeColor="text1"/>
          <w:spacing w:val="-4"/>
          <w:sz w:val="32"/>
          <w:szCs w:val="32"/>
          <w14:textFill>
            <w14:solidFill>
              <w14:schemeClr w14:val="tx1"/>
            </w14:solidFill>
          </w14:textFill>
        </w:rPr>
        <w:t>认真贯彻自治区《关于全面落实“六保”任务的实施意见》，明确任务，细化措施。</w:t>
      </w:r>
      <w:r>
        <w:rPr>
          <w:rFonts w:eastAsia="仿宋_GB2312"/>
          <w:b/>
          <w:color w:val="000000" w:themeColor="text1"/>
          <w:spacing w:val="-4"/>
          <w:sz w:val="32"/>
          <w:szCs w:val="32"/>
          <w14:textFill>
            <w14:solidFill>
              <w14:schemeClr w14:val="tx1"/>
            </w14:solidFill>
          </w14:textFill>
        </w:rPr>
        <w:t>一是</w:t>
      </w:r>
      <w:r>
        <w:rPr>
          <w:rFonts w:eastAsia="仿宋_GB2312"/>
          <w:color w:val="000000" w:themeColor="text1"/>
          <w:spacing w:val="-4"/>
          <w:sz w:val="32"/>
          <w:szCs w:val="32"/>
          <w14:textFill>
            <w14:solidFill>
              <w14:schemeClr w14:val="tx1"/>
            </w14:solidFill>
          </w14:textFill>
        </w:rPr>
        <w:t>牢固树立政府过</w:t>
      </w:r>
      <w:r>
        <w:rPr>
          <w:rFonts w:hint="eastAsia" w:eastAsia="仿宋_GB2312"/>
          <w:color w:val="000000" w:themeColor="text1"/>
          <w:spacing w:val="-4"/>
          <w:sz w:val="32"/>
          <w:szCs w:val="32"/>
          <w14:textFill>
            <w14:solidFill>
              <w14:schemeClr w14:val="tx1"/>
            </w14:solidFill>
          </w14:textFill>
        </w:rPr>
        <w:t>“</w:t>
      </w:r>
      <w:r>
        <w:rPr>
          <w:rFonts w:eastAsia="仿宋_GB2312"/>
          <w:color w:val="000000" w:themeColor="text1"/>
          <w:spacing w:val="-4"/>
          <w:sz w:val="32"/>
          <w:szCs w:val="32"/>
          <w14:textFill>
            <w14:solidFill>
              <w14:schemeClr w14:val="tx1"/>
            </w14:solidFill>
          </w14:textFill>
        </w:rPr>
        <w:t>紧日子</w:t>
      </w:r>
      <w:r>
        <w:rPr>
          <w:rFonts w:hint="eastAsia" w:eastAsia="仿宋_GB2312"/>
          <w:color w:val="000000" w:themeColor="text1"/>
          <w:spacing w:val="-4"/>
          <w:sz w:val="32"/>
          <w:szCs w:val="32"/>
          <w14:textFill>
            <w14:solidFill>
              <w14:schemeClr w14:val="tx1"/>
            </w14:solidFill>
          </w14:textFill>
        </w:rPr>
        <w:t>”</w:t>
      </w:r>
      <w:r>
        <w:rPr>
          <w:rFonts w:eastAsia="仿宋_GB2312"/>
          <w:color w:val="000000" w:themeColor="text1"/>
          <w:spacing w:val="-4"/>
          <w:sz w:val="32"/>
          <w:szCs w:val="32"/>
          <w14:textFill>
            <w14:solidFill>
              <w14:schemeClr w14:val="tx1"/>
            </w14:solidFill>
          </w14:textFill>
        </w:rPr>
        <w:t>思想，扎牢民生保障安全网；</w:t>
      </w:r>
      <w:r>
        <w:rPr>
          <w:rFonts w:eastAsia="仿宋_GB2312"/>
          <w:b/>
          <w:color w:val="000000" w:themeColor="text1"/>
          <w:spacing w:val="-4"/>
          <w:sz w:val="32"/>
          <w:szCs w:val="32"/>
          <w14:textFill>
            <w14:solidFill>
              <w14:schemeClr w14:val="tx1"/>
            </w14:solidFill>
          </w14:textFill>
        </w:rPr>
        <w:t>二是</w:t>
      </w:r>
      <w:r>
        <w:rPr>
          <w:rFonts w:eastAsia="仿宋_GB2312"/>
          <w:color w:val="000000" w:themeColor="text1"/>
          <w:spacing w:val="-4"/>
          <w:sz w:val="32"/>
          <w:szCs w:val="32"/>
          <w14:textFill>
            <w14:solidFill>
              <w14:schemeClr w14:val="tx1"/>
            </w14:solidFill>
          </w14:textFill>
        </w:rPr>
        <w:t>不折不扣落实减税降费政策，全力稳企业保就业，恢复市场主体活力；</w:t>
      </w:r>
      <w:r>
        <w:rPr>
          <w:rFonts w:eastAsia="仿宋_GB2312"/>
          <w:b/>
          <w:color w:val="000000" w:themeColor="text1"/>
          <w:spacing w:val="-4"/>
          <w:sz w:val="32"/>
          <w:szCs w:val="32"/>
          <w14:textFill>
            <w14:solidFill>
              <w14:schemeClr w14:val="tx1"/>
            </w14:solidFill>
          </w14:textFill>
        </w:rPr>
        <w:t>三是</w:t>
      </w:r>
      <w:r>
        <w:rPr>
          <w:rFonts w:eastAsia="仿宋_GB2312"/>
          <w:color w:val="000000" w:themeColor="text1"/>
          <w:spacing w:val="-4"/>
          <w:sz w:val="32"/>
          <w:szCs w:val="32"/>
          <w14:textFill>
            <w14:solidFill>
              <w14:schemeClr w14:val="tx1"/>
            </w14:solidFill>
          </w14:textFill>
        </w:rPr>
        <w:t>着力发挥财政稳定经济的关键作用，积极争取政府债券等资金，管好用好中央直达资金，促进政府投资加快增长，对冲经济下行压力，全力支持做好“六稳”</w:t>
      </w:r>
      <w:r>
        <w:rPr>
          <w:rFonts w:hint="eastAsia" w:eastAsia="仿宋_GB2312"/>
          <w:color w:val="000000" w:themeColor="text1"/>
          <w:spacing w:val="-4"/>
          <w:sz w:val="32"/>
          <w:szCs w:val="32"/>
          <w14:textFill>
            <w14:solidFill>
              <w14:schemeClr w14:val="tx1"/>
            </w14:solidFill>
          </w14:textFill>
        </w:rPr>
        <w:t>、</w:t>
      </w:r>
      <w:r>
        <w:rPr>
          <w:rFonts w:eastAsia="仿宋_GB2312"/>
          <w:color w:val="000000" w:themeColor="text1"/>
          <w:spacing w:val="-4"/>
          <w:sz w:val="32"/>
          <w:szCs w:val="32"/>
          <w14:textFill>
            <w14:solidFill>
              <w14:schemeClr w14:val="tx1"/>
            </w14:solidFill>
          </w14:textFill>
        </w:rPr>
        <w:t>“六保”工作。</w:t>
      </w:r>
    </w:p>
    <w:p>
      <w:pPr>
        <w:overflowPunct w:val="0"/>
        <w:spacing w:line="560" w:lineRule="exact"/>
        <w:ind w:firstLine="645"/>
        <w:contextualSpacing/>
        <w:textAlignment w:val="baseline"/>
        <w:rPr>
          <w:rFonts w:eastAsia="黑体"/>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（二）改进预算管理方式，深化预算管理制度改革。</w:t>
      </w:r>
      <w:r>
        <w:rPr>
          <w:rFonts w:eastAsia="仿宋_GB2312"/>
          <w:color w:val="000000" w:themeColor="text1"/>
          <w:sz w:val="32"/>
          <w:szCs w:val="32"/>
          <w14:textFill>
            <w14:solidFill>
              <w14:schemeClr w14:val="tx1"/>
            </w14:solidFill>
          </w14:textFill>
        </w:rPr>
        <w:t>牢固树立政府长期过“紧日子”的原则，建立健全激励节约的长效机制。</w:t>
      </w:r>
      <w:r>
        <w:rPr>
          <w:rFonts w:eastAsia="仿宋_GB2312"/>
          <w:b/>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强化“零基预算”理念的应用。打破财政支出固化、僵化、预算安排“只增不减”格局，坚持“压一般、保重点”，预算安排坚持同地方经济发展、基本民生保障、重点领域支出需求紧密衔接；</w:t>
      </w:r>
      <w:r>
        <w:rPr>
          <w:rFonts w:eastAsia="仿宋_GB2312"/>
          <w:b/>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健全财政标准体系建设。完善基本支出定额标准体系，加快推进项目支出定额标准体系建设，充分发挥支出标准在预算管理中的重要作用；</w:t>
      </w:r>
      <w:r>
        <w:rPr>
          <w:rFonts w:eastAsia="仿宋_GB2312"/>
          <w:b/>
          <w:color w:val="000000" w:themeColor="text1"/>
          <w:sz w:val="32"/>
          <w:szCs w:val="32"/>
          <w14:textFill>
            <w14:solidFill>
              <w14:schemeClr w14:val="tx1"/>
            </w14:solidFill>
          </w14:textFill>
        </w:rPr>
        <w:t>三是</w:t>
      </w:r>
      <w:r>
        <w:rPr>
          <w:rFonts w:eastAsia="仿宋_GB2312"/>
          <w:color w:val="000000" w:themeColor="text1"/>
          <w:sz w:val="32"/>
          <w:szCs w:val="32"/>
          <w14:textFill>
            <w14:solidFill>
              <w14:schemeClr w14:val="tx1"/>
            </w14:solidFill>
          </w14:textFill>
        </w:rPr>
        <w:t>完善预决算公开机制。认真落实《预算法实施条例》要求，进一步完善公开机制、规范公开程序、扩大公开范围、提高公开质量，提高财政透明度。</w:t>
      </w:r>
    </w:p>
    <w:p>
      <w:pPr>
        <w:overflowPunct w:val="0"/>
        <w:spacing w:line="560" w:lineRule="exact"/>
        <w:contextualSpacing/>
        <w:rPr>
          <w:rFonts w:eastAsia="黑体"/>
          <w:b/>
          <w:color w:val="000000" w:themeColor="text1"/>
          <w:sz w:val="32"/>
          <w:szCs w:val="32"/>
          <w14:textFill>
            <w14:solidFill>
              <w14:schemeClr w14:val="tx1"/>
            </w14:solidFill>
          </w14:textFill>
        </w:rPr>
      </w:pPr>
      <w:r>
        <w:rPr>
          <w:rFonts w:hint="eastAsia" w:eastAsia="楷体_GB2312"/>
          <w:b/>
          <w:color w:val="000000" w:themeColor="text1"/>
          <w:sz w:val="32"/>
          <w:szCs w:val="32"/>
          <w14:textFill>
            <w14:solidFill>
              <w14:schemeClr w14:val="tx1"/>
            </w14:solidFill>
          </w14:textFill>
        </w:rPr>
        <w:t xml:space="preserve">    </w:t>
      </w:r>
      <w:r>
        <w:rPr>
          <w:rFonts w:eastAsia="楷体_GB2312"/>
          <w:b/>
          <w:color w:val="000000" w:themeColor="text1"/>
          <w:sz w:val="32"/>
          <w:szCs w:val="32"/>
          <w14:textFill>
            <w14:solidFill>
              <w14:schemeClr w14:val="tx1"/>
            </w14:solidFill>
          </w14:textFill>
        </w:rPr>
        <w:t>（三）优化财政支出结构，提高重点领域保障能力。</w:t>
      </w:r>
      <w:r>
        <w:rPr>
          <w:rFonts w:eastAsia="仿宋_GB2312"/>
          <w:color w:val="000000" w:themeColor="text1"/>
          <w:sz w:val="32"/>
          <w:szCs w:val="32"/>
          <w14:textFill>
            <w14:solidFill>
              <w14:schemeClr w14:val="tx1"/>
            </w14:solidFill>
          </w14:textFill>
        </w:rPr>
        <w:t>优化支出结构，确保基本民生支出只增不减，重点领域支出切实保障。</w:t>
      </w:r>
      <w:r>
        <w:rPr>
          <w:rFonts w:eastAsia="仿宋_GB2312"/>
          <w:b/>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坚持节用裕民，持续加大教育、养老、医疗等基本民生和公共服务领域投入，努力增加人民福祉；</w:t>
      </w:r>
      <w:r>
        <w:rPr>
          <w:rFonts w:eastAsia="仿宋_GB2312"/>
          <w:b/>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积极盘活财政存量资金，对各部门长期结余结转、沉淀资金应收尽收，统筹用于亟需支持的领域，切实提高财政资金使用效益；</w:t>
      </w:r>
      <w:r>
        <w:rPr>
          <w:rFonts w:eastAsia="仿宋_GB2312"/>
          <w:b/>
          <w:color w:val="000000" w:themeColor="text1"/>
          <w:sz w:val="32"/>
          <w:szCs w:val="32"/>
          <w14:textFill>
            <w14:solidFill>
              <w14:schemeClr w14:val="tx1"/>
            </w14:solidFill>
          </w14:textFill>
        </w:rPr>
        <w:t>三是</w:t>
      </w:r>
      <w:r>
        <w:rPr>
          <w:rFonts w:eastAsia="仿宋_GB2312"/>
          <w:color w:val="000000" w:themeColor="text1"/>
          <w:sz w:val="32"/>
          <w:szCs w:val="32"/>
          <w14:textFill>
            <w14:solidFill>
              <w14:schemeClr w14:val="tx1"/>
            </w14:solidFill>
          </w14:textFill>
        </w:rPr>
        <w:t>强化预算绩效管理，加强绩效评价结果应用，及时调整支出方向，使有限资金发挥更大效能。</w:t>
      </w:r>
    </w:p>
    <w:p>
      <w:pPr>
        <w:overflowPunct w:val="0"/>
        <w:spacing w:line="560" w:lineRule="exact"/>
        <w:ind w:firstLine="645"/>
        <w:contextualSpacing/>
        <w:textAlignment w:val="baseline"/>
        <w:rPr>
          <w:rFonts w:eastAsia="黑体"/>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（四）加强收入组织，保持财政收入稳定增长。</w:t>
      </w:r>
      <w:r>
        <w:rPr>
          <w:rFonts w:eastAsia="仿宋_GB2312"/>
          <w:color w:val="000000" w:themeColor="text1"/>
          <w:sz w:val="32"/>
          <w:szCs w:val="32"/>
          <w14:textFill>
            <w14:solidFill>
              <w14:schemeClr w14:val="tx1"/>
            </w14:solidFill>
          </w14:textFill>
        </w:rPr>
        <w:t>深入贯彻中央和自治区决策部署，坚持“应减尽减、应收尽收”，放水养鱼、涵养税源，有效促进财政收入实现量的合理增长和质的有效提升。</w:t>
      </w:r>
      <w:r>
        <w:rPr>
          <w:rFonts w:eastAsia="仿宋_GB2312"/>
          <w:b/>
          <w:color w:val="000000" w:themeColor="text1"/>
          <w:sz w:val="32"/>
          <w:szCs w:val="32"/>
          <w14:textFill>
            <w14:solidFill>
              <w14:schemeClr w14:val="tx1"/>
            </w14:solidFill>
          </w14:textFill>
        </w:rPr>
        <w:t>一是</w:t>
      </w:r>
      <w:r>
        <w:rPr>
          <w:rFonts w:eastAsia="仿宋_GB2312"/>
          <w:color w:val="000000" w:themeColor="text1"/>
          <w:sz w:val="32"/>
          <w:szCs w:val="32"/>
          <w14:textFill>
            <w14:solidFill>
              <w14:schemeClr w14:val="tx1"/>
            </w14:solidFill>
          </w14:textFill>
        </w:rPr>
        <w:t>健全税源管控体系，提高税收监管能力。建立财政、税务、发改、</w:t>
      </w:r>
      <w:r>
        <w:rPr>
          <w:rFonts w:hint="eastAsia" w:eastAsia="仿宋_GB2312"/>
          <w:color w:val="000000" w:themeColor="text1"/>
          <w:sz w:val="32"/>
          <w:szCs w:val="32"/>
          <w14:textFill>
            <w14:solidFill>
              <w14:schemeClr w14:val="tx1"/>
            </w14:solidFill>
          </w14:textFill>
        </w:rPr>
        <w:t>工业和商务</w:t>
      </w:r>
      <w:r>
        <w:rPr>
          <w:rFonts w:eastAsia="仿宋_GB2312"/>
          <w:color w:val="000000" w:themeColor="text1"/>
          <w:sz w:val="32"/>
          <w:szCs w:val="32"/>
          <w14:textFill>
            <w14:solidFill>
              <w14:schemeClr w14:val="tx1"/>
            </w14:solidFill>
          </w14:textFill>
        </w:rPr>
        <w:t>等多部门参与的税收分析联动机制</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增强税收监管能力；</w:t>
      </w:r>
      <w:r>
        <w:rPr>
          <w:rFonts w:eastAsia="仿宋_GB2312"/>
          <w:b/>
          <w:color w:val="000000" w:themeColor="text1"/>
          <w:sz w:val="32"/>
          <w:szCs w:val="32"/>
          <w14:textFill>
            <w14:solidFill>
              <w14:schemeClr w14:val="tx1"/>
            </w14:solidFill>
          </w14:textFill>
        </w:rPr>
        <w:t>二是</w:t>
      </w:r>
      <w:r>
        <w:rPr>
          <w:rFonts w:eastAsia="仿宋_GB2312"/>
          <w:color w:val="000000" w:themeColor="text1"/>
          <w:sz w:val="32"/>
          <w:szCs w:val="32"/>
          <w14:textFill>
            <w14:solidFill>
              <w14:schemeClr w14:val="tx1"/>
            </w14:solidFill>
          </w14:textFill>
        </w:rPr>
        <w:t>依法加强缓缴税款审批，规范税收优惠政策。加大税款清欠力度，减少新增欠税额度；</w:t>
      </w:r>
      <w:r>
        <w:rPr>
          <w:rFonts w:eastAsia="仿宋_GB2312"/>
          <w:b/>
          <w:color w:val="000000" w:themeColor="text1"/>
          <w:sz w:val="32"/>
          <w:szCs w:val="32"/>
          <w14:textFill>
            <w14:solidFill>
              <w14:schemeClr w14:val="tx1"/>
            </w14:solidFill>
          </w14:textFill>
        </w:rPr>
        <w:t>三是</w:t>
      </w:r>
      <w:r>
        <w:rPr>
          <w:rFonts w:eastAsia="仿宋_GB2312"/>
          <w:color w:val="000000" w:themeColor="text1"/>
          <w:sz w:val="32"/>
          <w:szCs w:val="32"/>
          <w14:textFill>
            <w14:solidFill>
              <w14:schemeClr w14:val="tx1"/>
            </w14:solidFill>
          </w14:textFill>
        </w:rPr>
        <w:t>强化非税收入重点项目监管，做好非税收入征管</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防止非税收入流失。</w:t>
      </w:r>
    </w:p>
    <w:p>
      <w:pPr>
        <w:overflowPunct w:val="0"/>
        <w:spacing w:line="560" w:lineRule="exact"/>
        <w:ind w:firstLine="645"/>
        <w:contextualSpacing/>
        <w:textAlignment w:val="baseline"/>
        <w:rPr>
          <w:rFonts w:eastAsia="黑体"/>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（五）兜牢“三保”底线，防范财政运行风险。</w:t>
      </w:r>
      <w:r>
        <w:rPr>
          <w:rFonts w:eastAsia="仿宋_GB2312"/>
          <w:color w:val="000000" w:themeColor="text1"/>
          <w:sz w:val="32"/>
          <w:szCs w:val="32"/>
          <w14:textFill>
            <w14:solidFill>
              <w14:schemeClr w14:val="tx1"/>
            </w14:solidFill>
          </w14:textFill>
        </w:rPr>
        <w:t>加强“三保”监测分析，动态分析掌握财政运行状况，坚持“三保”支出在财政支出中的优先顺序，健全“三保”监控机制，强化风险预警和应急处置。完善基本公共服务保障标准机制，逐步清理过高民生承诺事项，确保财政可持续发展。</w:t>
      </w:r>
    </w:p>
    <w:p>
      <w:pPr>
        <w:overflowPunct w:val="0"/>
        <w:spacing w:line="560" w:lineRule="exact"/>
        <w:ind w:firstLine="645"/>
        <w:contextualSpacing/>
        <w:textAlignment w:val="baseline"/>
        <w:rPr>
          <w:rFonts w:eastAsia="黑体"/>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（六）</w:t>
      </w:r>
      <w:r>
        <w:rPr>
          <w:rFonts w:hint="eastAsia" w:eastAsia="楷体_GB2312"/>
          <w:b/>
          <w:color w:val="000000" w:themeColor="text1"/>
          <w:sz w:val="32"/>
          <w:szCs w:val="32"/>
          <w14:textFill>
            <w14:solidFill>
              <w14:schemeClr w14:val="tx1"/>
            </w14:solidFill>
          </w14:textFill>
        </w:rPr>
        <w:t>加强</w:t>
      </w:r>
      <w:r>
        <w:rPr>
          <w:rFonts w:eastAsia="楷体_GB2312"/>
          <w:b/>
          <w:color w:val="000000" w:themeColor="text1"/>
          <w:sz w:val="32"/>
          <w:szCs w:val="32"/>
          <w14:textFill>
            <w14:solidFill>
              <w14:schemeClr w14:val="tx1"/>
            </w14:solidFill>
          </w14:textFill>
        </w:rPr>
        <w:t>预算执行力度，努力提高财政管理水平。</w:t>
      </w:r>
      <w:r>
        <w:rPr>
          <w:rFonts w:eastAsia="仿宋_GB2312"/>
          <w:color w:val="000000" w:themeColor="text1"/>
          <w:sz w:val="32"/>
          <w:szCs w:val="32"/>
          <w14:textFill>
            <w14:solidFill>
              <w14:schemeClr w14:val="tx1"/>
            </w14:solidFill>
          </w14:textFill>
        </w:rPr>
        <w:t>探索建立包括财政预算编制、预算执行、盘活资金、绩效预算、债务管理、暂付款压缩、审计结果等一揽子的财政优化指标体系，采取有效措施，强弱项、补短板，不断提高财政管理水平。</w:t>
      </w:r>
    </w:p>
    <w:p>
      <w:pPr>
        <w:overflowPunct w:val="0"/>
        <w:spacing w:line="560" w:lineRule="exact"/>
        <w:ind w:firstLine="645"/>
        <w:contextualSpacing/>
        <w:textAlignment w:val="baseline"/>
        <w:rPr>
          <w:rFonts w:eastAsia="黑体"/>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各位代表，做好2021年的财政工作任务艰巨，使命光荣。下一步，我们将</w:t>
      </w:r>
      <w:r>
        <w:rPr>
          <w:rFonts w:hint="eastAsia" w:eastAsia="仿宋_GB2312"/>
          <w:color w:val="000000" w:themeColor="text1"/>
          <w:sz w:val="32"/>
          <w:szCs w:val="32"/>
          <w14:textFill>
            <w14:solidFill>
              <w14:schemeClr w14:val="tx1"/>
            </w14:solidFill>
          </w14:textFill>
        </w:rPr>
        <w:t>继续</w:t>
      </w:r>
      <w:r>
        <w:rPr>
          <w:rFonts w:eastAsia="仿宋_GB2312"/>
          <w:color w:val="000000" w:themeColor="text1"/>
          <w:sz w:val="32"/>
          <w:szCs w:val="32"/>
          <w14:textFill>
            <w14:solidFill>
              <w14:schemeClr w14:val="tx1"/>
            </w14:solidFill>
          </w14:textFill>
        </w:rPr>
        <w:t>坚持以习近平新时代中国特色社会主义思想为</w:t>
      </w:r>
      <w:r>
        <w:rPr>
          <w:rFonts w:hint="eastAsia" w:eastAsia="仿宋_GB2312"/>
          <w:color w:val="000000" w:themeColor="text1"/>
          <w:sz w:val="32"/>
          <w:szCs w:val="32"/>
          <w14:textFill>
            <w14:solidFill>
              <w14:schemeClr w14:val="tx1"/>
            </w14:solidFill>
          </w14:textFill>
        </w:rPr>
        <w:t>指导</w:t>
      </w:r>
      <w:r>
        <w:rPr>
          <w:rFonts w:eastAsia="仿宋_GB2312"/>
          <w:color w:val="000000" w:themeColor="text1"/>
          <w:sz w:val="32"/>
          <w:szCs w:val="32"/>
          <w14:textFill>
            <w14:solidFill>
              <w14:schemeClr w14:val="tx1"/>
            </w14:solidFill>
          </w14:textFill>
        </w:rPr>
        <w:t>，在区委的坚强领导下，区人大、政协的有力监督和支持下，认真贯彻落实全区财政工作各项决策部署，坚定信心、务实苦干，开拓创新、锐意进取，努力开创新时代财政改革发展新局面，为支持红寺堡区创建全国易地搬迁移民脱贫致富示范区作出新的更大贡献。</w:t>
      </w:r>
    </w:p>
    <w:p>
      <w:pPr>
        <w:overflowPunct w:val="0"/>
        <w:spacing w:line="560" w:lineRule="exact"/>
        <w:contextualSpacing/>
        <w:textAlignment w:val="baseline"/>
        <w:rPr>
          <w:rFonts w:eastAsia="仿宋_GB2312"/>
          <w:color w:val="000000" w:themeColor="text1"/>
          <w:sz w:val="32"/>
          <w:szCs w:val="32"/>
          <w14:textFill>
            <w14:solidFill>
              <w14:schemeClr w14:val="tx1"/>
            </w14:solidFill>
          </w14:textFill>
        </w:rPr>
      </w:pPr>
    </w:p>
    <w:p>
      <w:pPr>
        <w:overflowPunct w:val="0"/>
        <w:spacing w:line="560" w:lineRule="exact"/>
        <w:contextualSpacing/>
        <w:jc w:val="center"/>
        <w:textAlignment w:val="baseline"/>
        <w:rPr>
          <w:rFonts w:eastAsia="仿宋_GB2312"/>
          <w:color w:val="000000" w:themeColor="text1"/>
          <w:sz w:val="32"/>
          <w:szCs w:val="32"/>
          <w14:textFill>
            <w14:solidFill>
              <w14:schemeClr w14:val="tx1"/>
            </w14:solidFill>
          </w14:textFill>
        </w:rPr>
      </w:pPr>
    </w:p>
    <w:p>
      <w:pPr>
        <w:overflowPunct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br w:type="page"/>
      </w:r>
    </w:p>
    <w:p>
      <w:pPr>
        <w:overflowPunct w:val="0"/>
        <w:spacing w:line="560" w:lineRule="exact"/>
        <w:contextualSpacing/>
        <w:jc w:val="center"/>
        <w:textAlignment w:val="baseline"/>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名 词 解 释</w:t>
      </w:r>
    </w:p>
    <w:p>
      <w:pPr>
        <w:overflowPunct w:val="0"/>
        <w:spacing w:line="560" w:lineRule="exact"/>
        <w:contextualSpacing/>
        <w:jc w:val="center"/>
        <w:textAlignment w:val="baseline"/>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（按照该名词在《报告》中出现的顺序进行排列）</w:t>
      </w:r>
    </w:p>
    <w:p>
      <w:pPr>
        <w:overflowPunct w:val="0"/>
        <w:spacing w:line="560" w:lineRule="exact"/>
        <w:contextualSpacing/>
        <w:textAlignment w:val="baseline"/>
        <w:rPr>
          <w:rFonts w:eastAsia="仿宋_GB2312"/>
          <w:color w:val="000000" w:themeColor="text1"/>
          <w:sz w:val="32"/>
          <w:szCs w:val="32"/>
          <w14:textFill>
            <w14:solidFill>
              <w14:schemeClr w14:val="tx1"/>
            </w14:solidFill>
          </w14:textFill>
        </w:rPr>
      </w:pP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一般公共预算：</w:t>
      </w:r>
      <w:r>
        <w:rPr>
          <w:rFonts w:eastAsia="仿宋_GB2312"/>
          <w:color w:val="000000" w:themeColor="text1"/>
          <w:sz w:val="32"/>
          <w:szCs w:val="32"/>
          <w14:textFill>
            <w14:solidFill>
              <w14:schemeClr w14:val="tx1"/>
            </w14:solidFill>
          </w14:textFill>
        </w:rPr>
        <w:t>是对以税收为主体的财政收入，安排用于保障和改善民生、推动经济社会发展、维护国家安全、维持国家机构正常运转等方面的收支预算。</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2.</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同口径增长</w:t>
      </w:r>
      <w:r>
        <w:rPr>
          <w:rFonts w:hint="eastAsia" w:eastAsia="仿宋_GB2312"/>
          <w:b/>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指剔除政策性等不可比因素影响后计算的一般预算收入增长比例。</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3.</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政府性基金预算：</w:t>
      </w:r>
      <w:r>
        <w:rPr>
          <w:rFonts w:eastAsia="仿宋_GB2312"/>
          <w:color w:val="000000" w:themeColor="text1"/>
          <w:sz w:val="32"/>
          <w:szCs w:val="32"/>
          <w14:textFill>
            <w14:solidFill>
              <w14:schemeClr w14:val="tx1"/>
            </w14:solidFill>
          </w14:textFill>
        </w:rPr>
        <w:t>是对依照法律、行政法规的规定在一定期限内向特定对象征收、收取或者以其他方式筹集的资金，专项用于特定公共事业发展的收支预算。</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4.</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社会保险基金预算：</w:t>
      </w:r>
      <w:r>
        <w:rPr>
          <w:rFonts w:eastAsia="仿宋_GB2312"/>
          <w:color w:val="000000" w:themeColor="text1"/>
          <w:sz w:val="32"/>
          <w:szCs w:val="32"/>
          <w14:textFill>
            <w14:solidFill>
              <w14:schemeClr w14:val="tx1"/>
            </w14:solidFill>
          </w14:textFill>
        </w:rPr>
        <w:t>是对社会保险缴款、一般公共预算安排和其他方式筹集的资金，专项用于社会保险的收支预算。</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5.</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国有资本经营预算：</w:t>
      </w:r>
      <w:r>
        <w:rPr>
          <w:rFonts w:eastAsia="仿宋_GB2312"/>
          <w:color w:val="000000" w:themeColor="text1"/>
          <w:sz w:val="32"/>
          <w:szCs w:val="32"/>
          <w14:textFill>
            <w14:solidFill>
              <w14:schemeClr w14:val="tx1"/>
            </w14:solidFill>
          </w14:textFill>
        </w:rPr>
        <w:t>国有资本经营预算，是国家以所有者身份对国有资本实行存量调整和增量分配而发生的各项收支预算，是政府预算的重要组成部分。</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6.</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新发展理念：</w:t>
      </w:r>
      <w:r>
        <w:rPr>
          <w:rFonts w:hint="eastAsia" w:eastAsia="仿宋_GB2312"/>
          <w:color w:val="000000" w:themeColor="text1"/>
          <w:sz w:val="32"/>
          <w:szCs w:val="32"/>
          <w14:textFill>
            <w14:solidFill>
              <w14:schemeClr w14:val="tx1"/>
            </w14:solidFill>
          </w14:textFill>
        </w:rPr>
        <w:t>指</w:t>
      </w:r>
      <w:r>
        <w:rPr>
          <w:rFonts w:eastAsia="仿宋_GB2312"/>
          <w:color w:val="000000" w:themeColor="text1"/>
          <w:sz w:val="32"/>
          <w:szCs w:val="32"/>
          <w14:textFill>
            <w14:solidFill>
              <w14:schemeClr w14:val="tx1"/>
            </w14:solidFill>
          </w14:textFill>
        </w:rPr>
        <w:t>创新、协调、绿色、开放、共享的发展理念。</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7.</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供给侧结构性改革：</w:t>
      </w:r>
      <w:r>
        <w:rPr>
          <w:rFonts w:eastAsia="仿宋_GB2312"/>
          <w:color w:val="000000" w:themeColor="text1"/>
          <w:sz w:val="32"/>
          <w:szCs w:val="32"/>
          <w14:textFill>
            <w14:solidFill>
              <w14:schemeClr w14:val="tx1"/>
            </w14:solidFill>
          </w14:textFill>
        </w:rPr>
        <w:t>是指从提高供给质量出发，用改革的办法推进结构调整，矫正要素配置扭曲，扩大有效供给，提高供给结构对需求变化的适应性和灵活性，提高全要素生产率，更好满足广大人民群众的需要，促进经济社会持续健康发展。</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8.</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六稳：</w:t>
      </w:r>
      <w:r>
        <w:rPr>
          <w:rFonts w:eastAsia="仿宋_GB2312"/>
          <w:color w:val="000000" w:themeColor="text1"/>
          <w:sz w:val="32"/>
          <w:szCs w:val="32"/>
          <w14:textFill>
            <w14:solidFill>
              <w14:schemeClr w14:val="tx1"/>
            </w14:solidFill>
          </w14:textFill>
        </w:rPr>
        <w:t>指稳就业、稳金融、稳外贸、稳外资、稳投资、稳预期。</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9.</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六保：</w:t>
      </w:r>
      <w:r>
        <w:rPr>
          <w:rFonts w:eastAsia="仿宋_GB2312"/>
          <w:color w:val="000000" w:themeColor="text1"/>
          <w:sz w:val="32"/>
          <w:szCs w:val="32"/>
          <w14:textFill>
            <w14:solidFill>
              <w14:schemeClr w14:val="tx1"/>
            </w14:solidFill>
          </w14:textFill>
        </w:rPr>
        <w:t>指保居民就业、保基本民生、保市场主体、保粮食能源安全、保产业链供应链稳定、保基层运转。</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10.</w:t>
      </w:r>
      <w:r>
        <w:rPr>
          <w:rFonts w:hint="eastAsia" w:eastAsia="仿宋_GB2312"/>
          <w:b/>
          <w:color w:val="000000" w:themeColor="text1"/>
          <w:sz w:val="32"/>
          <w:szCs w:val="32"/>
          <w14:textFill>
            <w14:solidFill>
              <w14:schemeClr w14:val="tx1"/>
            </w14:solidFill>
          </w14:textFill>
        </w:rPr>
        <w:t xml:space="preserve"> 三保</w:t>
      </w:r>
      <w:r>
        <w:rPr>
          <w:rFonts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保基本民生、保工资、保运转</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11.</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三公</w:t>
      </w:r>
      <w:r>
        <w:rPr>
          <w:rFonts w:hint="eastAsia" w:eastAsia="仿宋_GB2312"/>
          <w:b/>
          <w:color w:val="000000" w:themeColor="text1"/>
          <w:sz w:val="32"/>
          <w:szCs w:val="32"/>
          <w14:textFill>
            <w14:solidFill>
              <w14:schemeClr w14:val="tx1"/>
            </w14:solidFill>
          </w14:textFill>
        </w:rPr>
        <w:t>”</w:t>
      </w:r>
      <w:r>
        <w:rPr>
          <w:rFonts w:eastAsia="仿宋_GB2312"/>
          <w:b/>
          <w:color w:val="000000" w:themeColor="text1"/>
          <w:sz w:val="32"/>
          <w:szCs w:val="32"/>
          <w14:textFill>
            <w14:solidFill>
              <w14:schemeClr w14:val="tx1"/>
            </w14:solidFill>
          </w14:textFill>
        </w:rPr>
        <w:t>经费</w:t>
      </w:r>
      <w:r>
        <w:rPr>
          <w:rFonts w:hint="eastAsia" w:eastAsia="仿宋_GB2312"/>
          <w:b/>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一般指三公消费，政府部门人员因公出国（境）经费、公务车购置及运行费、公务招待费产生的消费。</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12. 一般性</w:t>
      </w:r>
      <w:r>
        <w:rPr>
          <w:rFonts w:eastAsia="仿宋_GB2312"/>
          <w:b/>
          <w:color w:val="000000" w:themeColor="text1"/>
          <w:sz w:val="32"/>
          <w:szCs w:val="32"/>
          <w14:textFill>
            <w14:solidFill>
              <w14:schemeClr w14:val="tx1"/>
            </w14:solidFill>
          </w14:textFill>
        </w:rPr>
        <w:t>支出：</w:t>
      </w:r>
      <w:r>
        <w:rPr>
          <w:rFonts w:hint="eastAsia" w:eastAsia="仿宋_GB2312"/>
          <w:color w:val="000000" w:themeColor="text1"/>
          <w:sz w:val="32"/>
          <w:szCs w:val="32"/>
          <w14:textFill>
            <w14:solidFill>
              <w14:schemeClr w14:val="tx1"/>
            </w14:solidFill>
          </w14:textFill>
        </w:rPr>
        <w:t>是指国家权力机关和行政机关的经费支出，主要包括:各级人大及人大常委会的活动费用，各级人民政府及其职能部门的活动费用。如：差旅费、会议费、接待费用、日常办公、购车及车辆运行费、楼堂馆所及装修支出等。</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13.</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三大攻坚战：</w:t>
      </w:r>
      <w:r>
        <w:rPr>
          <w:rFonts w:eastAsia="仿宋_GB2312"/>
          <w:color w:val="000000" w:themeColor="text1"/>
          <w:sz w:val="32"/>
          <w:szCs w:val="32"/>
          <w14:textFill>
            <w14:solidFill>
              <w14:schemeClr w14:val="tx1"/>
            </w14:solidFill>
          </w14:textFill>
        </w:rPr>
        <w:t>即“防范化解重大风险、精准脱贫、污染防治”攻坚战。</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14.</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三大战略：</w:t>
      </w:r>
      <w:r>
        <w:rPr>
          <w:rFonts w:eastAsia="仿宋_GB2312"/>
          <w:color w:val="000000" w:themeColor="text1"/>
          <w:sz w:val="32"/>
          <w:szCs w:val="32"/>
          <w14:textFill>
            <w14:solidFill>
              <w14:schemeClr w14:val="tx1"/>
            </w14:solidFill>
          </w14:textFill>
        </w:rPr>
        <w:t>自治区第十二次党代会提出的</w:t>
      </w:r>
      <w:r>
        <w:rPr>
          <w:rFonts w:hint="eastAsia" w:eastAsia="仿宋_GB2312"/>
          <w:color w:val="000000" w:themeColor="text1"/>
          <w:sz w:val="32"/>
          <w:szCs w:val="32"/>
          <w:lang w:eastAsia="zh-CN"/>
          <w14:textFill>
            <w14:solidFill>
              <w14:schemeClr w14:val="tx1"/>
            </w14:solidFill>
          </w14:textFill>
        </w:rPr>
        <w:t>创新驱动发展战略</w:t>
      </w:r>
      <w:r>
        <w:rPr>
          <w:rFonts w:eastAsia="仿宋_GB2312"/>
          <w:color w:val="000000" w:themeColor="text1"/>
          <w:sz w:val="32"/>
          <w:szCs w:val="32"/>
          <w14:textFill>
            <w14:solidFill>
              <w14:schemeClr w14:val="tx1"/>
            </w14:solidFill>
          </w14:textFill>
        </w:rPr>
        <w:t>、脱贫富民战略、生态立区战略。</w:t>
      </w:r>
    </w:p>
    <w:p>
      <w:pPr>
        <w:overflowPunct w:val="0"/>
        <w:spacing w:line="560" w:lineRule="exact"/>
        <w:ind w:firstLine="642" w:firstLineChars="200"/>
        <w:contextualSpacing/>
        <w:textAlignment w:val="baseline"/>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15.</w:t>
      </w:r>
      <w:r>
        <w:rPr>
          <w:rFonts w:hint="eastAsia" w:eastAsia="仿宋_GB2312"/>
          <w:b/>
          <w:color w:val="000000" w:themeColor="text1"/>
          <w:sz w:val="32"/>
          <w:szCs w:val="32"/>
          <w14:textFill>
            <w14:solidFill>
              <w14:schemeClr w14:val="tx1"/>
            </w14:solidFill>
          </w14:textFill>
        </w:rPr>
        <w:t xml:space="preserve"> </w:t>
      </w:r>
      <w:r>
        <w:rPr>
          <w:rFonts w:eastAsia="仿宋_GB2312"/>
          <w:b/>
          <w:color w:val="000000" w:themeColor="text1"/>
          <w:sz w:val="32"/>
          <w:szCs w:val="32"/>
          <w14:textFill>
            <w14:solidFill>
              <w14:schemeClr w14:val="tx1"/>
            </w14:solidFill>
          </w14:textFill>
        </w:rPr>
        <w:t>零基预算：</w:t>
      </w:r>
      <w:r>
        <w:rPr>
          <w:rFonts w:eastAsia="仿宋_GB2312"/>
          <w:color w:val="000000" w:themeColor="text1"/>
          <w:sz w:val="32"/>
          <w:szCs w:val="32"/>
          <w14:textFill>
            <w14:solidFill>
              <w14:schemeClr w14:val="tx1"/>
            </w14:solidFill>
          </w14:textFill>
        </w:rPr>
        <w:t>是指在编制成本费用预算时，不考虑以往会计期间所发生的费用项目或费用数额，而是以所有的预算支出为零作为出发点，一切从实际需要与可能出发，逐项审议预算期内各项费用的内容及其开支标准是否合理，在综合平衡的基础上编制费用预算的一种方法。</w:t>
      </w:r>
    </w:p>
    <w:sectPr>
      <w:footerReference r:id="rId3" w:type="default"/>
      <w:pgSz w:w="11906" w:h="16838"/>
      <w:pgMar w:top="1440" w:right="1474" w:bottom="1440"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䡡湄楮札䍓ⵆ潮瑳">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105387"/>
    </w:sdtPr>
    <w:sdtContent>
      <w:p>
        <w:pPr>
          <w:pStyle w:val="4"/>
          <w:jc w:val="cente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AC"/>
    <w:rsid w:val="00012EB4"/>
    <w:rsid w:val="0002537E"/>
    <w:rsid w:val="00032692"/>
    <w:rsid w:val="00045FA9"/>
    <w:rsid w:val="00050BE9"/>
    <w:rsid w:val="0008452C"/>
    <w:rsid w:val="000B4FD1"/>
    <w:rsid w:val="000C4617"/>
    <w:rsid w:val="000C76E4"/>
    <w:rsid w:val="000E3C14"/>
    <w:rsid w:val="000F3FF2"/>
    <w:rsid w:val="00101CBB"/>
    <w:rsid w:val="00142803"/>
    <w:rsid w:val="0019126A"/>
    <w:rsid w:val="0019370E"/>
    <w:rsid w:val="001938A1"/>
    <w:rsid w:val="001B3046"/>
    <w:rsid w:val="001B72AA"/>
    <w:rsid w:val="001C1AD5"/>
    <w:rsid w:val="001E1D6D"/>
    <w:rsid w:val="00213E27"/>
    <w:rsid w:val="00232110"/>
    <w:rsid w:val="00252E4E"/>
    <w:rsid w:val="0026630D"/>
    <w:rsid w:val="00270538"/>
    <w:rsid w:val="00271E74"/>
    <w:rsid w:val="002A5FCF"/>
    <w:rsid w:val="002A6A31"/>
    <w:rsid w:val="002C33C0"/>
    <w:rsid w:val="002D354F"/>
    <w:rsid w:val="002D7D0E"/>
    <w:rsid w:val="00305DF7"/>
    <w:rsid w:val="00315BC6"/>
    <w:rsid w:val="00317417"/>
    <w:rsid w:val="0034331D"/>
    <w:rsid w:val="00361D09"/>
    <w:rsid w:val="00365FA1"/>
    <w:rsid w:val="003715D9"/>
    <w:rsid w:val="003735EE"/>
    <w:rsid w:val="00375AD1"/>
    <w:rsid w:val="00391A8A"/>
    <w:rsid w:val="003B7CC8"/>
    <w:rsid w:val="003F12BD"/>
    <w:rsid w:val="004038EA"/>
    <w:rsid w:val="0043352F"/>
    <w:rsid w:val="004415CB"/>
    <w:rsid w:val="004605C0"/>
    <w:rsid w:val="00467DCA"/>
    <w:rsid w:val="00473F5D"/>
    <w:rsid w:val="00481EA7"/>
    <w:rsid w:val="00487122"/>
    <w:rsid w:val="00496265"/>
    <w:rsid w:val="004C32A3"/>
    <w:rsid w:val="00520C93"/>
    <w:rsid w:val="0052392E"/>
    <w:rsid w:val="00542EE1"/>
    <w:rsid w:val="00574B53"/>
    <w:rsid w:val="00582927"/>
    <w:rsid w:val="005C4985"/>
    <w:rsid w:val="005D040C"/>
    <w:rsid w:val="005E69B2"/>
    <w:rsid w:val="00610ED3"/>
    <w:rsid w:val="00613860"/>
    <w:rsid w:val="00614CAE"/>
    <w:rsid w:val="00617763"/>
    <w:rsid w:val="00635520"/>
    <w:rsid w:val="0064524B"/>
    <w:rsid w:val="00650EF1"/>
    <w:rsid w:val="00652F75"/>
    <w:rsid w:val="00673C69"/>
    <w:rsid w:val="00683E8E"/>
    <w:rsid w:val="00690E4F"/>
    <w:rsid w:val="0069269B"/>
    <w:rsid w:val="0069575D"/>
    <w:rsid w:val="00724A2C"/>
    <w:rsid w:val="0073356C"/>
    <w:rsid w:val="007339E8"/>
    <w:rsid w:val="00781C37"/>
    <w:rsid w:val="00793B5E"/>
    <w:rsid w:val="007A7ADA"/>
    <w:rsid w:val="007B5A39"/>
    <w:rsid w:val="007B79EB"/>
    <w:rsid w:val="007D13B1"/>
    <w:rsid w:val="007E37A8"/>
    <w:rsid w:val="007E389B"/>
    <w:rsid w:val="007E42CF"/>
    <w:rsid w:val="007E7894"/>
    <w:rsid w:val="007E7F5A"/>
    <w:rsid w:val="007F6B14"/>
    <w:rsid w:val="007F7506"/>
    <w:rsid w:val="00801F01"/>
    <w:rsid w:val="008109EA"/>
    <w:rsid w:val="00813EEE"/>
    <w:rsid w:val="00836F23"/>
    <w:rsid w:val="0084537F"/>
    <w:rsid w:val="00870726"/>
    <w:rsid w:val="0087275F"/>
    <w:rsid w:val="008A3A0D"/>
    <w:rsid w:val="008A4676"/>
    <w:rsid w:val="008A79AA"/>
    <w:rsid w:val="008B6B3E"/>
    <w:rsid w:val="008E4364"/>
    <w:rsid w:val="008F045F"/>
    <w:rsid w:val="0090406D"/>
    <w:rsid w:val="00907706"/>
    <w:rsid w:val="00915CAE"/>
    <w:rsid w:val="00937019"/>
    <w:rsid w:val="00942460"/>
    <w:rsid w:val="009A0D7D"/>
    <w:rsid w:val="009A258E"/>
    <w:rsid w:val="009A7A23"/>
    <w:rsid w:val="009B20AF"/>
    <w:rsid w:val="009C5589"/>
    <w:rsid w:val="009C7699"/>
    <w:rsid w:val="009E355A"/>
    <w:rsid w:val="00A01344"/>
    <w:rsid w:val="00A0522C"/>
    <w:rsid w:val="00A23A8E"/>
    <w:rsid w:val="00A24D49"/>
    <w:rsid w:val="00A30C06"/>
    <w:rsid w:val="00A43EF7"/>
    <w:rsid w:val="00A44343"/>
    <w:rsid w:val="00A62A48"/>
    <w:rsid w:val="00A630A8"/>
    <w:rsid w:val="00A67D6B"/>
    <w:rsid w:val="00A9667B"/>
    <w:rsid w:val="00AA4285"/>
    <w:rsid w:val="00AC1289"/>
    <w:rsid w:val="00AD0998"/>
    <w:rsid w:val="00AD4209"/>
    <w:rsid w:val="00AD4AD2"/>
    <w:rsid w:val="00AD552C"/>
    <w:rsid w:val="00AF1216"/>
    <w:rsid w:val="00B03E19"/>
    <w:rsid w:val="00B22F7A"/>
    <w:rsid w:val="00B44022"/>
    <w:rsid w:val="00B55A9C"/>
    <w:rsid w:val="00B61C24"/>
    <w:rsid w:val="00BA5D2B"/>
    <w:rsid w:val="00BD543F"/>
    <w:rsid w:val="00BD6226"/>
    <w:rsid w:val="00BE0B63"/>
    <w:rsid w:val="00BE7391"/>
    <w:rsid w:val="00C00987"/>
    <w:rsid w:val="00C054AC"/>
    <w:rsid w:val="00C1652F"/>
    <w:rsid w:val="00C2731F"/>
    <w:rsid w:val="00C5670F"/>
    <w:rsid w:val="00C65136"/>
    <w:rsid w:val="00C8231E"/>
    <w:rsid w:val="00C95AA1"/>
    <w:rsid w:val="00D0455A"/>
    <w:rsid w:val="00D06DDF"/>
    <w:rsid w:val="00D151BA"/>
    <w:rsid w:val="00D310DB"/>
    <w:rsid w:val="00D514EF"/>
    <w:rsid w:val="00D64BF2"/>
    <w:rsid w:val="00D76DB0"/>
    <w:rsid w:val="00D92D6B"/>
    <w:rsid w:val="00D96861"/>
    <w:rsid w:val="00DA5F69"/>
    <w:rsid w:val="00DA5FD3"/>
    <w:rsid w:val="00DB528D"/>
    <w:rsid w:val="00DC46CC"/>
    <w:rsid w:val="00DD6A9B"/>
    <w:rsid w:val="00DE630C"/>
    <w:rsid w:val="00E01F81"/>
    <w:rsid w:val="00E11557"/>
    <w:rsid w:val="00E40421"/>
    <w:rsid w:val="00E4382C"/>
    <w:rsid w:val="00E519C2"/>
    <w:rsid w:val="00E6474C"/>
    <w:rsid w:val="00E77C8D"/>
    <w:rsid w:val="00E81833"/>
    <w:rsid w:val="00E83DE5"/>
    <w:rsid w:val="00E9056D"/>
    <w:rsid w:val="00E9387F"/>
    <w:rsid w:val="00EC0F38"/>
    <w:rsid w:val="00EC26C0"/>
    <w:rsid w:val="00EE214B"/>
    <w:rsid w:val="00EE6FE9"/>
    <w:rsid w:val="00F013B4"/>
    <w:rsid w:val="00F03C6F"/>
    <w:rsid w:val="00F063F4"/>
    <w:rsid w:val="00F13B8D"/>
    <w:rsid w:val="00F26266"/>
    <w:rsid w:val="00F3432F"/>
    <w:rsid w:val="00F811F0"/>
    <w:rsid w:val="00F92D24"/>
    <w:rsid w:val="00F97FAC"/>
    <w:rsid w:val="00FB6A92"/>
    <w:rsid w:val="00FC26E6"/>
    <w:rsid w:val="00FE445A"/>
    <w:rsid w:val="00FF49D1"/>
    <w:rsid w:val="03256106"/>
    <w:rsid w:val="0AD13B32"/>
    <w:rsid w:val="0BEC4921"/>
    <w:rsid w:val="106C5EA2"/>
    <w:rsid w:val="1142254E"/>
    <w:rsid w:val="1552212A"/>
    <w:rsid w:val="15F75A30"/>
    <w:rsid w:val="1DC11FE3"/>
    <w:rsid w:val="1E9DBCC7"/>
    <w:rsid w:val="1FCA7FA5"/>
    <w:rsid w:val="238800B5"/>
    <w:rsid w:val="24A65890"/>
    <w:rsid w:val="25F6345F"/>
    <w:rsid w:val="26EE9F71"/>
    <w:rsid w:val="2A67064C"/>
    <w:rsid w:val="2C6373F7"/>
    <w:rsid w:val="2CD556D3"/>
    <w:rsid w:val="2FFBA272"/>
    <w:rsid w:val="30411E23"/>
    <w:rsid w:val="33582E42"/>
    <w:rsid w:val="38DE8990"/>
    <w:rsid w:val="39350705"/>
    <w:rsid w:val="396D42C2"/>
    <w:rsid w:val="3A6B4052"/>
    <w:rsid w:val="3B787E0D"/>
    <w:rsid w:val="3B7F2C3F"/>
    <w:rsid w:val="3C0D5D7E"/>
    <w:rsid w:val="3C9950A8"/>
    <w:rsid w:val="3DF33988"/>
    <w:rsid w:val="472732D1"/>
    <w:rsid w:val="47CB053A"/>
    <w:rsid w:val="4BF32226"/>
    <w:rsid w:val="4C2F6E20"/>
    <w:rsid w:val="4C8D663C"/>
    <w:rsid w:val="4D0D220F"/>
    <w:rsid w:val="4E0F64B8"/>
    <w:rsid w:val="4E5BD10E"/>
    <w:rsid w:val="5108503B"/>
    <w:rsid w:val="52747C18"/>
    <w:rsid w:val="57580491"/>
    <w:rsid w:val="57C51D9D"/>
    <w:rsid w:val="590002AB"/>
    <w:rsid w:val="59B37F59"/>
    <w:rsid w:val="5E2E183F"/>
    <w:rsid w:val="5F99FE85"/>
    <w:rsid w:val="66FE71A1"/>
    <w:rsid w:val="68991D82"/>
    <w:rsid w:val="692FD7AB"/>
    <w:rsid w:val="6A5E03F0"/>
    <w:rsid w:val="6B7FAF18"/>
    <w:rsid w:val="6FFD42BB"/>
    <w:rsid w:val="70BF582E"/>
    <w:rsid w:val="75599671"/>
    <w:rsid w:val="77FFD9A6"/>
    <w:rsid w:val="7B19208C"/>
    <w:rsid w:val="7FCFC68E"/>
    <w:rsid w:val="7FD7118B"/>
    <w:rsid w:val="8EFF7B9D"/>
    <w:rsid w:val="9A7767CF"/>
    <w:rsid w:val="AE7FD5D8"/>
    <w:rsid w:val="AF09775B"/>
    <w:rsid w:val="BBD6C8E8"/>
    <w:rsid w:val="C86F4380"/>
    <w:rsid w:val="DEF6511F"/>
    <w:rsid w:val="ECFBEE53"/>
    <w:rsid w:val="EEAE30CC"/>
    <w:rsid w:val="F627B507"/>
    <w:rsid w:val="F6DBDFB3"/>
    <w:rsid w:val="FAEA174F"/>
    <w:rsid w:val="FC6D34A8"/>
    <w:rsid w:val="FDA648DD"/>
    <w:rsid w:val="FDEFB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5"/>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4"/>
    <w:qFormat/>
    <w:uiPriority w:val="0"/>
    <w:pPr>
      <w:spacing w:before="240" w:after="60"/>
      <w:jc w:val="center"/>
      <w:outlineLvl w:val="0"/>
    </w:pPr>
    <w:rPr>
      <w:rFonts w:ascii="Cambria" w:hAnsi="Cambria" w:cs="宋体"/>
      <w:b/>
      <w:bCs/>
      <w:sz w:val="32"/>
      <w:szCs w:val="32"/>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4">
    <w:name w:val="标题 字符"/>
    <w:basedOn w:val="9"/>
    <w:link w:val="7"/>
    <w:qFormat/>
    <w:uiPriority w:val="0"/>
    <w:rPr>
      <w:rFonts w:ascii="Cambria" w:hAnsi="Cambria" w:eastAsia="宋体" w:cs="宋体"/>
      <w:b/>
      <w:bCs/>
      <w:sz w:val="32"/>
      <w:szCs w:val="32"/>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customStyle="1" w:styleId="16">
    <w:name w:val="Char1"/>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15</Pages>
  <Words>1252</Words>
  <Characters>7140</Characters>
  <Lines>59</Lines>
  <Paragraphs>16</Paragraphs>
  <TotalTime>150</TotalTime>
  <ScaleCrop>false</ScaleCrop>
  <LinksUpToDate>false</LinksUpToDate>
  <CharactersWithSpaces>8376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2020-12-10T00:00:00Z</dcterms:created>
  <dc:creator>微软</dc:creator>
  <cp:lastModifiedBy>kylin</cp:lastModifiedBy>
  <cp:lastPrinted>2021-01-16T22:26:00Z</cp:lastPrinted>
  <dcterms:modified xsi:type="dcterms:W3CDTF">2023-09-08T17:23:15Z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