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吴忠市红寺堡区住房和城乡建设局2023年危房改造项目绩效自评报告</w:t>
      </w:r>
    </w:p>
    <w:p w14:paraId="13F3442A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716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一、项目基本概况</w:t>
      </w:r>
    </w:p>
    <w:p w14:paraId="3A7789F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项目背景：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红寺堡区危房改造项目，改造对象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“六类低收入群体”类型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  <w:t>,即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农村低保户、农村分散供养特困人员、低保边缘家庭、农村易返贫致贫户、严重困难家庭，其他脱贫户。补助标准为：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危房改造翻建</w:t>
      </w:r>
      <w:r>
        <w:rPr>
          <w:rFonts w:hint="default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万元/户，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加固</w:t>
      </w:r>
      <w:r>
        <w:rPr>
          <w:rFonts w:hint="eastAsia" w:ascii="Times New Roman" w:hAnsi="Times New Roman" w:eastAsia="仿宋_GB2312" w:cs="Times New Roman"/>
          <w:kern w:val="13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万元/户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实施情况：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项目任务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val="en-US" w:eastAsia="zh-CN"/>
        </w:rPr>
        <w:t>163户（翻建133户，加固30户），红寺堡镇25户，太阳山11户，大河乡61户，新庄集42户，柳泉乡24户；目前已全部完工并验收合格。</w:t>
      </w:r>
      <w:r>
        <w:rPr>
          <w:rFonts w:hint="eastAsia" w:ascii="仿宋_GB2312" w:hAnsi="仿宋_GB2312" w:eastAsia="仿宋_GB2312" w:cs="仿宋_GB2312"/>
          <w:b/>
          <w:bCs/>
          <w:kern w:val="13"/>
          <w:sz w:val="32"/>
          <w:szCs w:val="32"/>
          <w:lang w:val="en-US" w:eastAsia="zh-CN"/>
        </w:rPr>
        <w:t>资金来源：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中央和自治区补助资金，实际发放资金445.8万元。</w:t>
      </w:r>
    </w:p>
    <w:p w14:paraId="39973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 w14:paraId="62629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（一）资金投入和使用情况分析。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项目概算总投资及使用445.8万元，翻建投资400.8万元，加固投资45万元，全部为中央和自治区专项资金。</w:t>
      </w:r>
    </w:p>
    <w:p w14:paraId="623088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（二）资金管理情况分析。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分配及下达：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2023年自治区财政厅+自治区住房和城乡建设厅关于提前下达2023年中央财政农村危房改造补助资金预算的通知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》</w:t>
      </w:r>
      <w:r>
        <w:rPr>
          <w:rFonts w:ascii="仿宋_GB2312" w:eastAsia="仿宋_GB2312" w:cs="仿宋_GB2312"/>
          <w:color w:val="000000"/>
          <w:sz w:val="31"/>
          <w:szCs w:val="31"/>
        </w:rPr>
        <w:t>宁财（社）指标〔2022〕661 号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资金预算分配712万元；以及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自治区财政厅+自治区住房和城乡建设厅关于下达2023年中央农村危房改造补助资金预算的通知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》</w:t>
      </w:r>
      <w:r>
        <w:rPr>
          <w:rFonts w:ascii="仿宋_GB2312" w:eastAsia="仿宋_GB2312" w:cs="仿宋_GB2312"/>
          <w:color w:val="000000"/>
          <w:sz w:val="31"/>
          <w:szCs w:val="31"/>
        </w:rPr>
        <w:t>宁财（社）指标〔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2023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〕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450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号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，指标分配</w:t>
      </w:r>
      <w:r>
        <w:rPr>
          <w:rFonts w:hint="eastAsia" w:ascii="仿宋_GB2312" w:eastAsia="仿宋_GB2312" w:cs="仿宋_GB2312"/>
          <w:color w:val="auto"/>
          <w:sz w:val="31"/>
          <w:szCs w:val="31"/>
          <w:lang w:val="en-US" w:eastAsia="zh-CN"/>
        </w:rPr>
        <w:t>-165万元。</w:t>
      </w:r>
    </w:p>
    <w:p w14:paraId="52A91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2023年红寺堡区危房改造总体目标163户，实际完成163户，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并验收合格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4348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（四）绩效指标完成情况分析。项目实际完成情况：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</w:rPr>
        <w:t>“六类低收入群体”</w:t>
      </w:r>
      <w:r>
        <w:rPr>
          <w:rFonts w:hint="eastAsia" w:ascii="仿宋_GB2312" w:hAnsi="仿宋_GB2312" w:eastAsia="仿宋_GB2312" w:cs="仿宋_GB2312"/>
          <w:kern w:val="13"/>
          <w:sz w:val="32"/>
          <w:szCs w:val="32"/>
          <w:lang w:eastAsia="zh-CN"/>
        </w:rPr>
        <w:t>为重点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。在改造对象划分上，坚持“公平、公正、公开”的原则，严格执行“三级审核、三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公示”制度。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加强质量监督检查。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乡（镇）危房管理员多次现场指导并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认真填写《自治区农户危窑危房改造质量监督卡》，在项目建设中对不符合标准的施工环节和发现的质量安全问题，及时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督促整改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严格危房改造验收程序。严格按照三级验收办法对房屋进行验收，先由乡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逐户初验，再由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局联合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吴忠市住建局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进行逐乡、逐村、逐户统一验收，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最后由自治区住建厅抽验，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程序严谨、质量过关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加快资金兑付。对验收合格农户进行三级公示，待公示期结束后通过农户一卡通账号兑付资金。</w:t>
      </w:r>
    </w:p>
    <w:p w14:paraId="7CBE42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三、下一步工作</w:t>
      </w:r>
    </w:p>
    <w:p w14:paraId="6483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（一）加强领导，落实责任。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根据存在的问题制定出台涉农政策的责任制和责任追究制，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督促各乡（镇）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加大对违规违纪行为的查处力度，对凡是不按照政策要求落实的人员将进行批评教育，情节严重的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移交相关部门处理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2C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（二）狠抓资金管理，破解资金瓶颈制约。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危房改造补助资金和项目管理工作经费纳入到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红寺堡区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年度财政预算，危房改造资金实行专门管理，专款专用，确保危房改造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顺利进行。</w:t>
      </w:r>
    </w:p>
    <w:p w14:paraId="7CB7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（三）加强检查，确保政策落实。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进一步健全和完善各项监管制度，规范行政权力运行，创新惠农资金管理工作机制，完善各项资金的管理和使用制度，做到有章可循，不断提高涉农惠农资金的使用效益，切实维护好群众的切身利益。</w:t>
      </w:r>
    </w:p>
    <w:p w14:paraId="3443985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附件：红寺堡区2023年危房改造项目支出绩效自评表</w:t>
      </w:r>
    </w:p>
    <w:p w14:paraId="1BA67B8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textAlignment w:val="auto"/>
        <w:rPr>
          <w:rFonts w:hint="eastAsia"/>
        </w:rPr>
      </w:pPr>
    </w:p>
    <w:p w14:paraId="72DA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</w:pPr>
    </w:p>
    <w:p w14:paraId="506D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  <w:t>吴忠市红寺堡区住房和城乡建设局</w:t>
      </w:r>
    </w:p>
    <w:p w14:paraId="5685F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3520" w:firstLineChars="1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  <w:t>2024年12月10日</w:t>
      </w:r>
    </w:p>
    <w:p w14:paraId="61F885B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</w:rPr>
      </w:pPr>
    </w:p>
    <w:p w14:paraId="6A2F6BD4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</w:p>
    <w:p w14:paraId="51B3BA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/>
          <w:lang w:val="en-US" w:eastAsia="zh-CN"/>
        </w:rPr>
      </w:pPr>
    </w:p>
    <w:p w14:paraId="0439E3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7FEF"/>
    <w:rsid w:val="011A24F4"/>
    <w:rsid w:val="025F0B06"/>
    <w:rsid w:val="02A76009"/>
    <w:rsid w:val="07697D31"/>
    <w:rsid w:val="0799330E"/>
    <w:rsid w:val="0817778D"/>
    <w:rsid w:val="09F61D50"/>
    <w:rsid w:val="0CB02562"/>
    <w:rsid w:val="0EE32E9D"/>
    <w:rsid w:val="0F503CB0"/>
    <w:rsid w:val="10051A3A"/>
    <w:rsid w:val="17A53977"/>
    <w:rsid w:val="19C33383"/>
    <w:rsid w:val="1B1C47BE"/>
    <w:rsid w:val="1D84721B"/>
    <w:rsid w:val="1DDB508D"/>
    <w:rsid w:val="20234AC9"/>
    <w:rsid w:val="20A21E92"/>
    <w:rsid w:val="21333432"/>
    <w:rsid w:val="21C65A76"/>
    <w:rsid w:val="23E10F23"/>
    <w:rsid w:val="25951FC5"/>
    <w:rsid w:val="2D7E77E3"/>
    <w:rsid w:val="2EB3170E"/>
    <w:rsid w:val="2FFB511A"/>
    <w:rsid w:val="32E77FEF"/>
    <w:rsid w:val="334868C9"/>
    <w:rsid w:val="34CC177B"/>
    <w:rsid w:val="34D643A8"/>
    <w:rsid w:val="352A483B"/>
    <w:rsid w:val="38FB262F"/>
    <w:rsid w:val="3C204482"/>
    <w:rsid w:val="3DF4287B"/>
    <w:rsid w:val="435873FD"/>
    <w:rsid w:val="43D877F5"/>
    <w:rsid w:val="45A34149"/>
    <w:rsid w:val="4812529F"/>
    <w:rsid w:val="4B1A492B"/>
    <w:rsid w:val="566B62A7"/>
    <w:rsid w:val="5A5D05FC"/>
    <w:rsid w:val="5B465534"/>
    <w:rsid w:val="60795A64"/>
    <w:rsid w:val="64354398"/>
    <w:rsid w:val="660202AA"/>
    <w:rsid w:val="660712B6"/>
    <w:rsid w:val="682851C9"/>
    <w:rsid w:val="6B49098D"/>
    <w:rsid w:val="6B777044"/>
    <w:rsid w:val="6C97799E"/>
    <w:rsid w:val="6FA115B1"/>
    <w:rsid w:val="6FE70C3C"/>
    <w:rsid w:val="70291255"/>
    <w:rsid w:val="70612695"/>
    <w:rsid w:val="738A025C"/>
    <w:rsid w:val="74EB6AD9"/>
    <w:rsid w:val="79450781"/>
    <w:rsid w:val="7A9C7112"/>
    <w:rsid w:val="7B2A7C2F"/>
    <w:rsid w:val="7C6F4493"/>
    <w:rsid w:val="7E5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4">
    <w:name w:val="Body Text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1214</Characters>
  <Lines>0</Lines>
  <Paragraphs>0</Paragraphs>
  <TotalTime>8</TotalTime>
  <ScaleCrop>false</ScaleCrop>
  <LinksUpToDate>false</LinksUpToDate>
  <CharactersWithSpaces>1215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2024-11-29T01:21:00Z</dcterms:created>
  <dc:creator>咣铛</dc:creator>
  <cp:lastModifiedBy>★❈ ★</cp:lastModifiedBy>
  <dcterms:modified xsi:type="dcterms:W3CDTF">2024-12-10T08:03:02Z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4D6BAA7F9F62477C933E074D6676D040_11</vt:lpwstr>
  </property>
</Properties>
</file>