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color w:val="auto"/>
          <w:sz w:val="28"/>
          <w:szCs w:val="28"/>
          <w:lang w:val="en-US" w:eastAsia="zh-CN"/>
        </w:rPr>
      </w:pPr>
      <w:bookmarkStart w:id="0" w:name="_Toc32535"/>
      <w:bookmarkStart w:id="1" w:name="_Toc23977"/>
      <w:r>
        <w:rPr>
          <w:rFonts w:hint="eastAsia" w:ascii="黑体" w:hAnsi="黑体" w:eastAsia="黑体" w:cs="黑体"/>
          <w:color w:val="auto"/>
          <w:sz w:val="28"/>
          <w:szCs w:val="28"/>
          <w:lang w:val="en-US" w:eastAsia="zh-CN"/>
        </w:rPr>
        <w:t>附件2</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红寺堡区退役军人事务局2023年义务兵家属优待金绩效自评报告</w:t>
      </w:r>
    </w:p>
    <w:p>
      <w:pPr>
        <w:numPr>
          <w:ilvl w:val="0"/>
          <w:numId w:val="0"/>
        </w:numPr>
        <w:rPr>
          <w:rFonts w:hint="eastAsia" w:ascii="黑体" w:hAnsi="黑体" w:eastAsia="黑体" w:cs="黑体"/>
          <w:color w:val="auto"/>
          <w:sz w:val="32"/>
          <w:szCs w:val="32"/>
          <w:lang w:val="en-US" w:eastAsia="zh-CN"/>
        </w:rPr>
      </w:pPr>
    </w:p>
    <w:p>
      <w:pPr>
        <w:numPr>
          <w:ilvl w:val="0"/>
          <w:numId w:val="0"/>
        </w:num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0" w:firstLineChars="200"/>
        <w:jc w:val="both"/>
        <w:textAlignment w:val="auto"/>
        <w:outlineLvl w:val="9"/>
        <w:rPr>
          <w:rFonts w:hint="default" w:ascii="仿宋_GB2312" w:hAnsi="仿宋_GB2312" w:eastAsia="仿宋_GB2312" w:cs="仿宋_GB2312"/>
          <w:sz w:val="32"/>
          <w:szCs w:val="32"/>
          <w:highlight w:val="yellow"/>
          <w:lang w:val="en-US" w:eastAsia="zh-CN"/>
        </w:rPr>
      </w:pPr>
      <w:r>
        <w:rPr>
          <w:rFonts w:ascii="仿宋_GB2312" w:hAnsi="仿宋_GB2312" w:eastAsia="仿宋_GB2312" w:cs="仿宋_GB2312"/>
          <w:b w:val="0"/>
          <w:bCs w:val="0"/>
          <w:color w:val="000000"/>
          <w:sz w:val="31"/>
          <w:szCs w:val="31"/>
        </w:rPr>
        <w:t>为维护义务兵家庭的合法权益，促进国防和军队建设，提升社会化拥军崇军氛围，让义务兵安心部队服役</w:t>
      </w:r>
      <w:r>
        <w:rPr>
          <w:rFonts w:hint="eastAsia" w:ascii="仿宋_GB2312" w:hAnsi="仿宋_GB2312" w:eastAsia="仿宋_GB2312" w:cs="仿宋_GB2312"/>
          <w:b w:val="0"/>
          <w:bCs w:val="0"/>
          <w:color w:val="333333"/>
          <w:sz w:val="31"/>
          <w:szCs w:val="31"/>
          <w:lang w:eastAsia="zh-CN"/>
        </w:rPr>
        <w:t>，</w:t>
      </w:r>
      <w:r>
        <w:rPr>
          <w:rFonts w:hint="eastAsia" w:ascii="Times New Roman" w:hAnsi="Times New Roman" w:eastAsia="仿宋_GB2312" w:cs="Times New Roman"/>
          <w:sz w:val="32"/>
          <w:szCs w:val="32"/>
          <w:lang w:val="en-US" w:eastAsia="zh-CN"/>
        </w:rPr>
        <w:t>根据中华人民共和国国务院、中华人民共和国中央军事委员会修订的《军人抚恤优待条例》、</w:t>
      </w:r>
      <w:r>
        <w:rPr>
          <w:rFonts w:hint="eastAsia" w:eastAsia="仿宋_GB2312" w:cs="Times New Roman"/>
          <w:sz w:val="32"/>
          <w:szCs w:val="32"/>
          <w:lang w:val="en-US" w:eastAsia="zh-CN"/>
        </w:rPr>
        <w:t>《自治区退役军人事务厅 财政厅 宁夏军区动员局关于调整义务兵家庭优待金和自主就业退役士兵一次性经济补助发放工作的通知》要求，</w:t>
      </w:r>
      <w:r>
        <w:rPr>
          <w:rFonts w:hint="eastAsia" w:ascii="仿宋_GB2312" w:hAnsi="仿宋_GB2312" w:eastAsia="仿宋_GB2312" w:cs="仿宋_GB2312"/>
          <w:b w:val="0"/>
          <w:bCs w:val="0"/>
          <w:color w:val="000000"/>
          <w:sz w:val="31"/>
          <w:szCs w:val="31"/>
          <w:lang w:val="en-US" w:eastAsia="zh-CN"/>
        </w:rPr>
        <w:t>为</w:t>
      </w:r>
      <w:r>
        <w:rPr>
          <w:rFonts w:hint="eastAsia" w:eastAsia="仿宋_GB2312" w:cs="Times New Roman"/>
          <w:sz w:val="32"/>
          <w:szCs w:val="32"/>
          <w:lang w:val="en-US" w:eastAsia="zh-CN"/>
        </w:rPr>
        <w:t>每服役满6个月义务兵家庭发放一次</w:t>
      </w:r>
      <w:r>
        <w:rPr>
          <w:rFonts w:ascii="仿宋_GB2312" w:hAnsi="仿宋_GB2312" w:eastAsia="仿宋_GB2312" w:cs="仿宋_GB2312"/>
          <w:b w:val="0"/>
          <w:bCs w:val="0"/>
          <w:color w:val="000000"/>
          <w:sz w:val="31"/>
          <w:szCs w:val="31"/>
        </w:rPr>
        <w:t>义</w:t>
      </w:r>
      <w:r>
        <w:rPr>
          <w:rFonts w:hint="eastAsia" w:eastAsia="仿宋_GB2312" w:cs="Times New Roman"/>
          <w:sz w:val="32"/>
          <w:szCs w:val="32"/>
          <w:lang w:val="en-US" w:eastAsia="zh-CN"/>
        </w:rPr>
        <w:t>家庭优待金。2023年，共为179名义务兵家庭发放家庭优待金446.9万元。有关资金由自治区和本级财政配套。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（一）资金投入情况分析。</w:t>
      </w:r>
      <w:r>
        <w:rPr>
          <w:rFonts w:hint="eastAsia" w:ascii="Times New Roman" w:hAnsi="Times New Roman" w:eastAsia="仿宋_GB2312" w:cs="Times New Roman"/>
          <w:sz w:val="32"/>
          <w:szCs w:val="32"/>
          <w:lang w:val="en-US" w:eastAsia="zh-CN"/>
        </w:rPr>
        <w:t>义务兵家属优待金，资金投入</w:t>
      </w:r>
      <w:r>
        <w:rPr>
          <w:rFonts w:hint="eastAsia" w:eastAsia="仿宋_GB2312" w:cs="Times New Roman"/>
          <w:sz w:val="32"/>
          <w:szCs w:val="32"/>
          <w:lang w:val="en-US" w:eastAsia="zh-CN"/>
        </w:rPr>
        <w:t>535</w:t>
      </w:r>
      <w:r>
        <w:rPr>
          <w:rFonts w:hint="eastAsia" w:ascii="Times New Roman" w:hAnsi="Times New Roman" w:eastAsia="仿宋_GB2312" w:cs="Times New Roman"/>
          <w:sz w:val="32"/>
          <w:szCs w:val="32"/>
          <w:lang w:val="en-US" w:eastAsia="zh-CN"/>
        </w:rPr>
        <w:t>万元，支付率为98.5%。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（二）资金管理情况分析。</w:t>
      </w:r>
      <w:r>
        <w:rPr>
          <w:rFonts w:hint="default" w:ascii="Times New Roman" w:hAnsi="Times New Roman" w:eastAsia="仿宋_GB2312" w:cs="Times New Roman"/>
          <w:b w:val="0"/>
          <w:bCs w:val="0"/>
          <w:color w:val="000000"/>
          <w:sz w:val="32"/>
          <w:szCs w:val="32"/>
          <w:lang w:val="en-US" w:eastAsia="zh-CN"/>
        </w:rPr>
        <w:t>项目资金均实行专账管理，财务管理制度健全，执行情况良好，保证制度的有效实施，无违反财务管理、财经纪律情况发生。会计核算真实完整，项目资金分配、下达、拨付、使用、执行和原定用途、预算绩效管理用途相符，支出符合国家相关管理制度规定</w:t>
      </w:r>
      <w:r>
        <w:rPr>
          <w:rFonts w:hint="eastAsia" w:ascii="Times New Roman" w:hAnsi="Times New Roman" w:eastAsia="仿宋_GB2312" w:cs="Times New Roman"/>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（三）总体绩效目标完成情况分析。</w:t>
      </w:r>
      <w:r>
        <w:rPr>
          <w:rFonts w:hint="eastAsia" w:ascii="Times New Roman" w:hAnsi="Times New Roman" w:eastAsia="仿宋_GB2312" w:cs="Times New Roman"/>
          <w:sz w:val="32"/>
          <w:szCs w:val="32"/>
          <w:lang w:val="en-US" w:eastAsia="zh-CN"/>
        </w:rPr>
        <w:t>全年项目资金总计下达</w:t>
      </w:r>
      <w:r>
        <w:rPr>
          <w:rFonts w:hint="eastAsia" w:eastAsia="仿宋_GB2312" w:cs="Times New Roman"/>
          <w:sz w:val="32"/>
          <w:szCs w:val="32"/>
          <w:lang w:val="en-US" w:eastAsia="zh-CN"/>
        </w:rPr>
        <w:t>535</w:t>
      </w:r>
      <w:r>
        <w:rPr>
          <w:rFonts w:hint="eastAsia" w:ascii="Times New Roman" w:hAnsi="Times New Roman" w:eastAsia="仿宋_GB2312" w:cs="Times New Roman"/>
          <w:sz w:val="32"/>
          <w:szCs w:val="32"/>
          <w:lang w:val="en-US" w:eastAsia="zh-CN"/>
        </w:rPr>
        <w:t>万元，全年支付总计</w:t>
      </w:r>
      <w:r>
        <w:rPr>
          <w:rFonts w:hint="eastAsia" w:eastAsia="仿宋_GB2312" w:cs="Times New Roman"/>
          <w:sz w:val="32"/>
          <w:szCs w:val="32"/>
          <w:lang w:val="en-US" w:eastAsia="zh-CN"/>
        </w:rPr>
        <w:t>446.9</w:t>
      </w:r>
      <w:r>
        <w:rPr>
          <w:rFonts w:hint="eastAsia" w:ascii="Times New Roman" w:hAnsi="Times New Roman" w:eastAsia="仿宋_GB2312" w:cs="Times New Roman"/>
          <w:sz w:val="32"/>
          <w:szCs w:val="32"/>
          <w:lang w:val="en-US" w:eastAsia="zh-CN"/>
        </w:rPr>
        <w:t>万元，资金支付率为98.5%。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bCs/>
          <w:sz w:val="32"/>
          <w:szCs w:val="32"/>
          <w:lang w:val="en-US" w:eastAsia="zh-CN"/>
        </w:rPr>
      </w:pPr>
      <w:r>
        <w:rPr>
          <w:rFonts w:hint="eastAsia" w:ascii="楷体_GB2312" w:hAnsi="楷体_GB2312" w:eastAsia="楷体_GB2312" w:cs="楷体_GB2312"/>
          <w:b/>
          <w:bCs/>
          <w:sz w:val="32"/>
          <w:szCs w:val="32"/>
          <w:lang w:val="en-US" w:eastAsia="zh-CN"/>
        </w:rPr>
        <w:t>（四）绩效指标完成情况分析。</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义务兵家属优待金：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数量指标。</w:t>
      </w:r>
      <w:r>
        <w:rPr>
          <w:rFonts w:hint="eastAsia" w:ascii="Times New Roman" w:hAnsi="Times New Roman" w:eastAsia="仿宋_GB2312" w:cs="Times New Roman"/>
          <w:sz w:val="32"/>
          <w:szCs w:val="32"/>
          <w:highlight w:val="none"/>
          <w:lang w:val="en-US" w:eastAsia="zh-CN"/>
        </w:rPr>
        <w:t>家属优待金发放人数</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val="en-US" w:eastAsia="zh-CN"/>
        </w:rPr>
        <w:t>179人。</w:t>
      </w:r>
      <w:r>
        <w:rPr>
          <w:rFonts w:hint="eastAsia"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(2)质量指标。</w:t>
      </w:r>
      <w:r>
        <w:rPr>
          <w:rFonts w:hint="eastAsia" w:ascii="Times New Roman" w:hAnsi="Times New Roman" w:eastAsia="仿宋_GB2312" w:cs="Times New Roman"/>
          <w:sz w:val="32"/>
          <w:szCs w:val="32"/>
          <w:lang w:val="en-US" w:eastAsia="zh-CN"/>
        </w:rPr>
        <w:t>义务兵家属优待金</w:t>
      </w:r>
      <w:r>
        <w:rPr>
          <w:rFonts w:hint="default" w:ascii="Times New Roman" w:hAnsi="Times New Roman" w:eastAsia="仿宋_GB2312" w:cs="Times New Roman"/>
          <w:sz w:val="32"/>
          <w:szCs w:val="32"/>
          <w:lang w:val="en-US" w:eastAsia="zh-CN"/>
        </w:rPr>
        <w:t>按规定标准</w:t>
      </w:r>
      <w:bookmarkStart w:id="2" w:name="_GoBack"/>
      <w:bookmarkEnd w:id="2"/>
      <w:r>
        <w:rPr>
          <w:rFonts w:hint="eastAsia" w:ascii="Times New Roman" w:hAnsi="Times New Roman" w:eastAsia="仿宋_GB2312" w:cs="Times New Roman"/>
          <w:sz w:val="32"/>
          <w:szCs w:val="32"/>
          <w:lang w:val="en-US" w:eastAsia="zh-CN"/>
        </w:rPr>
        <w:t>保质保量</w:t>
      </w:r>
      <w:r>
        <w:rPr>
          <w:rFonts w:hint="default" w:ascii="Times New Roman" w:hAnsi="Times New Roman" w:eastAsia="仿宋_GB2312" w:cs="Times New Roman"/>
          <w:sz w:val="32"/>
          <w:szCs w:val="32"/>
          <w:lang w:val="en-US" w:eastAsia="zh-CN"/>
        </w:rPr>
        <w:t>100%执行。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(3)时效指标。</w:t>
      </w:r>
      <w:r>
        <w:rPr>
          <w:rFonts w:hint="default" w:ascii="Times New Roman" w:hAnsi="Times New Roman" w:eastAsia="仿宋_GB2312" w:cs="Times New Roman"/>
          <w:sz w:val="32"/>
          <w:szCs w:val="32"/>
          <w:lang w:val="en-US" w:eastAsia="zh-CN"/>
        </w:rPr>
        <w:t>补助标准按规定及时拨付到位。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2.效益指标完成情况分析。</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1</w:t>
      </w:r>
      <w:r>
        <w:rPr>
          <w:rFonts w:hint="default" w:ascii="Times New Roman" w:hAnsi="Times New Roman" w:eastAsia="仿宋_GB2312" w:cs="Times New Roman"/>
          <w:b/>
          <w:bCs/>
          <w:color w:val="auto"/>
          <w:kern w:val="2"/>
          <w:sz w:val="32"/>
          <w:szCs w:val="32"/>
          <w:lang w:val="en-US" w:eastAsia="zh-CN" w:bidi="ar-SA"/>
        </w:rPr>
        <w:t>)社会效益。</w:t>
      </w:r>
      <w:r>
        <w:rPr>
          <w:rFonts w:hint="eastAsia" w:ascii="Times New Roman" w:hAnsi="Times New Roman" w:eastAsia="仿宋_GB2312" w:cs="Times New Roman"/>
          <w:sz w:val="32"/>
          <w:szCs w:val="32"/>
          <w:lang w:val="en-US" w:eastAsia="zh-CN"/>
        </w:rPr>
        <w:t>有效</w:t>
      </w:r>
      <w:r>
        <w:rPr>
          <w:rFonts w:hint="default" w:ascii="Times New Roman" w:hAnsi="Times New Roman" w:eastAsia="仿宋_GB2312" w:cs="Times New Roman"/>
          <w:sz w:val="32"/>
          <w:szCs w:val="32"/>
          <w:lang w:val="en-US" w:eastAsia="zh-CN"/>
        </w:rPr>
        <w:t>改善</w:t>
      </w:r>
      <w:r>
        <w:rPr>
          <w:rFonts w:hint="eastAsia" w:ascii="Times New Roman" w:hAnsi="Times New Roman" w:eastAsia="仿宋_GB2312" w:cs="Times New Roman"/>
          <w:sz w:val="32"/>
          <w:szCs w:val="32"/>
          <w:lang w:val="en-US" w:eastAsia="zh-CN"/>
        </w:rPr>
        <w:t>义务兵家属生活情况。</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2</w:t>
      </w:r>
      <w:r>
        <w:rPr>
          <w:rFonts w:hint="default" w:ascii="Times New Roman" w:hAnsi="Times New Roman" w:eastAsia="仿宋_GB2312" w:cs="Times New Roman"/>
          <w:b/>
          <w:bCs/>
          <w:color w:val="auto"/>
          <w:kern w:val="2"/>
          <w:sz w:val="32"/>
          <w:szCs w:val="32"/>
          <w:lang w:val="en-US" w:eastAsia="zh-CN" w:bidi="ar-SA"/>
        </w:rPr>
        <w:t>)生态效益。</w:t>
      </w:r>
      <w:r>
        <w:rPr>
          <w:rFonts w:hint="default" w:ascii="Times New Roman" w:hAnsi="Times New Roman" w:eastAsia="仿宋_GB2312" w:cs="Times New Roman"/>
          <w:sz w:val="32"/>
          <w:szCs w:val="32"/>
        </w:rPr>
        <w:t>促进家庭和谐，社会效果显著。</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3.满意度指标。</w:t>
      </w:r>
      <w:r>
        <w:rPr>
          <w:rFonts w:hint="default" w:ascii="Times New Roman" w:hAnsi="Times New Roman" w:eastAsia="仿宋_GB2312" w:cs="Times New Roman"/>
          <w:sz w:val="32"/>
          <w:szCs w:val="32"/>
          <w:highlight w:val="none"/>
        </w:rPr>
        <w:t>满意率</w:t>
      </w:r>
      <w:r>
        <w:rPr>
          <w:rFonts w:hint="eastAsia" w:ascii="Times New Roman" w:hAnsi="Times New Roman"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该项目总体目标和绩效指标均已完成，不存在偏离绩效目标的情况。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下一步改进措施：</w:t>
      </w:r>
      <w:r>
        <w:rPr>
          <w:rFonts w:hint="eastAsia"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进一步完善绩效管理制度，强化绩效管理意识。提升项目资金管理人员的业务能力，配备相关人员专门负责项目支出运行管理</w:t>
      </w:r>
      <w:r>
        <w:rPr>
          <w:rFonts w:hint="eastAsia" w:eastAsia="仿宋_GB2312" w:cs="Times New Roman"/>
          <w:kern w:val="2"/>
          <w:sz w:val="32"/>
          <w:szCs w:val="32"/>
          <w:lang w:val="en-US" w:eastAsia="zh-CN" w:bidi="ar-SA"/>
        </w:rPr>
        <w:t>；</w:t>
      </w:r>
      <w:r>
        <w:rPr>
          <w:rFonts w:hint="eastAsia"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继续加强业务学习，按季度对项目进行绩效评价工作;</w:t>
      </w:r>
      <w:r>
        <w:rPr>
          <w:rFonts w:hint="eastAsia"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加强落实问责机制，将项目工作完成情况作为部门绩效考核的评价依据，以提高部门工作的效率和效果。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pgSz w:w="11906" w:h="16838"/>
      <w:pgMar w:top="2098" w:right="1474" w:bottom="1984" w:left="1587" w:header="0" w:footer="1587" w:gutter="0"/>
      <w:pgNumType w:fmt="numberInDash"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E866"/>
    <w:multiLevelType w:val="singleLevel"/>
    <w:tmpl w:val="FF7FE86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ZjY0NjUwYjc1NTNhYmQ2MTg5MWNlNzRkNWRjZjQifQ=="/>
    <w:docVar w:name="KSO_WPS_MARK_KEY" w:val="10b5b2b6-a694-40fe-96d3-580c951ebd20"/>
  </w:docVars>
  <w:rsids>
    <w:rsidRoot w:val="00000000"/>
    <w:rsid w:val="0C3D3702"/>
    <w:rsid w:val="0C5B7290"/>
    <w:rsid w:val="15744470"/>
    <w:rsid w:val="1593761C"/>
    <w:rsid w:val="21494A03"/>
    <w:rsid w:val="22ED753A"/>
    <w:rsid w:val="49DB003F"/>
    <w:rsid w:val="5E557A69"/>
    <w:rsid w:val="65FFF714"/>
    <w:rsid w:val="6B9F872C"/>
    <w:rsid w:val="6F7EC47E"/>
    <w:rsid w:val="7F9035D7"/>
    <w:rsid w:val="D7F1036B"/>
    <w:rsid w:val="DFF6F781"/>
    <w:rsid w:val="FDE4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widowControl/>
      <w:spacing w:before="100" w:beforeAutospacing="1" w:after="100" w:afterAutospacing="1"/>
      <w:jc w:val="left"/>
    </w:pPr>
    <w:rPr>
      <w:rFonts w:ascii="宋体" w:hAnsi="宋体"/>
      <w:kern w:val="0"/>
      <w:sz w:val="24"/>
    </w:rPr>
  </w:style>
  <w:style w:type="paragraph" w:styleId="4">
    <w:name w:val="Normal Indent"/>
    <w:basedOn w:val="1"/>
    <w:next w:val="1"/>
    <w:qFormat/>
    <w:uiPriority w:val="0"/>
    <w:pPr>
      <w:ind w:firstLine="200" w:firstLineChars="200"/>
    </w:pPr>
    <w:rPr>
      <w:rFonts w:cs="Times New Roman"/>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oc 1"/>
    <w:basedOn w:val="1"/>
    <w:next w:val="1"/>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858</Words>
  <Characters>904</Characters>
  <Lines>0</Lines>
  <Paragraphs>0</Paragraphs>
  <TotalTime>942</TotalTime>
  <ScaleCrop>false</ScaleCrop>
  <LinksUpToDate>false</LinksUpToDate>
  <CharactersWithSpaces>911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2023-05-06T09:08:00Z</dcterms:created>
  <dc:creator>Administrator</dc:creator>
  <cp:lastModifiedBy>久伴不弃</cp:lastModifiedBy>
  <dcterms:modified xsi:type="dcterms:W3CDTF">2024-11-26T02:05:14Z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FDF4CED961F34C8D93765C4FF9F75CEE_13</vt:lpwstr>
  </property>
</Properties>
</file>