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23977"/>
      <w:bookmarkStart w:id="1" w:name="_Toc32535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红寺堡区退役军人事务局2023年退役军人服务中心（站）创建补助经费绩效自评报告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营造尊崇军人，关爱军人的浓厚氛围，引导全区干部职工以及退役军人学先进党先进，同时给来办事的退役军人回家的感觉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自治区下达服务中心创建转移支付7.6万元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退役军人服务中心（站）创建补助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资金投入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7.6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9.21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均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全年项目资金总计下达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7.6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万元，全年支付总计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万元，资金支付率为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9.21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(1)数量指标。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创建服务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中心1个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(2)质量指标。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按规定执行率100%。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及时拨付率95%。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(4)成本指标。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按标准规定执行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效益指标完成情况分析。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(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)社会效益。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有效促进社会和谐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(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)可持续影响。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营造良好环境氛围，更好为办事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退役军人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提供服务。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满意度指标完成情况分析。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满意率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90%以上，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上级主管部门满意度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bookmarkStart w:id="2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  <w:t>未完成的原因：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yellow"/>
        </w:rPr>
        <w:t>下一步改进措施：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10b5b2b6-a694-40fe-96d3-580c951ebd20"/>
  </w:docVars>
  <w:rsids>
    <w:rsidRoot w:val="00000000"/>
    <w:rsid w:val="0C3D3702"/>
    <w:rsid w:val="0C5B7290"/>
    <w:rsid w:val="22ED753A"/>
    <w:rsid w:val="65FFF714"/>
    <w:rsid w:val="6B9F872C"/>
    <w:rsid w:val="6F7EC47E"/>
    <w:rsid w:val="71523867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638</Characters>
  <Lines>0</Lines>
  <Paragraphs>0</Paragraphs>
  <TotalTime>1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2024-11-19T09:39:04Z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379EA0348CF84049A0863C0730FCB64A</vt:lpwstr>
  </property>
</Properties>
</file>