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方正小标宋_GBK" w:cs="Times New Roman"/>
          <w:b w:val="0"/>
          <w:bCs/>
          <w:color w:val="auto"/>
          <w:sz w:val="44"/>
          <w:szCs w:val="44"/>
          <w:u w:val="none"/>
        </w:rPr>
      </w:pPr>
      <w:r>
        <w:rPr>
          <w:rFonts w:hint="default" w:ascii="Times New Roman" w:hAnsi="Times New Roman" w:eastAsia="方正小标宋_GBK" w:cs="Times New Roman"/>
          <w:b w:val="0"/>
          <w:bCs/>
          <w:color w:val="auto"/>
          <w:sz w:val="44"/>
          <w:szCs w:val="44"/>
          <w:u w:val="none"/>
          <w:lang w:eastAsia="zh-CN"/>
        </w:rPr>
        <w:t>吴忠市</w:t>
      </w:r>
      <w:r>
        <w:rPr>
          <w:rFonts w:hint="default" w:ascii="Times New Roman" w:hAnsi="Times New Roman" w:eastAsia="方正小标宋_GBK" w:cs="Times New Roman"/>
          <w:b w:val="0"/>
          <w:bCs/>
          <w:color w:val="auto"/>
          <w:sz w:val="44"/>
          <w:szCs w:val="44"/>
          <w:u w:val="none"/>
        </w:rPr>
        <w:t>红寺堡区生态环境保护“十四五”规划</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p>
    <w:p>
      <w:pPr>
        <w:pStyle w:val="2"/>
        <w:rPr>
          <w:rFonts w:hint="default"/>
        </w:rPr>
      </w:pP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p>
    <w:p>
      <w:pPr>
        <w:pStyle w:val="9"/>
        <w:pageBreakBefore w:val="0"/>
        <w:kinsoku/>
        <w:wordWrap/>
        <w:overflowPunct/>
        <w:topLinePunct w:val="0"/>
        <w:autoSpaceDE/>
        <w:autoSpaceDN/>
        <w:bidi w:val="0"/>
        <w:snapToGrid/>
        <w:spacing w:after="0" w:line="560" w:lineRule="exact"/>
        <w:ind w:left="0" w:leftChars="0"/>
        <w:textAlignment w:val="auto"/>
        <w:rPr>
          <w:rFonts w:hint="default" w:ascii="Times New Roman" w:hAnsi="Times New Roman" w:eastAsia="仿宋_GB2312" w:cs="Times New Roman"/>
          <w:color w:val="auto"/>
          <w:sz w:val="32"/>
          <w:szCs w:val="32"/>
          <w:u w:val="none"/>
        </w:rPr>
      </w:pPr>
    </w:p>
    <w:p>
      <w:pPr>
        <w:pageBreakBefore w:val="0"/>
        <w:kinsoku/>
        <w:wordWrap/>
        <w:overflowPunct/>
        <w:topLinePunct w:val="0"/>
        <w:autoSpaceDE/>
        <w:autoSpaceDN/>
        <w:bidi w:val="0"/>
        <w:snapToGrid/>
        <w:spacing w:line="560" w:lineRule="exact"/>
        <w:ind w:left="0" w:leftChars="0"/>
        <w:textAlignment w:val="auto"/>
        <w:rPr>
          <w:rFonts w:hint="default" w:ascii="Times New Roman" w:hAnsi="Times New Roman" w:cs="Times New Roman"/>
          <w:color w:val="auto"/>
          <w:u w:val="none"/>
        </w:rPr>
      </w:pPr>
    </w:p>
    <w:p>
      <w:pPr>
        <w:pStyle w:val="9"/>
        <w:rPr>
          <w:rFonts w:hint="default"/>
          <w:color w:val="auto"/>
          <w:u w:val="none"/>
        </w:rPr>
      </w:pP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楷体_GB2312" w:cs="Times New Roman"/>
          <w:b/>
          <w:bCs w:val="0"/>
          <w:color w:val="auto"/>
          <w:sz w:val="32"/>
          <w:szCs w:val="32"/>
          <w:u w:val="none"/>
          <w:lang w:eastAsia="zh-CN"/>
        </w:rPr>
      </w:pPr>
      <w:r>
        <w:rPr>
          <w:rFonts w:hint="default" w:ascii="Times New Roman" w:hAnsi="Times New Roman" w:eastAsia="楷体_GB2312" w:cs="Times New Roman"/>
          <w:b/>
          <w:bCs w:val="0"/>
          <w:color w:val="auto"/>
          <w:sz w:val="32"/>
          <w:szCs w:val="32"/>
          <w:u w:val="none"/>
          <w:lang w:eastAsia="zh-CN"/>
        </w:rPr>
        <w:t>吴忠市红寺堡区人民政府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楷体_GB2312" w:cs="Times New Roman"/>
          <w:b/>
          <w:bCs w:val="0"/>
          <w:color w:val="auto"/>
          <w:sz w:val="32"/>
          <w:szCs w:val="32"/>
          <w:u w:val="none"/>
          <w:lang w:eastAsia="zh-CN"/>
        </w:rPr>
      </w:pPr>
      <w:r>
        <w:rPr>
          <w:rFonts w:hint="default" w:ascii="Times New Roman" w:hAnsi="Times New Roman" w:eastAsia="楷体_GB2312" w:cs="Times New Roman"/>
          <w:b/>
          <w:bCs w:val="0"/>
          <w:color w:val="auto"/>
          <w:sz w:val="32"/>
          <w:szCs w:val="32"/>
          <w:u w:val="none"/>
          <w:lang w:eastAsia="zh-CN"/>
        </w:rPr>
        <w:t>2022年</w:t>
      </w:r>
      <w:r>
        <w:rPr>
          <w:rFonts w:hint="default" w:ascii="Times New Roman" w:hAnsi="Times New Roman" w:eastAsia="楷体_GB2312" w:cs="Times New Roman"/>
          <w:b/>
          <w:bCs w:val="0"/>
          <w:color w:val="auto"/>
          <w:sz w:val="32"/>
          <w:szCs w:val="32"/>
          <w:u w:val="none"/>
          <w:lang w:val="en-US" w:eastAsia="zh-CN"/>
        </w:rPr>
        <w:t>12</w:t>
      </w:r>
      <w:r>
        <w:rPr>
          <w:rFonts w:hint="default" w:ascii="Times New Roman" w:hAnsi="Times New Roman" w:eastAsia="楷体_GB2312" w:cs="Times New Roman"/>
          <w:b/>
          <w:bCs w:val="0"/>
          <w:color w:val="auto"/>
          <w:sz w:val="32"/>
          <w:szCs w:val="32"/>
          <w:u w:val="none"/>
          <w:lang w:eastAsia="zh-CN"/>
        </w:rPr>
        <w:t>月</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楷体_GB2312" w:cs="Times New Roman"/>
          <w:b/>
          <w:bCs w:val="0"/>
          <w:color w:val="auto"/>
          <w:sz w:val="32"/>
          <w:szCs w:val="32"/>
          <w:u w:val="none"/>
          <w:lang w:eastAsia="zh-CN"/>
        </w:rPr>
        <w:sectPr>
          <w:footerReference r:id="rId5" w:type="first"/>
          <w:headerReference r:id="rId3" w:type="default"/>
          <w:footerReference r:id="rId4" w:type="default"/>
          <w:pgSz w:w="11906" w:h="16838"/>
          <w:pgMar w:top="2098" w:right="1474" w:bottom="1984" w:left="1587" w:header="851" w:footer="992" w:gutter="0"/>
          <w:pgNumType w:fmt="numberInDash" w:start="1"/>
          <w:cols w:space="425" w:num="1"/>
          <w:titlePg/>
          <w:docGrid w:type="linesAndChars" w:linePitch="317" w:charSpace="609"/>
        </w:sectPr>
      </w:pPr>
    </w:p>
    <w:sdt>
      <w:sdtPr>
        <w:rPr>
          <w:rFonts w:hint="default" w:ascii="Times New Roman" w:hAnsi="Times New Roman" w:eastAsia="仿宋_GB2312" w:cs="Times New Roman"/>
          <w:b w:val="0"/>
          <w:bCs w:val="0"/>
          <w:color w:val="auto"/>
          <w:kern w:val="2"/>
          <w:sz w:val="32"/>
          <w:szCs w:val="32"/>
          <w:u w:val="none"/>
          <w:lang w:val="zh-CN"/>
        </w:rPr>
        <w:id w:val="696739392"/>
        <w:docPartObj>
          <w:docPartGallery w:val="Table of Contents"/>
          <w:docPartUnique/>
        </w:docPartObj>
      </w:sdtPr>
      <w:sdtEndPr>
        <w:rPr>
          <w:rFonts w:hint="default" w:ascii="Times New Roman" w:hAnsi="Times New Roman" w:eastAsia="仿宋_GB2312" w:cs="Times New Roman"/>
          <w:b w:val="0"/>
          <w:bCs w:val="0"/>
          <w:color w:val="auto"/>
          <w:kern w:val="2"/>
          <w:sz w:val="32"/>
          <w:szCs w:val="32"/>
          <w:u w:val="none"/>
          <w:lang w:val="zh-CN"/>
        </w:rPr>
      </w:sdtEndPr>
      <w:sdtContent>
        <w:p>
          <w:pPr>
            <w:pStyle w:val="31"/>
            <w:pageBreakBefore w:val="0"/>
            <w:kinsoku/>
            <w:wordWrap/>
            <w:overflowPunct/>
            <w:topLinePunct w:val="0"/>
            <w:autoSpaceDE/>
            <w:autoSpaceDN/>
            <w:bidi w:val="0"/>
            <w:snapToGrid/>
            <w:spacing w:before="0" w:after="0"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zh-CN"/>
            </w:rPr>
            <w:t>目录</w:t>
          </w:r>
        </w:p>
        <w:p>
          <w:pPr>
            <w:pStyle w:val="16"/>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TOC \o "1-3" \h \z \u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"_Toc119061553"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前言</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_Toc119061553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- 4 -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6"/>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"_Toc119061554"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第一章 “十三五”期间生态环境状况</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_Toc119061554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- 5 -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"_Toc119061555"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第一节 工作基础</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_Toc119061555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- 5 -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"_Toc119061556"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一、责任担当不断强化</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_Toc119061556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- 5 -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"_Toc119061557"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二、生态修复格局初步形成</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_Toc119061557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- 6 -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"_Toc119061558"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三、区域环境质量改善明显</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_Toc119061558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- 6 -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"_Toc119061559"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四、农村环境整治全面推进</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_Toc119061559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- 7 -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"_Toc119061560"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第二节 存在问题</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_Toc119061560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- 7 -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"_Toc119061561"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一、环境保护基础设施短板问题突出</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_Toc119061561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- 8 -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"_Toc119061562"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二、生态环境治理与高质量发展要求存在差距</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_Toc119061562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- 8 -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"_Toc119061563"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三、环境监管能力亟待提升</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_Toc119061563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- 9 -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"_Toc119061564"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第三节 挑战和机遇</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_Toc119061564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- 9 -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"_Toc119061565"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一、主要挑战</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_Toc119061565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- 9 -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"_Toc119061566"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二、面临机遇</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_Toc119061566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- 11 -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6"/>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"_Toc119061567"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第二章 总体要求和规划目标</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_Toc119061567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- 13 -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"_Toc119061568"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第一节 指导思想</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_Toc119061568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- 13 -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"_Toc119061569"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第二节 基本原则</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_Toc119061569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- 13 -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"_Toc119061570"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一、坚持生态优先、绿色发展</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_Toc119061570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- 13 -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"_Toc119061571"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二、坚持精准施策、系统保护</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_Toc119061571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- 14 -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"_Toc119061572"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三、坚持依法治污、科学管控</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_Toc119061572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- 14 -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"_Toc119061573"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四、坚持全民行动、共治共享</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_Toc119061573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- 14 -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"_Toc119061574"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第三节 规划目标</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_Toc119061574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- 14 -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"_Toc119061575"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一、总体目标</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_Toc119061575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- 14 -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"_Toc119061576"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二、具体指标</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_Toc119061576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- 15 -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6"/>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"_Toc119061577"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第三章 主要任务</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_Toc119061577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- 19 -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"_Toc119061578"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第一节 绿色引领、持续推进高质量发展</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_Toc119061578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- 19 -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"_Toc119061579"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一、加快完善绿色发展机制</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_Toc119061579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- 19 -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"_Toc119061580"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二、加快推动产业转型升级</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_Toc119061580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- 21 -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"_Toc119061581"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三、加快推进能源清洁高效利用</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_Toc119061581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- 22 -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"_Toc119061582"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四、加快构建绿色交通运输体系</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_Toc119061582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- 23 -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"_Toc119061583"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第二节 协同发力、加大大气环境保护力度</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_Toc119061583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- 26 -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"_Toc119061584"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一、大力推进“四尘同治”</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_Toc119061584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- 26 -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"_Toc119061585"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二、全面管控大气污染源</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_Toc119061585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- 27 -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"_Toc119061586"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三、深入推进碳达峰碳中和</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_Toc119061586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- 29 -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"_Toc119061587"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四、推动交通运输行业清洁升级</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_Toc119061587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- 31 -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"_Toc119061588"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五、优化协同治理机制</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_Toc119061588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- 33 -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"_Toc119061589"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第三节 系统治理、稳步提升水环境质量</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_Toc119061589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- 34 -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"_Toc119061590"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一、以流域治理理念统筹水环境管理</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_Toc119061590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- 34 -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"_Toc119061591"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二、以源头管控方式推动水污染防治</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_Toc119061591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- 35 -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"_Toc119061592"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三、以节水降耗机制加强水资源保护</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_Toc119061592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- 38 -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"_Toc119061593"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四、以生态建设格局引领水生态修复</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_Toc119061593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- 40 -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"_Toc119061594"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第四节 防治结合、保障土壤和地下水安全</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_Toc119061594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- 42 -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"_Toc119061595"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一、加强土壤和地下水污染防控</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_Toc119061595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- 42 -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"_Toc119061596"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二、推进土壤安全利用</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_Toc119061596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- 43 -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"_Toc119061597"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三、严格地下水污染风险管控</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_Toc119061597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- 44 -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"_Toc119061598"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第五节 系统修复、维护生态系统稳定</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_Toc119061598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- 46 -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"_Toc119061599"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一、筑牢生态安全屏障</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_Toc119061599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- 46 -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"_Toc119061600"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二、强化生态安全管理</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_Toc119061600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- 48 -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"_Toc119061601"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第六节 化解风险、守牢环境安全底线</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_Toc119061601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- 50 -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"_Toc119061602"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一、完善环境风险防控体系</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_Toc119061602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- 50 -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"_Toc119061603"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二、加强重点领域环境风险防控</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_Toc119061603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- 51 -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"_Toc119061604"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三、强化固体废物污染防治</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_Toc119061604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- 52 -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"_Toc119061605"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四、强化核与辐射安全监管</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_Toc119061605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- 53 -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"_Toc119061606"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第七节 推进生态环境治理体系和治理能力现代化</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_Toc119061606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- 55 -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"_Toc119061607"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一、健全生态环境责任体系</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_Toc119061607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- 55 -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"_Toc119061608"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二、健全生态环境监管体系</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_Toc119061608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- 56 -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"_Toc119061609"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三、健全生态环境市场体系</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_Toc119061609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- 57 -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1"/>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"_Toc119061610"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四、健全环境保护全民行动体系</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_Toc119061610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- 59 -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6"/>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"_Toc119061611"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第四章 保障措施</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_Toc119061611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- 60 -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"_Toc119061612"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第一节 强化组织领导</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_Toc119061612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- 60 -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"_Toc119061613"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第二节 强化资金投入</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_Toc119061613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- 60 -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"_Toc119061614"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第三节 强化人才保障</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_Toc119061614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- 61 -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\l "_Toc119061615" </w:instrText>
          </w:r>
          <w:r>
            <w:rPr>
              <w:rFonts w:hint="default" w:ascii="Times New Roman" w:hAnsi="Times New Roman" w:eastAsia="仿宋_GB2312" w:cs="Times New Roman"/>
              <w:color w:val="auto"/>
              <w:sz w:val="32"/>
              <w:szCs w:val="32"/>
              <w:u w:val="none"/>
            </w:rPr>
            <w:fldChar w:fldCharType="separate"/>
          </w:r>
          <w:r>
            <w:rPr>
              <w:rStyle w:val="25"/>
              <w:rFonts w:hint="default" w:ascii="Times New Roman" w:hAnsi="Times New Roman" w:eastAsia="仿宋_GB2312" w:cs="Times New Roman"/>
              <w:color w:val="auto"/>
              <w:sz w:val="32"/>
              <w:szCs w:val="32"/>
              <w:u w:val="none"/>
            </w:rPr>
            <w:t>第四节 强化评估考核</w:t>
          </w:r>
          <w:r>
            <w:rPr>
              <w:rFonts w:hint="default" w:ascii="Times New Roman" w:hAnsi="Times New Roman" w:eastAsia="仿宋_GB2312" w:cs="Times New Roman"/>
              <w:color w:val="auto"/>
              <w:sz w:val="32"/>
              <w:szCs w:val="32"/>
              <w:u w:val="none"/>
            </w:rPr>
            <w:tab/>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PAGEREF _Toc119061615 \h </w:instrText>
          </w:r>
          <w:r>
            <w:rPr>
              <w:rFonts w:hint="default" w:ascii="Times New Roman" w:hAnsi="Times New Roman" w:eastAsia="仿宋_GB2312" w:cs="Times New Roman"/>
              <w:color w:val="auto"/>
              <w:sz w:val="32"/>
              <w:szCs w:val="32"/>
              <w:u w:val="none"/>
            </w:rPr>
            <w:fldChar w:fldCharType="separate"/>
          </w:r>
          <w:r>
            <w:rPr>
              <w:rFonts w:hint="default" w:ascii="Times New Roman" w:hAnsi="Times New Roman" w:eastAsia="仿宋_GB2312" w:cs="Times New Roman"/>
              <w:color w:val="auto"/>
              <w:sz w:val="32"/>
              <w:szCs w:val="32"/>
              <w:u w:val="none"/>
            </w:rPr>
            <w:t>- 61 -</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fldChar w:fldCharType="end"/>
          </w:r>
        </w:p>
        <w:p>
          <w:pPr>
            <w:pStyle w:val="19"/>
            <w:pageBreakBefore w:val="0"/>
            <w:tabs>
              <w:tab w:val="right" w:leader="dot" w:pos="8296"/>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p>
        <w:p>
          <w:pPr>
            <w:pageBreakBefore w:val="0"/>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lang w:val="zh-CN"/>
            </w:rPr>
            <w:fldChar w:fldCharType="end"/>
          </w:r>
        </w:p>
      </w:sdtContent>
    </w:sdt>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b/>
          <w:color w:val="auto"/>
          <w:sz w:val="32"/>
          <w:szCs w:val="32"/>
          <w:u w:val="none"/>
        </w:rPr>
        <w:sectPr>
          <w:footerReference r:id="rId6" w:type="default"/>
          <w:pgSz w:w="11906" w:h="16838"/>
          <w:pgMar w:top="2098" w:right="1474" w:bottom="1984" w:left="1587" w:header="851" w:footer="992" w:gutter="0"/>
          <w:pgNumType w:fmt="numberInDash" w:start="1"/>
          <w:cols w:space="425" w:num="1"/>
          <w:docGrid w:type="linesAndChars" w:linePitch="317" w:charSpace="609"/>
        </w:sectPr>
      </w:pPr>
    </w:p>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方正小标宋_GBK" w:cs="Times New Roman"/>
          <w:b w:val="0"/>
          <w:bCs/>
          <w:color w:val="auto"/>
          <w:sz w:val="44"/>
          <w:szCs w:val="44"/>
          <w:u w:val="none"/>
        </w:rPr>
      </w:pPr>
      <w:r>
        <w:rPr>
          <w:rFonts w:hint="default" w:ascii="Times New Roman" w:hAnsi="Times New Roman" w:eastAsia="方正小标宋_GBK" w:cs="Times New Roman"/>
          <w:b w:val="0"/>
          <w:bCs/>
          <w:color w:val="auto"/>
          <w:sz w:val="44"/>
          <w:szCs w:val="44"/>
          <w:u w:val="none"/>
          <w:lang w:eastAsia="zh-CN"/>
        </w:rPr>
        <w:t>吴忠市</w:t>
      </w:r>
      <w:r>
        <w:rPr>
          <w:rFonts w:hint="default" w:ascii="Times New Roman" w:hAnsi="Times New Roman" w:eastAsia="方正小标宋_GBK" w:cs="Times New Roman"/>
          <w:b w:val="0"/>
          <w:bCs/>
          <w:color w:val="auto"/>
          <w:sz w:val="44"/>
          <w:szCs w:val="44"/>
          <w:u w:val="none"/>
        </w:rPr>
        <w:t>红寺堡区生态环境保护“十四五”规划</w:t>
      </w:r>
    </w:p>
    <w:p>
      <w:pPr>
        <w:pStyle w:val="3"/>
        <w:pageBreakBefore w:val="0"/>
        <w:kinsoku/>
        <w:wordWrap/>
        <w:overflowPunct/>
        <w:topLinePunct w:val="0"/>
        <w:autoSpaceDE/>
        <w:autoSpaceDN/>
        <w:bidi w:val="0"/>
        <w:snapToGrid/>
        <w:spacing w:before="0" w:after="0" w:line="560" w:lineRule="exact"/>
        <w:ind w:left="0" w:leftChars="0"/>
        <w:jc w:val="center"/>
        <w:textAlignment w:val="auto"/>
        <w:rPr>
          <w:rFonts w:hint="default" w:ascii="Times New Roman" w:hAnsi="Times New Roman" w:eastAsia="黑体" w:cs="Times New Roman"/>
          <w:b w:val="0"/>
          <w:bCs w:val="0"/>
          <w:color w:val="auto"/>
          <w:kern w:val="2"/>
          <w:sz w:val="32"/>
          <w:szCs w:val="32"/>
          <w:u w:val="none"/>
          <w:lang w:val="en-US" w:eastAsia="zh-CN" w:bidi="ar-SA"/>
        </w:rPr>
      </w:pPr>
      <w:bookmarkStart w:id="0" w:name="_Toc119061553"/>
    </w:p>
    <w:p>
      <w:pPr>
        <w:pStyle w:val="3"/>
        <w:pageBreakBefore w:val="0"/>
        <w:kinsoku/>
        <w:wordWrap/>
        <w:overflowPunct/>
        <w:topLinePunct w:val="0"/>
        <w:autoSpaceDE/>
        <w:autoSpaceDN/>
        <w:bidi w:val="0"/>
        <w:snapToGrid/>
        <w:spacing w:before="0" w:after="0" w:line="560" w:lineRule="exact"/>
        <w:ind w:left="0" w:leftChars="0"/>
        <w:jc w:val="center"/>
        <w:textAlignment w:val="auto"/>
        <w:rPr>
          <w:rFonts w:hint="default" w:ascii="Times New Roman" w:hAnsi="Times New Roman" w:eastAsia="黑体" w:cs="Times New Roman"/>
          <w:b w:val="0"/>
          <w:bCs w:val="0"/>
          <w:color w:val="auto"/>
          <w:kern w:val="2"/>
          <w:sz w:val="32"/>
          <w:szCs w:val="32"/>
          <w:u w:val="none"/>
          <w:lang w:val="en-US" w:eastAsia="zh-CN" w:bidi="ar-SA"/>
        </w:rPr>
      </w:pPr>
      <w:r>
        <w:rPr>
          <w:rFonts w:hint="default" w:ascii="Times New Roman" w:hAnsi="Times New Roman" w:eastAsia="黑体" w:cs="Times New Roman"/>
          <w:b w:val="0"/>
          <w:bCs w:val="0"/>
          <w:color w:val="auto"/>
          <w:kern w:val="2"/>
          <w:sz w:val="32"/>
          <w:szCs w:val="32"/>
          <w:u w:val="none"/>
          <w:lang w:val="en-US" w:eastAsia="zh-CN" w:bidi="ar-SA"/>
        </w:rPr>
        <w:t>前言</w:t>
      </w:r>
      <w:bookmarkEnd w:id="0"/>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lang w:eastAsia="zh-CN"/>
        </w:rPr>
      </w:pP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eastAsia="zh-CN"/>
        </w:rPr>
        <w:t>十三五</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以</w:t>
      </w:r>
      <w:r>
        <w:rPr>
          <w:rFonts w:hint="default" w:ascii="Times New Roman" w:hAnsi="Times New Roman" w:eastAsia="仿宋_GB2312" w:cs="Times New Roman"/>
          <w:color w:val="auto"/>
          <w:sz w:val="32"/>
          <w:szCs w:val="32"/>
          <w:u w:val="none"/>
        </w:rPr>
        <w:t>来，红寺堡区</w:t>
      </w:r>
      <w:r>
        <w:rPr>
          <w:rFonts w:hint="default" w:ascii="Times New Roman" w:hAnsi="Times New Roman" w:eastAsia="仿宋_GB2312" w:cs="Times New Roman"/>
          <w:color w:val="auto"/>
          <w:sz w:val="32"/>
          <w:szCs w:val="32"/>
          <w:u w:val="none"/>
          <w:lang w:eastAsia="zh-CN"/>
        </w:rPr>
        <w:t>委、</w:t>
      </w:r>
      <w:r>
        <w:rPr>
          <w:rFonts w:hint="eastAsia" w:ascii="Times New Roman" w:hAnsi="Times New Roman" w:eastAsia="仿宋_GB2312" w:cs="Times New Roman"/>
          <w:color w:val="auto"/>
          <w:sz w:val="32"/>
          <w:szCs w:val="32"/>
          <w:u w:val="none"/>
          <w:lang w:eastAsia="zh-CN"/>
        </w:rPr>
        <w:t>区</w:t>
      </w:r>
      <w:r>
        <w:rPr>
          <w:rFonts w:hint="default" w:ascii="Times New Roman" w:hAnsi="Times New Roman" w:eastAsia="仿宋_GB2312" w:cs="Times New Roman"/>
          <w:color w:val="auto"/>
          <w:sz w:val="32"/>
          <w:szCs w:val="32"/>
          <w:u w:val="none"/>
          <w:lang w:eastAsia="zh-CN"/>
        </w:rPr>
        <w:t>政府</w:t>
      </w:r>
      <w:r>
        <w:rPr>
          <w:rFonts w:hint="default" w:ascii="Times New Roman" w:hAnsi="Times New Roman" w:eastAsia="仿宋_GB2312" w:cs="Times New Roman"/>
          <w:color w:val="auto"/>
          <w:sz w:val="32"/>
          <w:szCs w:val="32"/>
          <w:u w:val="none"/>
        </w:rPr>
        <w:t>始终践行</w:t>
      </w:r>
      <w:r>
        <w:rPr>
          <w:rFonts w:hint="eastAsia" w:ascii="仿宋_GB2312" w:hAnsi="仿宋_GB2312" w:eastAsia="仿宋_GB2312" w:cs="仿宋_GB2312"/>
          <w:color w:val="auto"/>
          <w:sz w:val="32"/>
          <w:szCs w:val="32"/>
          <w:u w:val="none"/>
        </w:rPr>
        <w:t>“绿水青山就是金山银山”的理念</w:t>
      </w:r>
      <w:r>
        <w:rPr>
          <w:rFonts w:hint="default" w:ascii="Times New Roman" w:hAnsi="Times New Roman" w:eastAsia="仿宋_GB2312" w:cs="Times New Roman"/>
          <w:color w:val="auto"/>
          <w:sz w:val="32"/>
          <w:szCs w:val="32"/>
          <w:u w:val="none"/>
        </w:rPr>
        <w:t>，深入贯彻习近平总书记视察宁夏重要讲话</w:t>
      </w:r>
      <w:r>
        <w:rPr>
          <w:rFonts w:hint="default" w:ascii="Times New Roman" w:hAnsi="Times New Roman" w:eastAsia="仿宋_GB2312" w:cs="Times New Roman"/>
          <w:color w:val="auto"/>
          <w:sz w:val="32"/>
          <w:szCs w:val="32"/>
          <w:u w:val="none"/>
          <w:lang w:eastAsia="zh-CN"/>
        </w:rPr>
        <w:t>和重要指示批示</w:t>
      </w:r>
      <w:r>
        <w:rPr>
          <w:rFonts w:hint="default" w:ascii="Times New Roman" w:hAnsi="Times New Roman" w:eastAsia="仿宋_GB2312" w:cs="Times New Roman"/>
          <w:color w:val="auto"/>
          <w:sz w:val="32"/>
          <w:szCs w:val="32"/>
          <w:u w:val="none"/>
        </w:rPr>
        <w:t>精神</w:t>
      </w:r>
      <w:r>
        <w:rPr>
          <w:rFonts w:hint="default" w:ascii="Times New Roman" w:hAnsi="Times New Roman" w:eastAsia="仿宋_GB2312" w:cs="Times New Roman"/>
          <w:color w:val="auto"/>
          <w:sz w:val="32"/>
          <w:szCs w:val="32"/>
          <w:u w:val="none"/>
          <w:lang w:eastAsia="zh-CN"/>
        </w:rPr>
        <w:t>，全面落实自治区党委人民政府</w:t>
      </w:r>
      <w:r>
        <w:rPr>
          <w:rFonts w:hint="default" w:ascii="Times New Roman" w:hAnsi="Times New Roman" w:eastAsia="仿宋_GB2312" w:cs="Times New Roman"/>
          <w:color w:val="auto"/>
          <w:sz w:val="32"/>
          <w:szCs w:val="32"/>
          <w:u w:val="none"/>
        </w:rPr>
        <w:t>《关于推进生态立区战略的实施意见》</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围绕吴忠市生态环境保护总体目标，坚持精准治污、科学治污、依法治污，持续深入打好蓝天、碧水、净土保卫战。加强污染物协同控制，基本消除重污染天气。统筹水资源、水环境、水生态治理，推动重要水体生态保护治理，加强土壤污染源头防控，开展新污染物治理，提升环境基础设施建设水平，推进城乡人居环境整治，全面实行排污许可制，健全现代环境治理体系。“十四五”是污染防治攻坚战取得阶段性胜利、继续推进美丽中国建设的关键时期，也是红寺堡区全面改善生态环境质量，</w:t>
      </w:r>
      <w:r>
        <w:rPr>
          <w:rFonts w:hint="default" w:ascii="Times New Roman" w:hAnsi="Times New Roman" w:eastAsia="仿宋_GB2312" w:cs="Times New Roman"/>
          <w:color w:val="auto"/>
          <w:sz w:val="32"/>
          <w:szCs w:val="32"/>
          <w:u w:val="none"/>
          <w:lang w:eastAsia="zh-CN"/>
        </w:rPr>
        <w:t>创建全国易地搬迁移民致富提升示范区、建设现代化美丽红寺堡</w:t>
      </w:r>
      <w:r>
        <w:rPr>
          <w:rFonts w:hint="default" w:ascii="Times New Roman" w:hAnsi="Times New Roman" w:eastAsia="仿宋_GB2312" w:cs="Times New Roman"/>
          <w:color w:val="auto"/>
          <w:sz w:val="32"/>
          <w:szCs w:val="32"/>
          <w:u w:val="none"/>
        </w:rPr>
        <w:t>的关键时期。</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本规划坚持问题导向，聚焦生态环境保护实践遇到的新问题</w:t>
      </w:r>
      <w:r>
        <w:rPr>
          <w:rFonts w:hint="eastAsia" w:ascii="Times New Roman" w:hAnsi="Times New Roman" w:eastAsia="仿宋_GB2312" w:cs="Times New Roman"/>
          <w:color w:val="auto"/>
          <w:sz w:val="32"/>
          <w:szCs w:val="32"/>
          <w:u w:val="none"/>
          <w:lang w:eastAsia="zh-CN"/>
        </w:rPr>
        <w:t>以及</w:t>
      </w:r>
      <w:r>
        <w:rPr>
          <w:rFonts w:hint="default" w:ascii="Times New Roman" w:hAnsi="Times New Roman" w:eastAsia="仿宋_GB2312" w:cs="Times New Roman"/>
          <w:color w:val="auto"/>
          <w:sz w:val="32"/>
          <w:szCs w:val="32"/>
          <w:u w:val="none"/>
        </w:rPr>
        <w:t>生态建设和环境治理发展</w:t>
      </w:r>
      <w:r>
        <w:rPr>
          <w:rFonts w:hint="eastAsia" w:ascii="Times New Roman" w:hAnsi="Times New Roman" w:eastAsia="仿宋_GB2312" w:cs="Times New Roman"/>
          <w:color w:val="auto"/>
          <w:sz w:val="32"/>
          <w:szCs w:val="32"/>
          <w:u w:val="none"/>
          <w:lang w:eastAsia="zh-CN"/>
        </w:rPr>
        <w:t>过程中</w:t>
      </w:r>
      <w:r>
        <w:rPr>
          <w:rFonts w:hint="default" w:ascii="Times New Roman" w:hAnsi="Times New Roman" w:eastAsia="仿宋_GB2312" w:cs="Times New Roman"/>
          <w:color w:val="auto"/>
          <w:sz w:val="32"/>
          <w:szCs w:val="32"/>
          <w:u w:val="none"/>
        </w:rPr>
        <w:t>存在的深层次问题，以《宁夏回族自治区生态环境</w:t>
      </w:r>
      <w:r>
        <w:rPr>
          <w:rFonts w:hint="eastAsia" w:ascii="仿宋_GB2312" w:hAnsi="仿宋_GB2312" w:eastAsia="仿宋_GB2312" w:cs="仿宋_GB2312"/>
          <w:color w:val="auto"/>
          <w:sz w:val="32"/>
          <w:szCs w:val="32"/>
          <w:u w:val="none"/>
        </w:rPr>
        <w:t>保护“十四五”</w:t>
      </w:r>
      <w:r>
        <w:rPr>
          <w:rFonts w:hint="default" w:ascii="Times New Roman" w:hAnsi="Times New Roman" w:eastAsia="仿宋_GB2312" w:cs="Times New Roman"/>
          <w:color w:val="auto"/>
          <w:sz w:val="32"/>
          <w:szCs w:val="32"/>
          <w:u w:val="none"/>
        </w:rPr>
        <w:t>规划》《吴忠市生态环境保</w:t>
      </w:r>
      <w:r>
        <w:rPr>
          <w:rFonts w:hint="eastAsia" w:ascii="仿宋_GB2312" w:hAnsi="仿宋_GB2312" w:eastAsia="仿宋_GB2312" w:cs="仿宋_GB2312"/>
          <w:color w:val="auto"/>
          <w:sz w:val="32"/>
          <w:szCs w:val="32"/>
          <w:u w:val="none"/>
        </w:rPr>
        <w:t>护“十四五”规</w:t>
      </w:r>
      <w:r>
        <w:rPr>
          <w:rFonts w:hint="default" w:ascii="Times New Roman" w:hAnsi="Times New Roman" w:eastAsia="仿宋_GB2312" w:cs="Times New Roman"/>
          <w:color w:val="auto"/>
          <w:sz w:val="32"/>
          <w:szCs w:val="32"/>
          <w:u w:val="none"/>
        </w:rPr>
        <w:t>划》和《</w:t>
      </w:r>
      <w:r>
        <w:rPr>
          <w:rFonts w:hint="default" w:ascii="Times New Roman" w:hAnsi="Times New Roman" w:eastAsia="仿宋_GB2312" w:cs="Times New Roman"/>
          <w:color w:val="auto"/>
          <w:sz w:val="32"/>
          <w:szCs w:val="32"/>
          <w:u w:val="none"/>
          <w:lang w:eastAsia="zh-CN"/>
        </w:rPr>
        <w:t>吴忠市</w:t>
      </w:r>
      <w:r>
        <w:rPr>
          <w:rFonts w:hint="default" w:ascii="Times New Roman" w:hAnsi="Times New Roman" w:eastAsia="仿宋_GB2312" w:cs="Times New Roman"/>
          <w:color w:val="auto"/>
          <w:sz w:val="32"/>
          <w:szCs w:val="32"/>
          <w:u w:val="none"/>
        </w:rPr>
        <w:t>红寺堡区国民经济和社会发展第十四个五年规划和二〇三五年远景目标纲要》为指</w:t>
      </w:r>
      <w:r>
        <w:rPr>
          <w:rFonts w:hint="eastAsia" w:ascii="Times New Roman" w:hAnsi="Times New Roman" w:eastAsia="仿宋_GB2312" w:cs="Times New Roman"/>
          <w:color w:val="auto"/>
          <w:sz w:val="32"/>
          <w:szCs w:val="32"/>
          <w:u w:val="none"/>
          <w:lang w:eastAsia="zh-CN"/>
        </w:rPr>
        <w:t>导</w:t>
      </w:r>
      <w:r>
        <w:rPr>
          <w:rFonts w:hint="default" w:ascii="Times New Roman" w:hAnsi="Times New Roman" w:eastAsia="仿宋_GB2312" w:cs="Times New Roman"/>
          <w:color w:val="auto"/>
          <w:sz w:val="32"/>
          <w:szCs w:val="32"/>
          <w:u w:val="none"/>
        </w:rPr>
        <w:t>，以全面改善红寺堡区生态环境质量为目标，以切实可行的措施为抓手，</w:t>
      </w:r>
      <w:r>
        <w:rPr>
          <w:rFonts w:hint="eastAsia" w:ascii="仿宋_GB2312" w:hAnsi="仿宋_GB2312" w:eastAsia="仿宋_GB2312" w:cs="仿宋_GB2312"/>
          <w:color w:val="auto"/>
          <w:sz w:val="32"/>
          <w:szCs w:val="32"/>
          <w:u w:val="none"/>
        </w:rPr>
        <w:t>为红寺堡区“十四五”期间生态保护</w:t>
      </w:r>
      <w:r>
        <w:rPr>
          <w:rFonts w:hint="default" w:ascii="Times New Roman" w:hAnsi="Times New Roman" w:eastAsia="仿宋_GB2312" w:cs="Times New Roman"/>
          <w:color w:val="auto"/>
          <w:sz w:val="32"/>
          <w:szCs w:val="32"/>
          <w:u w:val="none"/>
        </w:rPr>
        <w:t>和高质量发展提供支撑。</w:t>
      </w:r>
    </w:p>
    <w:p>
      <w:pPr>
        <w:pageBreakBefore w:val="0"/>
        <w:tabs>
          <w:tab w:val="left" w:pos="3432"/>
        </w:tabs>
        <w:kinsoku/>
        <w:wordWrap/>
        <w:overflowPunct/>
        <w:topLinePunct w:val="0"/>
        <w:autoSpaceDE/>
        <w:autoSpaceDN/>
        <w:bidi w:val="0"/>
        <w:snapToGrid/>
        <w:spacing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ab/>
      </w:r>
    </w:p>
    <w:p>
      <w:pPr>
        <w:pStyle w:val="3"/>
        <w:keepNext/>
        <w:keepLines/>
        <w:pageBreakBefore w:val="0"/>
        <w:widowControl w:val="0"/>
        <w:kinsoku/>
        <w:wordWrap/>
        <w:overflowPunct/>
        <w:topLinePunct w:val="0"/>
        <w:autoSpaceDE/>
        <w:autoSpaceDN/>
        <w:bidi w:val="0"/>
        <w:adjustRightInd/>
        <w:snapToGrid/>
        <w:spacing w:before="0" w:after="160" w:afterLines="50" w:line="560" w:lineRule="exact"/>
        <w:ind w:left="0" w:leftChars="0"/>
        <w:jc w:val="center"/>
        <w:textAlignment w:val="auto"/>
        <w:rPr>
          <w:rFonts w:hint="default" w:ascii="Times New Roman" w:hAnsi="Times New Roman" w:eastAsia="楷体_GB2312" w:cs="Times New Roman"/>
          <w:b/>
          <w:bCs/>
          <w:color w:val="auto"/>
          <w:kern w:val="2"/>
          <w:sz w:val="32"/>
          <w:szCs w:val="32"/>
          <w:u w:val="none"/>
          <w:lang w:val="en-US" w:eastAsia="zh-CN" w:bidi="ar-SA"/>
        </w:rPr>
      </w:pPr>
      <w:bookmarkStart w:id="1" w:name="_Toc119061554"/>
      <w:r>
        <w:rPr>
          <w:rFonts w:hint="default" w:ascii="Times New Roman" w:hAnsi="Times New Roman" w:eastAsia="黑体" w:cs="Times New Roman"/>
          <w:b w:val="0"/>
          <w:bCs w:val="0"/>
          <w:color w:val="auto"/>
          <w:kern w:val="2"/>
          <w:sz w:val="32"/>
          <w:szCs w:val="32"/>
          <w:u w:val="none"/>
          <w:lang w:val="en-US" w:eastAsia="zh-CN" w:bidi="ar-SA"/>
        </w:rPr>
        <w:t>第一章 “十三五”期间生态环境状况</w:t>
      </w:r>
      <w:bookmarkEnd w:id="1"/>
      <w:bookmarkStart w:id="2" w:name="_Toc119061555"/>
    </w:p>
    <w:p>
      <w:pPr>
        <w:pStyle w:val="4"/>
        <w:keepNext/>
        <w:keepLines/>
        <w:pageBreakBefore w:val="0"/>
        <w:widowControl w:val="0"/>
        <w:kinsoku/>
        <w:wordWrap/>
        <w:overflowPunct/>
        <w:topLinePunct w:val="0"/>
        <w:autoSpaceDE/>
        <w:autoSpaceDN/>
        <w:bidi w:val="0"/>
        <w:adjustRightInd/>
        <w:snapToGrid/>
        <w:spacing w:before="0" w:after="160" w:afterLines="50"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楷体_GB2312" w:cs="Times New Roman"/>
          <w:b/>
          <w:bCs/>
          <w:color w:val="auto"/>
          <w:kern w:val="2"/>
          <w:sz w:val="32"/>
          <w:szCs w:val="32"/>
          <w:u w:val="none"/>
          <w:lang w:val="en-US" w:eastAsia="zh-CN" w:bidi="ar-SA"/>
        </w:rPr>
        <w:t>第一节 工作基础</w:t>
      </w:r>
      <w:bookmarkEnd w:id="2"/>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eastAsia" w:ascii="仿宋_GB2312" w:hAnsi="仿宋_GB2312" w:eastAsia="仿宋_GB2312" w:cs="仿宋_GB2312"/>
          <w:color w:val="auto"/>
          <w:sz w:val="32"/>
          <w:szCs w:val="32"/>
          <w:u w:val="none"/>
        </w:rPr>
        <w:t>“十三五”期间，红寺堡区以习近平新时代中国特色社会主义思想为指导，深入学习贯</w:t>
      </w:r>
      <w:r>
        <w:rPr>
          <w:rFonts w:hint="default" w:ascii="Times New Roman" w:hAnsi="Times New Roman" w:eastAsia="仿宋_GB2312" w:cs="Times New Roman"/>
          <w:color w:val="auto"/>
          <w:sz w:val="32"/>
          <w:szCs w:val="32"/>
          <w:u w:val="none"/>
        </w:rPr>
        <w:t>彻习近平生态文明思想</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习近平总书记视察宁夏重要讲话</w:t>
      </w:r>
      <w:r>
        <w:rPr>
          <w:rFonts w:hint="default" w:ascii="Times New Roman" w:hAnsi="Times New Roman" w:eastAsia="仿宋_GB2312" w:cs="Times New Roman"/>
          <w:color w:val="auto"/>
          <w:sz w:val="32"/>
          <w:szCs w:val="32"/>
          <w:u w:val="none"/>
          <w:lang w:eastAsia="zh-CN"/>
        </w:rPr>
        <w:t>和重要指示批示</w:t>
      </w:r>
      <w:r>
        <w:rPr>
          <w:rFonts w:hint="default" w:ascii="Times New Roman" w:hAnsi="Times New Roman" w:eastAsia="仿宋_GB2312" w:cs="Times New Roman"/>
          <w:color w:val="auto"/>
          <w:sz w:val="32"/>
          <w:szCs w:val="32"/>
          <w:u w:val="none"/>
        </w:rPr>
        <w:t>精神，认真贯彻落实党中央、国务院和自治区党委</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政府关于生态文明建设和生态环境保护各项决策部署，以坚决态度、有力举措，深入打好污染防治攻坚战，持续改善生态环境质量，</w:t>
      </w:r>
      <w:r>
        <w:rPr>
          <w:rFonts w:hint="default" w:ascii="Times New Roman" w:hAnsi="Times New Roman" w:eastAsia="仿宋_GB2312" w:cs="Times New Roman"/>
          <w:color w:val="auto"/>
          <w:sz w:val="32"/>
          <w:szCs w:val="32"/>
          <w:u w:val="none"/>
          <w:lang w:eastAsia="zh-CN"/>
        </w:rPr>
        <w:t>坚决</w:t>
      </w:r>
      <w:r>
        <w:rPr>
          <w:rFonts w:hint="default" w:ascii="Times New Roman" w:hAnsi="Times New Roman" w:eastAsia="仿宋_GB2312" w:cs="Times New Roman"/>
          <w:color w:val="auto"/>
          <w:sz w:val="32"/>
          <w:szCs w:val="32"/>
          <w:u w:val="none"/>
        </w:rPr>
        <w:t>守好改善生态环境生命线，不断增强人民群众获得感、幸福感和安全感。</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b/>
          <w:bCs/>
          <w:color w:val="auto"/>
          <w:sz w:val="32"/>
          <w:szCs w:val="32"/>
          <w:u w:val="none"/>
        </w:rPr>
      </w:pPr>
      <w:bookmarkStart w:id="3" w:name="_Toc119061556"/>
      <w:bookmarkStart w:id="4" w:name="_Hlk118867554"/>
      <w:r>
        <w:rPr>
          <w:rFonts w:hint="default" w:ascii="Times New Roman" w:hAnsi="Times New Roman" w:eastAsia="仿宋_GB2312" w:cs="Times New Roman"/>
          <w:b/>
          <w:bCs/>
          <w:color w:val="auto"/>
          <w:sz w:val="32"/>
          <w:szCs w:val="32"/>
          <w:u w:val="none"/>
        </w:rPr>
        <w:t>一、责任担当不断强化</w:t>
      </w:r>
      <w:bookmarkEnd w:id="3"/>
      <w:bookmarkEnd w:id="4"/>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切实扛起守护生态环境的政治使命，坚决落实生态环境保</w:t>
      </w:r>
      <w:r>
        <w:rPr>
          <w:rFonts w:hint="eastAsia" w:ascii="仿宋_GB2312" w:hAnsi="仿宋_GB2312" w:eastAsia="仿宋_GB2312" w:cs="仿宋_GB2312"/>
          <w:color w:val="auto"/>
          <w:sz w:val="32"/>
          <w:szCs w:val="32"/>
          <w:u w:val="none"/>
        </w:rPr>
        <w:t>护“党政同责、一岗双责”要求。按</w:t>
      </w:r>
      <w:r>
        <w:rPr>
          <w:rFonts w:hint="default" w:ascii="Times New Roman" w:hAnsi="Times New Roman" w:eastAsia="仿宋_GB2312" w:cs="Times New Roman"/>
          <w:color w:val="auto"/>
          <w:sz w:val="32"/>
          <w:szCs w:val="32"/>
          <w:u w:val="none"/>
        </w:rPr>
        <w:t>照</w:t>
      </w:r>
      <w:r>
        <w:rPr>
          <w:rFonts w:hint="default" w:ascii="Times New Roman" w:hAnsi="Times New Roman" w:eastAsia="仿宋_GB2312" w:cs="Times New Roman"/>
          <w:color w:val="auto"/>
          <w:sz w:val="32"/>
          <w:szCs w:val="32"/>
          <w:u w:val="none"/>
          <w:lang w:eastAsia="zh-CN"/>
        </w:rPr>
        <w:t>红寺堡区</w:t>
      </w:r>
      <w:r>
        <w:rPr>
          <w:rFonts w:hint="default" w:ascii="Times New Roman" w:hAnsi="Times New Roman" w:eastAsia="仿宋_GB2312" w:cs="Times New Roman"/>
          <w:color w:val="auto"/>
          <w:sz w:val="32"/>
          <w:szCs w:val="32"/>
          <w:u w:val="none"/>
        </w:rPr>
        <w:t>《关于全面加强生态环境保护</w:t>
      </w: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坚决打好污染防治攻坚战的实施方案》《吴忠市</w:t>
      </w:r>
      <w:r>
        <w:rPr>
          <w:rFonts w:hint="default" w:ascii="Times New Roman" w:hAnsi="Times New Roman" w:eastAsia="仿宋_GB2312" w:cs="Times New Roman"/>
          <w:color w:val="auto"/>
          <w:sz w:val="32"/>
          <w:szCs w:val="32"/>
          <w:u w:val="none"/>
          <w:lang w:eastAsia="zh-CN"/>
        </w:rPr>
        <w:t>红寺堡区</w:t>
      </w:r>
      <w:r>
        <w:rPr>
          <w:rFonts w:hint="default" w:ascii="Times New Roman" w:hAnsi="Times New Roman" w:eastAsia="仿宋_GB2312" w:cs="Times New Roman"/>
          <w:color w:val="auto"/>
          <w:sz w:val="32"/>
          <w:szCs w:val="32"/>
          <w:u w:val="none"/>
        </w:rPr>
        <w:t>党政领导干部生态环境损害责任追究实施办法》</w:t>
      </w:r>
      <w:r>
        <w:rPr>
          <w:rFonts w:hint="default" w:ascii="Times New Roman" w:hAnsi="Times New Roman" w:eastAsia="仿宋_GB2312" w:cs="Times New Roman"/>
          <w:color w:val="auto"/>
          <w:sz w:val="32"/>
          <w:szCs w:val="32"/>
          <w:u w:val="none"/>
          <w:shd w:val="clear"/>
        </w:rPr>
        <w:t>《吴忠市</w:t>
      </w:r>
      <w:r>
        <w:rPr>
          <w:rFonts w:hint="default" w:ascii="Times New Roman" w:hAnsi="Times New Roman" w:eastAsia="仿宋_GB2312" w:cs="Times New Roman"/>
          <w:color w:val="auto"/>
          <w:sz w:val="32"/>
          <w:szCs w:val="32"/>
          <w:u w:val="none"/>
          <w:shd w:val="clear"/>
          <w:lang w:eastAsia="zh-CN"/>
        </w:rPr>
        <w:t>红寺堡区</w:t>
      </w:r>
      <w:r>
        <w:rPr>
          <w:rFonts w:hint="default" w:ascii="Times New Roman" w:hAnsi="Times New Roman" w:eastAsia="仿宋_GB2312" w:cs="Times New Roman"/>
          <w:color w:val="auto"/>
          <w:sz w:val="32"/>
          <w:szCs w:val="32"/>
          <w:u w:val="none"/>
          <w:shd w:val="clear"/>
        </w:rPr>
        <w:t>党委和政府及有关部门生态环境保护责任》</w:t>
      </w:r>
      <w:r>
        <w:rPr>
          <w:rFonts w:hint="default" w:ascii="Times New Roman" w:hAnsi="Times New Roman" w:eastAsia="仿宋_GB2312" w:cs="Times New Roman"/>
          <w:color w:val="auto"/>
          <w:sz w:val="32"/>
          <w:szCs w:val="32"/>
          <w:u w:val="none"/>
        </w:rPr>
        <w:t>等政策制度要求，进一步建立和完善了纵向到底、横向到边的生态环境保护责任落实体系。</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bookmarkStart w:id="5" w:name="_Toc119061557"/>
      <w:r>
        <w:rPr>
          <w:rFonts w:hint="default" w:ascii="Times New Roman" w:hAnsi="Times New Roman" w:eastAsia="仿宋_GB2312" w:cs="Times New Roman"/>
          <w:color w:val="auto"/>
          <w:sz w:val="32"/>
          <w:szCs w:val="32"/>
          <w:u w:val="none"/>
        </w:rPr>
        <w:t>二、生态修复格局初步形成</w:t>
      </w:r>
      <w:bookmarkEnd w:id="5"/>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eastAsia" w:ascii="仿宋_GB2312" w:hAnsi="仿宋_GB2312" w:eastAsia="仿宋_GB2312" w:cs="仿宋_GB2312"/>
          <w:color w:val="auto"/>
          <w:sz w:val="32"/>
          <w:szCs w:val="32"/>
          <w:u w:val="none"/>
        </w:rPr>
        <w:t>坚持生态立区不动摇，持续开展蓝天、碧水、净土保卫战，实施封山禁牧、退耕还林、防沙治沙、湿地保护、绿化美化五大生态工程，</w:t>
      </w:r>
      <w:r>
        <w:rPr>
          <w:rFonts w:hint="eastAsia" w:ascii="仿宋_GB2312" w:hAnsi="仿宋_GB2312" w:eastAsia="仿宋_GB2312" w:cs="仿宋_GB2312"/>
          <w:bCs/>
          <w:color w:val="auto"/>
          <w:spacing w:val="-4"/>
          <w:sz w:val="32"/>
          <w:szCs w:val="32"/>
          <w:u w:val="none"/>
        </w:rPr>
        <w:t>实施三北防护林工程，</w:t>
      </w:r>
      <w:r>
        <w:rPr>
          <w:rFonts w:hint="eastAsia" w:ascii="仿宋_GB2312" w:hAnsi="仿宋_GB2312" w:eastAsia="仿宋_GB2312" w:cs="仿宋_GB2312"/>
          <w:color w:val="auto"/>
          <w:sz w:val="32"/>
          <w:szCs w:val="32"/>
          <w:u w:val="none"/>
        </w:rPr>
        <w:t>扎实开展自然保护区“绿盾”专项行动，罗山自然保护区人类活动点位全部完成整治，罗山自然保护区生态持续改善。</w:t>
      </w:r>
      <w:r>
        <w:rPr>
          <w:rFonts w:hint="eastAsia" w:ascii="仿宋_GB2312" w:hAnsi="仿宋_GB2312" w:eastAsia="仿宋_GB2312" w:cs="仿宋_GB2312"/>
          <w:bCs/>
          <w:color w:val="auto"/>
          <w:spacing w:val="-4"/>
          <w:sz w:val="32"/>
          <w:szCs w:val="32"/>
          <w:u w:val="none"/>
        </w:rPr>
        <w:t>城市建成区绿地率、绿化覆盖率、人均公园绿地面积分别达</w:t>
      </w:r>
      <w:r>
        <w:rPr>
          <w:rFonts w:hint="default" w:ascii="Times New Roman" w:hAnsi="Times New Roman" w:eastAsia="仿宋_GB2312" w:cs="Times New Roman"/>
          <w:bCs/>
          <w:color w:val="auto"/>
          <w:spacing w:val="-4"/>
          <w:sz w:val="32"/>
          <w:szCs w:val="32"/>
          <w:u w:val="none"/>
        </w:rPr>
        <w:t>到41%、42%和22平方米。湿地保护率达到55%以上。</w:t>
      </w:r>
      <w:r>
        <w:rPr>
          <w:rFonts w:hint="default" w:ascii="Times New Roman" w:hAnsi="Times New Roman" w:eastAsia="仿宋_GB2312" w:cs="Times New Roman"/>
          <w:color w:val="auto"/>
          <w:sz w:val="32"/>
          <w:szCs w:val="32"/>
          <w:u w:val="none"/>
        </w:rPr>
        <w:t>治理沙化土地面积92.7万亩，人工造林124万亩，完成生态造林39.25万亩，森林覆盖率达14.1%，草原植被综合覆盖度达56.7%。严格落实河长制，开展</w:t>
      </w:r>
      <w:r>
        <w:rPr>
          <w:rFonts w:hint="eastAsia" w:ascii="仿宋_GB2312" w:hAnsi="仿宋_GB2312" w:eastAsia="仿宋_GB2312" w:cs="仿宋_GB2312"/>
          <w:color w:val="auto"/>
          <w:sz w:val="32"/>
          <w:szCs w:val="32"/>
          <w:u w:val="none"/>
        </w:rPr>
        <w:t>“携手清四乱、保护母亲河”行动，对境</w:t>
      </w:r>
      <w:r>
        <w:rPr>
          <w:rFonts w:hint="eastAsia" w:ascii="Times New Roman" w:hAnsi="Times New Roman" w:eastAsia="仿宋_GB2312" w:cs="Times New Roman"/>
          <w:bCs/>
          <w:color w:val="auto"/>
          <w:spacing w:val="-4"/>
          <w:sz w:val="32"/>
          <w:szCs w:val="32"/>
          <w:u w:val="none"/>
        </w:rPr>
        <w:t>内52条沟</w:t>
      </w:r>
      <w:r>
        <w:rPr>
          <w:rFonts w:hint="eastAsia" w:ascii="仿宋_GB2312" w:hAnsi="仿宋_GB2312" w:eastAsia="仿宋_GB2312" w:cs="仿宋_GB2312"/>
          <w:color w:val="auto"/>
          <w:sz w:val="32"/>
          <w:szCs w:val="32"/>
          <w:u w:val="none"/>
        </w:rPr>
        <w:t>河道实施“一河一策”常态化保护。实施流域水环境污染治理工程，建设</w:t>
      </w:r>
      <w:r>
        <w:rPr>
          <w:rFonts w:hint="default" w:ascii="Times New Roman" w:hAnsi="Times New Roman" w:eastAsia="仿宋_GB2312" w:cs="Times New Roman"/>
          <w:color w:val="auto"/>
          <w:sz w:val="32"/>
          <w:szCs w:val="32"/>
          <w:u w:val="none"/>
        </w:rPr>
        <w:t>和完善城市污水管网及再生水管网配套工程，建成城区污水管网226.9公里，城市污水处理率达到</w:t>
      </w:r>
      <w:r>
        <w:rPr>
          <w:rFonts w:hint="default" w:ascii="Times New Roman" w:hAnsi="Times New Roman" w:eastAsia="仿宋_GB2312" w:cs="Times New Roman"/>
          <w:b w:val="0"/>
          <w:bCs w:val="0"/>
          <w:color w:val="auto"/>
          <w:kern w:val="2"/>
          <w:sz w:val="32"/>
          <w:szCs w:val="32"/>
          <w:u w:val="none"/>
          <w:lang w:val="en-US" w:eastAsia="zh-CN" w:bidi="ar-SA"/>
        </w:rPr>
        <w:t>90%以上</w:t>
      </w:r>
      <w:r>
        <w:rPr>
          <w:rFonts w:hint="default" w:ascii="Times New Roman" w:hAnsi="Times New Roman" w:eastAsia="仿宋_GB2312" w:cs="Times New Roman"/>
          <w:color w:val="auto"/>
          <w:sz w:val="32"/>
          <w:szCs w:val="32"/>
          <w:u w:val="none"/>
        </w:rPr>
        <w:t>，城市生活垃圾无害化处理率达到</w:t>
      </w:r>
      <w:r>
        <w:rPr>
          <w:rFonts w:hint="default" w:ascii="Times New Roman" w:hAnsi="Times New Roman" w:eastAsia="仿宋_GB2312" w:cs="Times New Roman"/>
          <w:b w:val="0"/>
          <w:bCs w:val="0"/>
          <w:color w:val="auto"/>
          <w:kern w:val="2"/>
          <w:sz w:val="32"/>
          <w:szCs w:val="32"/>
          <w:u w:val="none"/>
          <w:lang w:val="en-US" w:eastAsia="zh-CN" w:bidi="ar-SA"/>
        </w:rPr>
        <w:t>95.5%</w:t>
      </w:r>
      <w:r>
        <w:rPr>
          <w:rFonts w:hint="default" w:ascii="Times New Roman" w:hAnsi="Times New Roman" w:eastAsia="仿宋_GB2312" w:cs="Times New Roman"/>
          <w:color w:val="auto"/>
          <w:sz w:val="32"/>
          <w:szCs w:val="32"/>
          <w:u w:val="none"/>
        </w:rPr>
        <w:t>。全面落实</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气十条</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水十条</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土十条</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，全区优良天数比率达到</w:t>
      </w:r>
      <w:r>
        <w:rPr>
          <w:rFonts w:hint="default" w:ascii="Times New Roman" w:hAnsi="Times New Roman" w:eastAsia="仿宋_GB2312" w:cs="Times New Roman"/>
          <w:color w:val="auto"/>
          <w:sz w:val="32"/>
          <w:szCs w:val="32"/>
          <w:u w:val="none"/>
          <w:lang w:val="en-US" w:eastAsia="zh-CN"/>
        </w:rPr>
        <w:t>85</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以上</w:t>
      </w:r>
      <w:r>
        <w:rPr>
          <w:rFonts w:hint="default" w:ascii="Times New Roman" w:hAnsi="Times New Roman" w:eastAsia="仿宋_GB2312" w:cs="Times New Roman"/>
          <w:color w:val="auto"/>
          <w:sz w:val="32"/>
          <w:szCs w:val="32"/>
          <w:u w:val="none"/>
        </w:rPr>
        <w:t>，主要污染物排放全部达标，山水林田湖草沙共融共生的自然生态体系初步形成。</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bookmarkStart w:id="6" w:name="_Toc119061558"/>
      <w:r>
        <w:rPr>
          <w:rFonts w:hint="default" w:ascii="Times New Roman" w:hAnsi="Times New Roman" w:eastAsia="仿宋_GB2312" w:cs="Times New Roman"/>
          <w:color w:val="auto"/>
          <w:sz w:val="32"/>
          <w:szCs w:val="32"/>
          <w:u w:val="none"/>
        </w:rPr>
        <w:t>三、区域环境质量明显改善</w:t>
      </w:r>
      <w:bookmarkEnd w:id="6"/>
    </w:p>
    <w:p>
      <w:pPr>
        <w:pageBreakBefore w:val="0"/>
        <w:kinsoku/>
        <w:wordWrap/>
        <w:overflowPunct/>
        <w:topLinePunct w:val="0"/>
        <w:autoSpaceDE/>
        <w:autoSpaceDN/>
        <w:bidi w:val="0"/>
        <w:snapToGrid/>
        <w:spacing w:line="560" w:lineRule="exact"/>
        <w:ind w:left="0" w:leftChars="0" w:firstLine="628"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Cs/>
          <w:color w:val="auto"/>
          <w:spacing w:val="-4"/>
          <w:sz w:val="32"/>
          <w:szCs w:val="32"/>
          <w:u w:val="none"/>
        </w:rPr>
        <w:t>2020年</w:t>
      </w:r>
      <w:r>
        <w:rPr>
          <w:rFonts w:hint="default" w:ascii="Times New Roman" w:hAnsi="Times New Roman" w:eastAsia="仿宋_GB2312" w:cs="Times New Roman"/>
          <w:color w:val="auto"/>
          <w:sz w:val="32"/>
          <w:szCs w:val="32"/>
          <w:u w:val="none"/>
        </w:rPr>
        <w:t>红寺堡区环境质量</w:t>
      </w:r>
      <w:r>
        <w:rPr>
          <w:rFonts w:hint="eastAsia" w:ascii="仿宋_GB2312" w:hAnsi="仿宋_GB2312" w:eastAsia="仿宋_GB2312" w:cs="仿宋_GB2312"/>
          <w:color w:val="auto"/>
          <w:sz w:val="32"/>
          <w:szCs w:val="32"/>
          <w:u w:val="none"/>
        </w:rPr>
        <w:t>呈现“总体改善、稳中向好”的基本态势。</w:t>
      </w:r>
      <w:r>
        <w:rPr>
          <w:rStyle w:val="33"/>
          <w:rFonts w:hint="eastAsia" w:ascii="仿宋_GB2312" w:hAnsi="仿宋_GB2312" w:eastAsia="仿宋_GB2312" w:cs="仿宋_GB2312"/>
          <w:color w:val="auto"/>
          <w:kern w:val="0"/>
          <w:sz w:val="32"/>
          <w:szCs w:val="32"/>
          <w:u w:val="none"/>
        </w:rPr>
        <w:t>修订完善《</w:t>
      </w:r>
      <w:r>
        <w:rPr>
          <w:rStyle w:val="33"/>
          <w:rFonts w:hint="eastAsia" w:ascii="仿宋_GB2312" w:hAnsi="仿宋_GB2312" w:eastAsia="仿宋_GB2312" w:cs="仿宋_GB2312"/>
          <w:color w:val="auto"/>
          <w:kern w:val="0"/>
          <w:sz w:val="32"/>
          <w:szCs w:val="32"/>
          <w:u w:val="none"/>
          <w:lang w:eastAsia="zh-CN"/>
        </w:rPr>
        <w:t>吴忠市红寺堡区</w:t>
      </w:r>
      <w:r>
        <w:rPr>
          <w:rStyle w:val="33"/>
          <w:rFonts w:hint="eastAsia" w:ascii="仿宋_GB2312" w:hAnsi="仿宋_GB2312" w:eastAsia="仿宋_GB2312" w:cs="仿宋_GB2312"/>
          <w:color w:val="auto"/>
          <w:kern w:val="0"/>
          <w:sz w:val="32"/>
          <w:szCs w:val="32"/>
          <w:u w:val="none"/>
        </w:rPr>
        <w:t>重污染</w:t>
      </w:r>
      <w:r>
        <w:rPr>
          <w:rStyle w:val="33"/>
          <w:rFonts w:hint="default" w:ascii="Times New Roman" w:hAnsi="Times New Roman" w:eastAsia="仿宋_GB2312" w:cs="Times New Roman"/>
          <w:color w:val="auto"/>
          <w:kern w:val="0"/>
          <w:sz w:val="32"/>
          <w:szCs w:val="32"/>
          <w:u w:val="none"/>
        </w:rPr>
        <w:t>天气应急预案》，加强大气污染防治，工业企业全部完成超低排放或特别排放限值改造，</w:t>
      </w:r>
      <w:r>
        <w:rPr>
          <w:rFonts w:hint="default" w:ascii="Times New Roman" w:hAnsi="Times New Roman" w:eastAsia="仿宋_GB2312" w:cs="Times New Roman"/>
          <w:bCs/>
          <w:color w:val="auto"/>
          <w:spacing w:val="-4"/>
          <w:sz w:val="32"/>
          <w:szCs w:val="32"/>
          <w:u w:val="none"/>
        </w:rPr>
        <w:t>累计淘汰落后产能45万吨，</w:t>
      </w:r>
      <w:r>
        <w:rPr>
          <w:rStyle w:val="33"/>
          <w:rFonts w:hint="default" w:ascii="Times New Roman" w:hAnsi="Times New Roman" w:eastAsia="仿宋_GB2312" w:cs="Times New Roman"/>
          <w:color w:val="auto"/>
          <w:kern w:val="0"/>
          <w:sz w:val="32"/>
          <w:szCs w:val="32"/>
          <w:u w:val="none"/>
        </w:rPr>
        <w:t>城区建筑工地规范化达标率100%，机动车尾气排放合格率达到98.8%。</w:t>
      </w:r>
      <w:r>
        <w:rPr>
          <w:rFonts w:hint="default" w:ascii="Times New Roman" w:hAnsi="Times New Roman" w:eastAsia="仿宋_GB2312" w:cs="Times New Roman"/>
          <w:color w:val="auto"/>
          <w:sz w:val="32"/>
          <w:szCs w:val="32"/>
          <w:u w:val="none"/>
        </w:rPr>
        <w:t>可吸入颗粒物（PM</w:t>
      </w:r>
      <w:r>
        <w:rPr>
          <w:rFonts w:hint="default" w:ascii="Times New Roman" w:hAnsi="Times New Roman" w:eastAsia="仿宋_GB2312" w:cs="Times New Roman"/>
          <w:color w:val="auto"/>
          <w:sz w:val="32"/>
          <w:szCs w:val="32"/>
          <w:u w:val="none"/>
          <w:vertAlign w:val="subscript"/>
        </w:rPr>
        <w:t>10</w:t>
      </w:r>
      <w:r>
        <w:rPr>
          <w:rFonts w:hint="default" w:ascii="Times New Roman" w:hAnsi="Times New Roman" w:eastAsia="仿宋_GB2312" w:cs="Times New Roman"/>
          <w:color w:val="auto"/>
          <w:sz w:val="32"/>
          <w:szCs w:val="32"/>
          <w:u w:val="none"/>
        </w:rPr>
        <w:t>）平均浓度由2017年的105微克</w:t>
      </w:r>
      <w:r>
        <w:rPr>
          <w:rFonts w:hint="eastAsia" w:ascii="仿宋_GB2312" w:hAnsi="仿宋_GB2312" w:eastAsia="仿宋_GB2312" w:cs="仿宋_GB2312"/>
          <w:color w:val="auto"/>
          <w:sz w:val="32"/>
          <w:szCs w:val="32"/>
          <w:u w:val="none"/>
        </w:rPr>
        <w:t>/</w:t>
      </w:r>
      <w:r>
        <w:rPr>
          <w:rFonts w:hint="default" w:ascii="Times New Roman" w:hAnsi="Times New Roman" w:eastAsia="仿宋_GB2312" w:cs="Times New Roman"/>
          <w:color w:val="auto"/>
          <w:sz w:val="32"/>
          <w:szCs w:val="32"/>
          <w:u w:val="none"/>
        </w:rPr>
        <w:t>立方米下降至2020年的87微克</w:t>
      </w:r>
      <w:r>
        <w:rPr>
          <w:rFonts w:hint="eastAsia" w:ascii="仿宋_GB2312" w:hAnsi="仿宋_GB2312" w:eastAsia="仿宋_GB2312" w:cs="仿宋_GB2312"/>
          <w:color w:val="auto"/>
          <w:sz w:val="32"/>
          <w:szCs w:val="32"/>
          <w:u w:val="none"/>
        </w:rPr>
        <w:t>/</w:t>
      </w:r>
      <w:r>
        <w:rPr>
          <w:rFonts w:hint="default" w:ascii="Times New Roman" w:hAnsi="Times New Roman" w:eastAsia="仿宋_GB2312" w:cs="Times New Roman"/>
          <w:color w:val="auto"/>
          <w:sz w:val="32"/>
          <w:szCs w:val="32"/>
          <w:u w:val="none"/>
        </w:rPr>
        <w:t>立方米，细颗粒物</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PM</w:t>
      </w:r>
      <w:r>
        <w:rPr>
          <w:rFonts w:hint="default" w:ascii="Times New Roman" w:hAnsi="Times New Roman" w:eastAsia="仿宋_GB2312" w:cs="Times New Roman"/>
          <w:color w:val="auto"/>
          <w:sz w:val="32"/>
          <w:szCs w:val="32"/>
          <w:u w:val="none"/>
          <w:vertAlign w:val="subscript"/>
          <w:lang w:val="en-US" w:eastAsia="zh-CN"/>
        </w:rPr>
        <w:t>2.5</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浓度为34微克</w:t>
      </w:r>
      <w:r>
        <w:rPr>
          <w:rFonts w:hint="eastAsia" w:ascii="仿宋_GB2312" w:hAnsi="仿宋_GB2312" w:eastAsia="仿宋_GB2312" w:cs="仿宋_GB2312"/>
          <w:color w:val="auto"/>
          <w:sz w:val="32"/>
          <w:szCs w:val="32"/>
          <w:u w:val="none"/>
        </w:rPr>
        <w:t>/</w:t>
      </w:r>
      <w:r>
        <w:rPr>
          <w:rFonts w:hint="default" w:ascii="Times New Roman" w:hAnsi="Times New Roman" w:eastAsia="仿宋_GB2312" w:cs="Times New Roman"/>
          <w:color w:val="auto"/>
          <w:sz w:val="32"/>
          <w:szCs w:val="32"/>
          <w:u w:val="none"/>
        </w:rPr>
        <w:t>立方米。可吸入颗粒物（PM</w:t>
      </w:r>
      <w:r>
        <w:rPr>
          <w:rFonts w:hint="default" w:ascii="Times New Roman" w:hAnsi="Times New Roman" w:eastAsia="仿宋_GB2312" w:cs="Times New Roman"/>
          <w:color w:val="auto"/>
          <w:sz w:val="32"/>
          <w:szCs w:val="32"/>
          <w:u w:val="none"/>
          <w:vertAlign w:val="subscript"/>
        </w:rPr>
        <w:t>10</w:t>
      </w:r>
      <w:r>
        <w:rPr>
          <w:rFonts w:hint="default" w:ascii="Times New Roman" w:hAnsi="Times New Roman" w:eastAsia="仿宋_GB2312" w:cs="Times New Roman"/>
          <w:color w:val="auto"/>
          <w:sz w:val="32"/>
          <w:szCs w:val="32"/>
          <w:u w:val="none"/>
        </w:rPr>
        <w:t>）作为首要污染物所占天数比例逐年降低。</w:t>
      </w:r>
      <w:r>
        <w:rPr>
          <w:rFonts w:hint="default" w:ascii="Times New Roman" w:hAnsi="Times New Roman" w:eastAsia="仿宋_GB2312" w:cs="Times New Roman"/>
          <w:bCs/>
          <w:color w:val="auto"/>
          <w:spacing w:val="-4"/>
          <w:sz w:val="32"/>
          <w:szCs w:val="32"/>
          <w:u w:val="none"/>
        </w:rPr>
        <w:t>地表水</w:t>
      </w:r>
      <w:r>
        <w:rPr>
          <w:rFonts w:hint="default" w:ascii="Times New Roman" w:hAnsi="Times New Roman" w:eastAsia="仿宋_GB2312" w:cs="Times New Roman"/>
          <w:bCs/>
          <w:color w:val="auto"/>
          <w:spacing w:val="-4"/>
          <w:sz w:val="32"/>
          <w:szCs w:val="32"/>
          <w:u w:val="none"/>
          <w:lang w:eastAsia="zh-CN"/>
        </w:rPr>
        <w:t>区</w:t>
      </w:r>
      <w:r>
        <w:rPr>
          <w:rFonts w:hint="default" w:ascii="Times New Roman" w:hAnsi="Times New Roman" w:eastAsia="仿宋_GB2312" w:cs="Times New Roman"/>
          <w:bCs/>
          <w:color w:val="auto"/>
          <w:spacing w:val="-4"/>
          <w:sz w:val="32"/>
          <w:szCs w:val="32"/>
          <w:u w:val="none"/>
        </w:rPr>
        <w:t>控考核断面优良水体比例达到100%</w:t>
      </w:r>
      <w:bookmarkStart w:id="7" w:name="_Hlk51227970"/>
      <w:r>
        <w:rPr>
          <w:rFonts w:hint="default" w:ascii="Times New Roman" w:hAnsi="Times New Roman" w:eastAsia="仿宋_GB2312" w:cs="Times New Roman"/>
          <w:bCs/>
          <w:color w:val="auto"/>
          <w:spacing w:val="-4"/>
          <w:sz w:val="32"/>
          <w:szCs w:val="32"/>
          <w:u w:val="none"/>
        </w:rPr>
        <w:t>，红寺堡区入黄支沟3个断面水质均达到Ⅳ类及以上标准，</w:t>
      </w:r>
      <w:bookmarkEnd w:id="7"/>
      <w:r>
        <w:rPr>
          <w:rFonts w:hint="default" w:ascii="Times New Roman" w:hAnsi="Times New Roman" w:eastAsia="仿宋_GB2312" w:cs="Times New Roman"/>
          <w:bCs/>
          <w:color w:val="auto"/>
          <w:spacing w:val="-4"/>
          <w:sz w:val="32"/>
          <w:szCs w:val="32"/>
          <w:u w:val="none"/>
          <w:lang w:eastAsia="zh-CN"/>
        </w:rPr>
        <w:t>辖区内</w:t>
      </w:r>
      <w:r>
        <w:rPr>
          <w:rFonts w:hint="default" w:ascii="Times New Roman" w:hAnsi="Times New Roman" w:eastAsia="仿宋_GB2312" w:cs="Times New Roman"/>
          <w:bCs/>
          <w:color w:val="auto"/>
          <w:spacing w:val="-4"/>
          <w:sz w:val="32"/>
          <w:szCs w:val="32"/>
          <w:u w:val="none"/>
        </w:rPr>
        <w:t>无黑臭水体。</w:t>
      </w:r>
      <w:r>
        <w:rPr>
          <w:rStyle w:val="33"/>
          <w:rFonts w:hint="default" w:ascii="Times New Roman" w:hAnsi="Times New Roman" w:eastAsia="仿宋_GB2312" w:cs="Times New Roman"/>
          <w:color w:val="auto"/>
          <w:kern w:val="0"/>
          <w:sz w:val="32"/>
          <w:szCs w:val="32"/>
          <w:u w:val="none"/>
        </w:rPr>
        <w:t>建立了覆盖区-乡镇-村三级的河（湖）长制工作体系，开展入黄支沟综合整治行动，城镇污水处理厂、工业园区污水处理厂、农村生活污水处理站全部达到一级</w:t>
      </w:r>
      <w:r>
        <w:rPr>
          <w:rStyle w:val="33"/>
          <w:rFonts w:hint="default" w:ascii="Times New Roman" w:hAnsi="Times New Roman" w:eastAsia="仿宋_GB2312" w:cs="Times New Roman"/>
          <w:color w:val="auto"/>
          <w:kern w:val="0"/>
          <w:sz w:val="32"/>
          <w:szCs w:val="32"/>
          <w:u w:val="none"/>
          <w:lang w:val="en-US" w:eastAsia="zh-CN"/>
        </w:rPr>
        <w:t>B</w:t>
      </w:r>
      <w:r>
        <w:rPr>
          <w:rStyle w:val="33"/>
          <w:rFonts w:hint="default" w:ascii="Times New Roman" w:hAnsi="Times New Roman" w:eastAsia="仿宋_GB2312" w:cs="Times New Roman"/>
          <w:color w:val="auto"/>
          <w:kern w:val="0"/>
          <w:sz w:val="32"/>
          <w:szCs w:val="32"/>
          <w:u w:val="none"/>
        </w:rPr>
        <w:t>排放标准，城镇生活污水处理率</w:t>
      </w:r>
      <w:r>
        <w:rPr>
          <w:rFonts w:hint="default" w:ascii="Times New Roman" w:hAnsi="Times New Roman" w:eastAsia="仿宋_GB2312" w:cs="Times New Roman"/>
          <w:b w:val="0"/>
          <w:bCs w:val="0"/>
          <w:color w:val="auto"/>
          <w:kern w:val="2"/>
          <w:sz w:val="32"/>
          <w:szCs w:val="32"/>
          <w:u w:val="none"/>
          <w:lang w:val="en-US" w:eastAsia="zh-CN" w:bidi="ar-SA"/>
        </w:rPr>
        <w:t xml:space="preserve"> 100%</w:t>
      </w:r>
      <w:r>
        <w:rPr>
          <w:rStyle w:val="33"/>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sz w:val="32"/>
          <w:szCs w:val="32"/>
          <w:u w:val="none"/>
        </w:rPr>
        <w:t>建成城镇污水处理厂尾水处理人工湿地1处，城市生活污水资源化利用率达到60%，</w:t>
      </w:r>
      <w:r>
        <w:rPr>
          <w:rFonts w:hint="default" w:ascii="Times New Roman" w:hAnsi="Times New Roman" w:eastAsia="仿宋_GB2312" w:cs="Times New Roman"/>
          <w:bCs/>
          <w:color w:val="auto"/>
          <w:spacing w:val="-4"/>
          <w:sz w:val="32"/>
          <w:szCs w:val="32"/>
          <w:u w:val="none"/>
        </w:rPr>
        <w:t>完成城乡饮用水源地规范化建设，保障了群众饮水安全。</w:t>
      </w:r>
      <w:r>
        <w:rPr>
          <w:rStyle w:val="33"/>
          <w:rFonts w:hint="default" w:ascii="Times New Roman" w:hAnsi="Times New Roman" w:eastAsia="仿宋_GB2312" w:cs="Times New Roman"/>
          <w:bCs/>
          <w:color w:val="auto"/>
          <w:kern w:val="0"/>
          <w:sz w:val="32"/>
          <w:szCs w:val="32"/>
          <w:u w:val="none"/>
        </w:rPr>
        <w:t>严格管控固体废弃物处置，</w:t>
      </w:r>
      <w:r>
        <w:rPr>
          <w:rFonts w:hint="default" w:ascii="Times New Roman" w:hAnsi="Times New Roman" w:eastAsia="仿宋_GB2312" w:cs="Times New Roman"/>
          <w:color w:val="auto"/>
          <w:sz w:val="32"/>
          <w:szCs w:val="32"/>
          <w:u w:val="none"/>
        </w:rPr>
        <w:t>2020年一般工业固废综合利用率达到57%。医疗废弃物处置实现全过程信息化监管，工业危险废物及医疗废物安全处置率达到100%。实施畜禽养殖废弃物无害化处理、资源化利用等项目和化肥、农药使用零增长行动，畜禽粪污资源化利用率达到95%以上。</w:t>
      </w:r>
      <w:bookmarkStart w:id="8" w:name="_Toc119061559"/>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四、</w:t>
      </w:r>
      <w:bookmarkEnd w:id="8"/>
      <w:bookmarkStart w:id="9" w:name="_Toc8685"/>
      <w:bookmarkStart w:id="10" w:name="_Toc119061560"/>
      <w:r>
        <w:rPr>
          <w:rFonts w:hint="default" w:ascii="Times New Roman" w:hAnsi="Times New Roman" w:eastAsia="仿宋_GB2312" w:cs="Times New Roman"/>
          <w:color w:val="auto"/>
          <w:sz w:val="32"/>
          <w:szCs w:val="32"/>
          <w:u w:val="none"/>
        </w:rPr>
        <w:t>城乡环境整治全面推进</w:t>
      </w:r>
    </w:p>
    <w:p>
      <w:pPr>
        <w:pStyle w:val="4"/>
        <w:keepNext/>
        <w:keepLines w:val="0"/>
        <w:pageBreakBefore w:val="0"/>
        <w:widowControl w:val="0"/>
        <w:kinsoku/>
        <w:wordWrap/>
        <w:overflowPunct/>
        <w:topLinePunct w:val="0"/>
        <w:autoSpaceDE/>
        <w:autoSpaceDN/>
        <w:bidi w:val="0"/>
        <w:adjustRightInd/>
        <w:snapToGrid/>
        <w:spacing w:before="0" w:after="160" w:afterLines="50" w:line="560" w:lineRule="exact"/>
        <w:ind w:left="0" w:leftChars="0"/>
        <w:jc w:val="both"/>
        <w:textAlignment w:val="auto"/>
        <w:rPr>
          <w:rFonts w:hint="default" w:ascii="Times New Roman" w:hAnsi="Times New Roman" w:eastAsia="楷体_GB2312" w:cs="Times New Roman"/>
          <w:b/>
          <w:bCs/>
          <w:color w:val="auto"/>
          <w:kern w:val="2"/>
          <w:sz w:val="32"/>
          <w:szCs w:val="32"/>
          <w:u w:val="none"/>
          <w:lang w:val="en-US" w:eastAsia="zh-CN" w:bidi="ar-SA"/>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b w:val="0"/>
          <w:bCs w:val="0"/>
          <w:color w:val="auto"/>
          <w:kern w:val="2"/>
          <w:sz w:val="32"/>
          <w:szCs w:val="32"/>
          <w:u w:val="none"/>
          <w:lang w:val="en-US" w:eastAsia="zh-CN" w:bidi="ar-SA"/>
        </w:rPr>
        <w:t>统筹推进城乡基础设施建设</w:t>
      </w:r>
      <w:r>
        <w:rPr>
          <w:rFonts w:hint="eastAsia" w:ascii="Times New Roman" w:hAnsi="Times New Roman"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新建住宅小区 14 个</w:t>
      </w:r>
      <w:r>
        <w:rPr>
          <w:rFonts w:hint="eastAsia" w:ascii="Times New Roman" w:hAnsi="Times New Roman"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完成棚户区改造 5603 户、老旧小区改造 4 个</w:t>
      </w:r>
      <w:r>
        <w:rPr>
          <w:rFonts w:hint="eastAsia" w:ascii="Times New Roman" w:hAnsi="Times New Roman"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城东市民休闲公园、金水广场改造提升等工程相继完工</w:t>
      </w:r>
      <w:r>
        <w:rPr>
          <w:rFonts w:hint="eastAsia" w:ascii="Times New Roman" w:hAnsi="Times New Roman"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城镇社区增至 8 个,城市建成区面积拓展到 12.68平方公里</w:t>
      </w:r>
      <w:r>
        <w:rPr>
          <w:rFonts w:hint="eastAsia" w:ascii="Times New Roman" w:hAnsi="Times New Roman"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城镇化率由 30.6%提高到 40.1%。建成柳泉、大河美丽小城镇</w:t>
      </w:r>
      <w:r>
        <w:rPr>
          <w:rFonts w:hint="eastAsia" w:ascii="Times New Roman" w:hAnsi="Times New Roman"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以弘德、永新、红川村为示范</w:t>
      </w:r>
      <w:r>
        <w:rPr>
          <w:rFonts w:hint="eastAsia" w:ascii="Times New Roman" w:hAnsi="Times New Roman"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高标准打造美丽村庄37 个</w:t>
      </w:r>
      <w:r>
        <w:rPr>
          <w:rFonts w:hint="eastAsia" w:ascii="Times New Roman" w:hAnsi="Times New Roman"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杨柳、香园、永新 3 个村跻身国家森林乡村。改造农村卫生厕所 1.18 万座、污水管网 72.6 公里。红寺堡扬水骨干工程改造完成。高铁红寺堡北站</w:t>
      </w:r>
      <w:r>
        <w:rPr>
          <w:rFonts w:hint="eastAsia" w:ascii="Times New Roman" w:hAnsi="Times New Roman"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G338 线等重点项目建成投运</w:t>
      </w:r>
      <w:r>
        <w:rPr>
          <w:rFonts w:hint="eastAsia" w:ascii="Times New Roman" w:hAnsi="Times New Roman"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乡村道路通车里程达 935 公里</w:t>
      </w:r>
      <w:r>
        <w:rPr>
          <w:rFonts w:hint="eastAsia" w:ascii="Times New Roman" w:hAnsi="Times New Roman"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成功创</w:t>
      </w:r>
      <w:r>
        <w:rPr>
          <w:rFonts w:hint="eastAsia" w:ascii="仿宋_GB2312" w:hAnsi="仿宋_GB2312" w:eastAsia="仿宋_GB2312" w:cs="仿宋_GB2312"/>
          <w:b w:val="0"/>
          <w:bCs w:val="0"/>
          <w:color w:val="auto"/>
          <w:kern w:val="2"/>
          <w:sz w:val="32"/>
          <w:szCs w:val="32"/>
          <w:u w:val="none"/>
          <w:lang w:val="en-US" w:eastAsia="zh-CN" w:bidi="ar-SA"/>
        </w:rPr>
        <w:t>建全国“四好农村路”示范县（区）、全</w:t>
      </w:r>
      <w:r>
        <w:rPr>
          <w:rFonts w:hint="default" w:ascii="Times New Roman" w:hAnsi="Times New Roman" w:eastAsia="仿宋_GB2312" w:cs="Times New Roman"/>
          <w:b w:val="0"/>
          <w:bCs w:val="0"/>
          <w:color w:val="auto"/>
          <w:kern w:val="2"/>
          <w:sz w:val="32"/>
          <w:szCs w:val="32"/>
          <w:u w:val="none"/>
          <w:lang w:val="en-US" w:eastAsia="zh-CN" w:bidi="ar-SA"/>
        </w:rPr>
        <w:t>国和自治区城乡交通运输一体化示范县</w:t>
      </w:r>
      <w:r>
        <w:rPr>
          <w:rFonts w:hint="eastAsia" w:ascii="Times New Roman" w:hAnsi="Times New Roman"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区</w:t>
      </w:r>
      <w:r>
        <w:rPr>
          <w:rFonts w:hint="eastAsia" w:ascii="Times New Roman" w:hAnsi="Times New Roman"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。宁夏移民博物馆、</w:t>
      </w:r>
      <w:r>
        <w:rPr>
          <w:rFonts w:hint="eastAsia" w:ascii="Times New Roman" w:hAnsi="Times New Roman"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1236</w:t>
      </w:r>
      <w:r>
        <w:rPr>
          <w:rFonts w:hint="eastAsia" w:ascii="Times New Roman" w:hAnsi="Times New Roman"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指挥部旧址等旅</w:t>
      </w:r>
      <w:r>
        <w:rPr>
          <w:rFonts w:hint="default" w:ascii="Times New Roman" w:hAnsi="Times New Roman" w:eastAsia="仿宋_GB2312" w:cs="Times New Roman"/>
          <w:b w:val="0"/>
          <w:bCs w:val="0"/>
          <w:color w:val="auto"/>
          <w:kern w:val="2"/>
          <w:sz w:val="32"/>
          <w:szCs w:val="32"/>
          <w:highlight w:val="none"/>
          <w:u w:val="none"/>
          <w:lang w:val="en-US" w:eastAsia="zh-CN" w:bidi="ar-SA"/>
        </w:rPr>
        <w:t>游景点</w:t>
      </w:r>
      <w:r>
        <w:rPr>
          <w:rFonts w:hint="eastAsia" w:ascii="Times New Roman" w:hAnsi="Times New Roman" w:eastAsia="仿宋_GB2312" w:cs="Times New Roman"/>
          <w:b w:val="0"/>
          <w:bCs w:val="0"/>
          <w:color w:val="auto"/>
          <w:kern w:val="2"/>
          <w:sz w:val="32"/>
          <w:szCs w:val="32"/>
          <w:highlight w:val="none"/>
          <w:u w:val="none"/>
          <w:lang w:val="en-US" w:eastAsia="zh-CN" w:bidi="ar-SA"/>
        </w:rPr>
        <w:t>被</w:t>
      </w:r>
      <w:r>
        <w:rPr>
          <w:rFonts w:hint="default" w:ascii="Times New Roman" w:hAnsi="Times New Roman" w:eastAsia="仿宋_GB2312" w:cs="Times New Roman"/>
          <w:b w:val="0"/>
          <w:bCs w:val="0"/>
          <w:color w:val="auto"/>
          <w:kern w:val="2"/>
          <w:sz w:val="32"/>
          <w:szCs w:val="32"/>
          <w:u w:val="none"/>
          <w:lang w:val="en-US" w:eastAsia="zh-CN" w:bidi="ar-SA"/>
        </w:rPr>
        <w:t>纳入自治区全域旅游规划</w:t>
      </w:r>
      <w:r>
        <w:rPr>
          <w:rFonts w:hint="eastAsia" w:ascii="Times New Roman" w:hAnsi="Times New Roman"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弘德村、永新村入选全国乡村旅游重点村和宁夏特色旅游村，城乡面貌焕然一新。</w:t>
      </w:r>
    </w:p>
    <w:p>
      <w:pPr>
        <w:pStyle w:val="4"/>
        <w:keepNext/>
        <w:keepLines/>
        <w:pageBreakBefore w:val="0"/>
        <w:widowControl w:val="0"/>
        <w:kinsoku/>
        <w:wordWrap/>
        <w:overflowPunct/>
        <w:topLinePunct w:val="0"/>
        <w:autoSpaceDE/>
        <w:autoSpaceDN/>
        <w:bidi w:val="0"/>
        <w:adjustRightInd/>
        <w:snapToGrid/>
        <w:spacing w:before="0" w:after="160" w:afterLines="50" w:line="560" w:lineRule="exact"/>
        <w:ind w:left="0" w:leftChars="0"/>
        <w:jc w:val="center"/>
        <w:textAlignment w:val="auto"/>
        <w:rPr>
          <w:rFonts w:hint="eastAsia" w:ascii="Times New Roman" w:hAnsi="Times New Roman" w:eastAsia="楷体_GB2312" w:cs="Times New Roman"/>
          <w:b/>
          <w:bCs/>
          <w:color w:val="auto"/>
          <w:sz w:val="32"/>
          <w:szCs w:val="32"/>
          <w:u w:val="none"/>
          <w:lang w:eastAsia="zh-CN"/>
        </w:rPr>
      </w:pPr>
      <w:r>
        <w:rPr>
          <w:rFonts w:hint="default" w:ascii="Times New Roman" w:hAnsi="Times New Roman" w:eastAsia="楷体_GB2312" w:cs="Times New Roman"/>
          <w:b/>
          <w:bCs/>
          <w:color w:val="auto"/>
          <w:kern w:val="2"/>
          <w:sz w:val="32"/>
          <w:szCs w:val="32"/>
          <w:u w:val="none"/>
          <w:lang w:val="en-US" w:eastAsia="zh-CN" w:bidi="ar-SA"/>
        </w:rPr>
        <w:t>第二节 存在问题</w:t>
      </w:r>
      <w:bookmarkEnd w:id="9"/>
      <w:bookmarkEnd w:id="10"/>
      <w:bookmarkStart w:id="11" w:name="_Toc119061561"/>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一、环境保护基础设施短板问题突出</w:t>
      </w:r>
      <w:bookmarkEnd w:id="11"/>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kern w:val="1"/>
          <w:sz w:val="32"/>
          <w:szCs w:val="32"/>
          <w:u w:val="none"/>
        </w:rPr>
      </w:pPr>
      <w:r>
        <w:rPr>
          <w:rFonts w:hint="default" w:ascii="Times New Roman" w:hAnsi="Times New Roman" w:eastAsia="仿宋_GB2312" w:cs="Times New Roman"/>
          <w:color w:val="auto"/>
          <w:kern w:val="1"/>
          <w:sz w:val="32"/>
          <w:szCs w:val="32"/>
          <w:u w:val="none"/>
        </w:rPr>
        <w:t>红寺堡城区市政基础设施建设规模起点低，供水、供暖等市政管网老化、污水管网堵塞问题时有发生，雨污合流管网占排水管网</w:t>
      </w:r>
      <w:r>
        <w:rPr>
          <w:rFonts w:hint="default" w:ascii="Times New Roman" w:hAnsi="Times New Roman" w:eastAsia="仿宋_GB2312" w:cs="Times New Roman"/>
          <w:color w:val="auto"/>
          <w:kern w:val="1"/>
          <w:sz w:val="32"/>
          <w:szCs w:val="32"/>
          <w:u w:val="none"/>
          <w:lang w:eastAsia="zh-CN"/>
        </w:rPr>
        <w:t>比例偏高</w:t>
      </w:r>
      <w:r>
        <w:rPr>
          <w:rFonts w:hint="default" w:ascii="Times New Roman" w:hAnsi="Times New Roman" w:eastAsia="仿宋_GB2312" w:cs="Times New Roman"/>
          <w:color w:val="auto"/>
          <w:kern w:val="1"/>
          <w:sz w:val="32"/>
          <w:szCs w:val="32"/>
          <w:u w:val="none"/>
        </w:rPr>
        <w:t>，内涝多发，雨季直排，对周边环境造成污染。村庄规划标准低，村容村貌、基础设施配套、绿化、环保等设施建设整体起点不高，改厕、生活污水、生活垃圾收集处理难度大。城乡生活固液废弃物分类治理和无害化处理及资源化利用基础设施体系不完善，建筑垃圾处置和资源化利用设施建设滞后。各类废弃物处理处置终端建设缺口大。</w:t>
      </w:r>
      <w:bookmarkStart w:id="12" w:name="_Toc119061562"/>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仿宋_GB2312" w:hAnsi="仿宋_GB2312" w:eastAsia="仿宋_GB2312" w:cs="仿宋_GB2312"/>
          <w:b/>
          <w:bCs/>
          <w:color w:val="auto"/>
          <w:sz w:val="32"/>
          <w:szCs w:val="32"/>
          <w:u w:val="none"/>
        </w:rPr>
      </w:pPr>
      <w:r>
        <w:rPr>
          <w:rFonts w:hint="default" w:ascii="仿宋_GB2312" w:hAnsi="仿宋_GB2312" w:eastAsia="仿宋_GB2312" w:cs="仿宋_GB2312"/>
          <w:b/>
          <w:bCs/>
          <w:color w:val="auto"/>
          <w:sz w:val="32"/>
          <w:szCs w:val="32"/>
          <w:u w:val="none"/>
        </w:rPr>
        <w:t>二、生态环境治理与高质量发展要求存在差距</w:t>
      </w:r>
      <w:bookmarkEnd w:id="12"/>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kern w:val="1"/>
          <w:sz w:val="32"/>
          <w:szCs w:val="32"/>
          <w:u w:val="none"/>
        </w:rPr>
      </w:pPr>
      <w:r>
        <w:rPr>
          <w:rFonts w:hint="default" w:ascii="Times New Roman" w:hAnsi="Times New Roman" w:eastAsia="仿宋_GB2312" w:cs="Times New Roman"/>
          <w:color w:val="auto"/>
          <w:kern w:val="1"/>
          <w:sz w:val="32"/>
          <w:szCs w:val="32"/>
          <w:u w:val="none"/>
        </w:rPr>
        <w:t>大气污染治理措施还需进一步强化。由于地处中部干旱带，受气候和自然地理条件影响，不确定因素多，PM</w:t>
      </w:r>
      <w:r>
        <w:rPr>
          <w:rFonts w:hint="default" w:ascii="Times New Roman" w:hAnsi="Times New Roman" w:eastAsia="仿宋_GB2312" w:cs="Times New Roman"/>
          <w:color w:val="auto"/>
          <w:kern w:val="1"/>
          <w:sz w:val="32"/>
          <w:szCs w:val="32"/>
          <w:u w:val="none"/>
          <w:vertAlign w:val="subscript"/>
        </w:rPr>
        <w:t>10</w:t>
      </w:r>
      <w:r>
        <w:rPr>
          <w:rFonts w:hint="default" w:ascii="Times New Roman" w:hAnsi="Times New Roman" w:eastAsia="仿宋_GB2312" w:cs="Times New Roman"/>
          <w:color w:val="auto"/>
          <w:kern w:val="1"/>
          <w:sz w:val="32"/>
          <w:szCs w:val="32"/>
          <w:u w:val="none"/>
          <w:lang w:eastAsia="zh-CN"/>
        </w:rPr>
        <w:t>平均浓度</w:t>
      </w:r>
      <w:r>
        <w:rPr>
          <w:rFonts w:hint="default" w:ascii="Times New Roman" w:hAnsi="Times New Roman" w:eastAsia="仿宋_GB2312" w:cs="Times New Roman"/>
          <w:color w:val="auto"/>
          <w:kern w:val="1"/>
          <w:sz w:val="32"/>
          <w:szCs w:val="32"/>
          <w:u w:val="none"/>
        </w:rPr>
        <w:t>总体</w:t>
      </w:r>
      <w:r>
        <w:rPr>
          <w:rFonts w:hint="default" w:ascii="Times New Roman" w:hAnsi="Times New Roman" w:eastAsia="仿宋_GB2312" w:cs="Times New Roman"/>
          <w:color w:val="auto"/>
          <w:kern w:val="1"/>
          <w:sz w:val="32"/>
          <w:szCs w:val="32"/>
          <w:u w:val="none"/>
          <w:lang w:eastAsia="zh-CN"/>
        </w:rPr>
        <w:t>偏高</w:t>
      </w:r>
      <w:r>
        <w:rPr>
          <w:rFonts w:hint="default" w:ascii="Times New Roman" w:hAnsi="Times New Roman" w:eastAsia="仿宋_GB2312" w:cs="Times New Roman"/>
          <w:color w:val="auto"/>
          <w:kern w:val="1"/>
          <w:sz w:val="32"/>
          <w:szCs w:val="32"/>
          <w:u w:val="none"/>
        </w:rPr>
        <w:t>，难以进行人为控制。农业农村环境污染问题逐步</w:t>
      </w:r>
      <w:r>
        <w:rPr>
          <w:rFonts w:hint="eastAsia" w:ascii="Times New Roman" w:hAnsi="Times New Roman" w:eastAsia="仿宋_GB2312" w:cs="Times New Roman"/>
          <w:color w:val="auto"/>
          <w:kern w:val="1"/>
          <w:sz w:val="32"/>
          <w:szCs w:val="32"/>
          <w:u w:val="none"/>
          <w:lang w:eastAsia="zh-CN"/>
        </w:rPr>
        <w:t>显现</w:t>
      </w:r>
      <w:r>
        <w:rPr>
          <w:rFonts w:hint="default" w:ascii="Times New Roman" w:hAnsi="Times New Roman" w:eastAsia="仿宋_GB2312" w:cs="Times New Roman"/>
          <w:color w:val="auto"/>
          <w:kern w:val="1"/>
          <w:sz w:val="32"/>
          <w:szCs w:val="32"/>
          <w:u w:val="none"/>
        </w:rPr>
        <w:t>，土壤盐渍化程度加重，农村生活污水治理尚未全覆盖，农药、化肥使用管控难度较大，农村垃圾和秸秆焚烧现象时有发生，</w:t>
      </w:r>
      <w:r>
        <w:rPr>
          <w:rFonts w:hint="default" w:ascii="Times New Roman" w:hAnsi="Times New Roman" w:eastAsia="仿宋_GB2312" w:cs="Times New Roman"/>
          <w:color w:val="auto"/>
          <w:kern w:val="1"/>
          <w:sz w:val="32"/>
          <w:szCs w:val="32"/>
          <w:u w:val="none"/>
          <w:lang w:eastAsia="zh-CN"/>
        </w:rPr>
        <w:t>随着</w:t>
      </w:r>
      <w:r>
        <w:rPr>
          <w:rFonts w:hint="default" w:ascii="Times New Roman" w:hAnsi="Times New Roman" w:eastAsia="仿宋_GB2312" w:cs="Times New Roman"/>
          <w:color w:val="auto"/>
          <w:kern w:val="1"/>
          <w:sz w:val="32"/>
          <w:szCs w:val="32"/>
          <w:u w:val="none"/>
        </w:rPr>
        <w:t>养殖业</w:t>
      </w:r>
      <w:r>
        <w:rPr>
          <w:rFonts w:hint="default" w:ascii="Times New Roman" w:hAnsi="Times New Roman" w:eastAsia="仿宋_GB2312" w:cs="Times New Roman"/>
          <w:color w:val="auto"/>
          <w:kern w:val="1"/>
          <w:sz w:val="32"/>
          <w:szCs w:val="32"/>
          <w:u w:val="none"/>
          <w:lang w:eastAsia="zh-CN"/>
        </w:rPr>
        <w:t>的</w:t>
      </w:r>
      <w:r>
        <w:rPr>
          <w:rFonts w:hint="default" w:ascii="Times New Roman" w:hAnsi="Times New Roman" w:eastAsia="仿宋_GB2312" w:cs="Times New Roman"/>
          <w:color w:val="auto"/>
          <w:kern w:val="1"/>
          <w:sz w:val="32"/>
          <w:szCs w:val="32"/>
          <w:u w:val="none"/>
        </w:rPr>
        <w:t>发展，畜禽粪污资源化利用水平亟待提高。流域治理和生态修复覆盖面小，治理成效还不够</w:t>
      </w:r>
      <w:r>
        <w:rPr>
          <w:rFonts w:hint="eastAsia" w:ascii="Times New Roman" w:hAnsi="Times New Roman" w:eastAsia="仿宋_GB2312" w:cs="Times New Roman"/>
          <w:color w:val="auto"/>
          <w:kern w:val="1"/>
          <w:sz w:val="32"/>
          <w:szCs w:val="32"/>
          <w:u w:val="none"/>
          <w:lang w:eastAsia="zh-CN"/>
        </w:rPr>
        <w:t>明显</w:t>
      </w:r>
      <w:r>
        <w:rPr>
          <w:rFonts w:hint="default" w:ascii="Times New Roman" w:hAnsi="Times New Roman" w:eastAsia="仿宋_GB2312" w:cs="Times New Roman"/>
          <w:color w:val="auto"/>
          <w:kern w:val="1"/>
          <w:sz w:val="32"/>
          <w:szCs w:val="32"/>
          <w:u w:val="none"/>
        </w:rPr>
        <w:t>。河道乱倒乱挖现象尚未杜绝，河长制工作需要持续强化。</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仿宋_GB2312" w:hAnsi="仿宋_GB2312" w:eastAsia="仿宋_GB2312" w:cs="仿宋_GB2312"/>
          <w:b/>
          <w:bCs/>
          <w:color w:val="auto"/>
          <w:sz w:val="32"/>
          <w:szCs w:val="32"/>
          <w:u w:val="none"/>
        </w:rPr>
      </w:pPr>
      <w:bookmarkStart w:id="13" w:name="_Toc119061563"/>
      <w:r>
        <w:rPr>
          <w:rFonts w:hint="default" w:ascii="仿宋_GB2312" w:hAnsi="仿宋_GB2312" w:eastAsia="仿宋_GB2312" w:cs="仿宋_GB2312"/>
          <w:b/>
          <w:bCs/>
          <w:color w:val="auto"/>
          <w:sz w:val="32"/>
          <w:szCs w:val="32"/>
          <w:u w:val="none"/>
        </w:rPr>
        <w:t>三、环境监管能力亟待提升</w:t>
      </w:r>
      <w:bookmarkEnd w:id="13"/>
    </w:p>
    <w:p>
      <w:pPr>
        <w:keepNext w:val="0"/>
        <w:keepLines w:val="0"/>
        <w:pageBreakBefore w:val="0"/>
        <w:widowControl w:val="0"/>
        <w:kinsoku/>
        <w:wordWrap/>
        <w:overflowPunct/>
        <w:topLinePunct w:val="0"/>
        <w:autoSpaceDE/>
        <w:autoSpaceDN/>
        <w:bidi w:val="0"/>
        <w:adjustRightInd/>
        <w:snapToGrid/>
        <w:spacing w:after="160" w:afterLines="50" w:line="560" w:lineRule="exact"/>
        <w:ind w:left="0" w:leftChars="0" w:firstLine="644" w:firstLineChars="200"/>
        <w:textAlignment w:val="auto"/>
        <w:rPr>
          <w:rFonts w:hint="default" w:ascii="Times New Roman" w:hAnsi="Times New Roman" w:eastAsia="黑体" w:cs="Times New Roman"/>
          <w:b w:val="0"/>
          <w:bCs w:val="0"/>
          <w:color w:val="auto"/>
          <w:kern w:val="2"/>
          <w:sz w:val="32"/>
          <w:szCs w:val="32"/>
          <w:u w:val="none"/>
          <w:lang w:val="en-US" w:eastAsia="zh-CN" w:bidi="ar-SA"/>
        </w:rPr>
      </w:pPr>
      <w:r>
        <w:rPr>
          <w:rFonts w:hint="default" w:ascii="Times New Roman" w:hAnsi="Times New Roman" w:eastAsia="仿宋_GB2312" w:cs="Times New Roman"/>
          <w:color w:val="auto"/>
          <w:kern w:val="1"/>
          <w:sz w:val="32"/>
          <w:szCs w:val="32"/>
          <w:u w:val="none"/>
        </w:rPr>
        <w:t>基层环境执法机构缺少移动执法、车辆、取证设备、现场快速检测设备、应急救援装备等，不能满足现场执法及应对环境突发事件应急处置工作的需求，执法工作保障与工作需要</w:t>
      </w:r>
      <w:r>
        <w:rPr>
          <w:rFonts w:hint="eastAsia" w:ascii="Times New Roman" w:hAnsi="Times New Roman" w:eastAsia="仿宋_GB2312" w:cs="Times New Roman"/>
          <w:color w:val="auto"/>
          <w:kern w:val="1"/>
          <w:sz w:val="32"/>
          <w:szCs w:val="32"/>
          <w:u w:val="none"/>
          <w:lang w:eastAsia="zh-CN"/>
        </w:rPr>
        <w:t>之间仍有</w:t>
      </w:r>
      <w:r>
        <w:rPr>
          <w:rFonts w:hint="default" w:ascii="Times New Roman" w:hAnsi="Times New Roman" w:eastAsia="仿宋_GB2312" w:cs="Times New Roman"/>
          <w:color w:val="auto"/>
          <w:kern w:val="1"/>
          <w:sz w:val="32"/>
          <w:szCs w:val="32"/>
          <w:u w:val="none"/>
        </w:rPr>
        <w:t>差距，执法队伍建设</w:t>
      </w:r>
      <w:r>
        <w:rPr>
          <w:rFonts w:hint="eastAsia" w:ascii="Times New Roman" w:hAnsi="Times New Roman" w:eastAsia="仿宋_GB2312" w:cs="Times New Roman"/>
          <w:color w:val="auto"/>
          <w:kern w:val="1"/>
          <w:sz w:val="32"/>
          <w:szCs w:val="32"/>
          <w:u w:val="none"/>
          <w:lang w:eastAsia="zh-CN"/>
        </w:rPr>
        <w:t>还</w:t>
      </w:r>
      <w:r>
        <w:rPr>
          <w:rFonts w:hint="default" w:ascii="Times New Roman" w:hAnsi="Times New Roman" w:eastAsia="仿宋_GB2312" w:cs="Times New Roman"/>
          <w:color w:val="auto"/>
          <w:kern w:val="1"/>
          <w:sz w:val="32"/>
          <w:szCs w:val="32"/>
          <w:u w:val="none"/>
          <w:lang w:eastAsia="zh-CN"/>
        </w:rPr>
        <w:t>需加强</w:t>
      </w:r>
      <w:r>
        <w:rPr>
          <w:rFonts w:hint="default" w:ascii="Times New Roman" w:hAnsi="Times New Roman" w:eastAsia="仿宋_GB2312" w:cs="Times New Roman"/>
          <w:color w:val="auto"/>
          <w:kern w:val="1"/>
          <w:sz w:val="32"/>
          <w:szCs w:val="32"/>
          <w:u w:val="none"/>
        </w:rPr>
        <w:t>。</w:t>
      </w:r>
      <w:bookmarkStart w:id="14" w:name="_Toc119061564"/>
    </w:p>
    <w:p>
      <w:pPr>
        <w:pStyle w:val="4"/>
        <w:keepNext/>
        <w:keepLines/>
        <w:pageBreakBefore w:val="0"/>
        <w:widowControl w:val="0"/>
        <w:kinsoku/>
        <w:wordWrap/>
        <w:overflowPunct/>
        <w:topLinePunct w:val="0"/>
        <w:autoSpaceDE/>
        <w:autoSpaceDN/>
        <w:bidi w:val="0"/>
        <w:adjustRightInd/>
        <w:snapToGrid/>
        <w:spacing w:before="0" w:after="160" w:afterLines="50" w:line="560" w:lineRule="exact"/>
        <w:ind w:left="0" w:leftChars="0"/>
        <w:jc w:val="center"/>
        <w:textAlignment w:val="auto"/>
        <w:rPr>
          <w:rFonts w:hint="default" w:ascii="Times New Roman" w:hAnsi="Times New Roman" w:eastAsia="仿宋_GB2312" w:cs="Times New Roman"/>
          <w:color w:val="auto"/>
          <w:kern w:val="1"/>
          <w:sz w:val="32"/>
          <w:szCs w:val="32"/>
          <w:u w:val="none"/>
        </w:rPr>
      </w:pPr>
      <w:r>
        <w:rPr>
          <w:rFonts w:hint="default" w:ascii="Times New Roman" w:hAnsi="Times New Roman" w:eastAsia="楷体_GB2312" w:cs="Times New Roman"/>
          <w:b/>
          <w:bCs/>
          <w:color w:val="auto"/>
          <w:kern w:val="2"/>
          <w:sz w:val="32"/>
          <w:szCs w:val="32"/>
          <w:u w:val="none"/>
          <w:lang w:val="en-US" w:eastAsia="zh-CN" w:bidi="ar-SA"/>
        </w:rPr>
        <w:t>第三节 挑战和机遇</w:t>
      </w:r>
      <w:bookmarkEnd w:id="14"/>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eastAsia" w:ascii="仿宋_GB2312" w:hAnsi="仿宋_GB2312" w:eastAsia="仿宋_GB2312" w:cs="仿宋_GB2312"/>
          <w:color w:val="auto"/>
          <w:kern w:val="1"/>
          <w:sz w:val="32"/>
          <w:szCs w:val="32"/>
          <w:u w:val="none"/>
        </w:rPr>
        <w:t>“十四五”时期，是</w:t>
      </w:r>
      <w:r>
        <w:rPr>
          <w:rFonts w:hint="default" w:ascii="Times New Roman" w:hAnsi="Times New Roman" w:eastAsia="仿宋_GB2312" w:cs="Times New Roman"/>
          <w:color w:val="auto"/>
          <w:kern w:val="1"/>
          <w:sz w:val="32"/>
          <w:szCs w:val="32"/>
          <w:u w:val="none"/>
          <w:lang w:val="en-US" w:eastAsia="zh-CN"/>
        </w:rPr>
        <w:t>红寺堡在全面建成小康社会的基础上，乘势而上开启全面建设社会主义现代化国家</w:t>
      </w:r>
      <w:bookmarkStart w:id="67" w:name="_GoBack"/>
      <w:bookmarkEnd w:id="67"/>
      <w:r>
        <w:rPr>
          <w:rFonts w:hint="default" w:ascii="Times New Roman" w:hAnsi="Times New Roman" w:eastAsia="仿宋_GB2312" w:cs="Times New Roman"/>
          <w:color w:val="auto"/>
          <w:kern w:val="1"/>
          <w:sz w:val="32"/>
          <w:szCs w:val="32"/>
          <w:u w:val="none"/>
          <w:lang w:val="en-US" w:eastAsia="zh-CN"/>
        </w:rPr>
        <w:t>新征程的关键时期</w:t>
      </w:r>
      <w:r>
        <w:rPr>
          <w:rFonts w:hint="default" w:ascii="Times New Roman" w:hAnsi="Times New Roman" w:eastAsia="仿宋_GB2312" w:cs="Times New Roman"/>
          <w:color w:val="auto"/>
          <w:kern w:val="1"/>
          <w:sz w:val="32"/>
          <w:szCs w:val="32"/>
          <w:u w:val="none"/>
        </w:rPr>
        <w:t>，</w:t>
      </w:r>
      <w:r>
        <w:rPr>
          <w:rFonts w:hint="default" w:ascii="Times New Roman" w:hAnsi="Times New Roman" w:eastAsia="仿宋_GB2312" w:cs="Times New Roman"/>
          <w:color w:val="auto"/>
          <w:sz w:val="32"/>
          <w:szCs w:val="32"/>
          <w:u w:val="none"/>
        </w:rPr>
        <w:t>习近平总书记调研黄河流域生态保护和高质量发展时，做出重要指示，为我们持续改善生态环境、建设现代化美丽城镇提供了方向指引和前进动力。</w:t>
      </w:r>
      <w:bookmarkStart w:id="15" w:name="_Toc119061565"/>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仿宋_GB2312" w:hAnsi="仿宋_GB2312" w:eastAsia="仿宋_GB2312" w:cs="仿宋_GB2312"/>
          <w:b/>
          <w:bCs/>
          <w:color w:val="auto"/>
          <w:sz w:val="32"/>
          <w:szCs w:val="32"/>
          <w:u w:val="none"/>
        </w:rPr>
      </w:pPr>
      <w:r>
        <w:rPr>
          <w:rFonts w:hint="default" w:ascii="仿宋_GB2312" w:hAnsi="仿宋_GB2312" w:eastAsia="仿宋_GB2312" w:cs="仿宋_GB2312"/>
          <w:b/>
          <w:bCs/>
          <w:color w:val="auto"/>
          <w:sz w:val="32"/>
          <w:szCs w:val="32"/>
          <w:u w:val="none"/>
        </w:rPr>
        <w:t>一、主要挑战</w:t>
      </w:r>
      <w:bookmarkEnd w:id="15"/>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shd w:val="clear"/>
        </w:rPr>
      </w:pPr>
      <w:r>
        <w:rPr>
          <w:rFonts w:hint="default" w:ascii="Times New Roman" w:hAnsi="Times New Roman" w:eastAsia="仿宋_GB2312" w:cs="Times New Roman"/>
          <w:color w:val="auto"/>
          <w:sz w:val="32"/>
          <w:szCs w:val="32"/>
          <w:u w:val="none"/>
        </w:rPr>
        <w:t>必须清晰地看到，红寺堡区经济社会发展面临着一些困难和制约因素，与人民群众对美好生活</w:t>
      </w:r>
      <w:r>
        <w:rPr>
          <w:rFonts w:hint="eastAsia" w:ascii="Times New Roman" w:hAnsi="Times New Roman" w:eastAsia="仿宋_GB2312" w:cs="Times New Roman"/>
          <w:color w:val="auto"/>
          <w:sz w:val="32"/>
          <w:szCs w:val="32"/>
          <w:u w:val="none"/>
          <w:lang w:eastAsia="zh-CN"/>
        </w:rPr>
        <w:t>的</w:t>
      </w:r>
      <w:r>
        <w:rPr>
          <w:rFonts w:hint="default" w:ascii="Times New Roman" w:hAnsi="Times New Roman" w:eastAsia="仿宋_GB2312" w:cs="Times New Roman"/>
          <w:color w:val="auto"/>
          <w:sz w:val="32"/>
          <w:szCs w:val="32"/>
          <w:u w:val="none"/>
        </w:rPr>
        <w:t>期望，与全国、</w:t>
      </w:r>
      <w:r>
        <w:rPr>
          <w:rFonts w:hint="default" w:ascii="Times New Roman" w:hAnsi="Times New Roman" w:eastAsia="仿宋_GB2312" w:cs="Times New Roman"/>
          <w:color w:val="auto"/>
          <w:sz w:val="32"/>
          <w:szCs w:val="32"/>
          <w:u w:val="none"/>
          <w:lang w:eastAsia="zh-CN"/>
        </w:rPr>
        <w:t>全区</w:t>
      </w:r>
      <w:r>
        <w:rPr>
          <w:rFonts w:hint="default" w:ascii="Times New Roman" w:hAnsi="Times New Roman" w:eastAsia="仿宋_GB2312" w:cs="Times New Roman"/>
          <w:color w:val="auto"/>
          <w:sz w:val="32"/>
          <w:szCs w:val="32"/>
          <w:u w:val="none"/>
        </w:rPr>
        <w:t>整体发展相比，仍</w:t>
      </w:r>
      <w:r>
        <w:rPr>
          <w:rFonts w:hint="eastAsia" w:ascii="Times New Roman" w:hAnsi="Times New Roman" w:eastAsia="仿宋_GB2312" w:cs="Times New Roman"/>
          <w:color w:val="auto"/>
          <w:sz w:val="32"/>
          <w:szCs w:val="32"/>
          <w:u w:val="none"/>
          <w:lang w:eastAsia="zh-CN"/>
        </w:rPr>
        <w:t>存在</w:t>
      </w:r>
      <w:r>
        <w:rPr>
          <w:rFonts w:hint="default" w:ascii="Times New Roman" w:hAnsi="Times New Roman" w:eastAsia="仿宋_GB2312" w:cs="Times New Roman"/>
          <w:color w:val="auto"/>
          <w:sz w:val="32"/>
          <w:szCs w:val="32"/>
          <w:u w:val="none"/>
        </w:rPr>
        <w:t>差距。</w:t>
      </w:r>
      <w:r>
        <w:rPr>
          <w:rFonts w:hint="default" w:ascii="Times New Roman" w:hAnsi="Times New Roman" w:eastAsia="仿宋_GB2312" w:cs="Times New Roman"/>
          <w:color w:val="auto"/>
          <w:sz w:val="32"/>
          <w:szCs w:val="32"/>
          <w:u w:val="none"/>
          <w:shd w:val="clear"/>
        </w:rPr>
        <w:t>作为支撑和保障经济社会发展的生态环境建设和治理，</w:t>
      </w:r>
      <w:r>
        <w:rPr>
          <w:rFonts w:hint="eastAsia" w:ascii="Times New Roman" w:hAnsi="Times New Roman" w:eastAsia="仿宋_GB2312" w:cs="Times New Roman"/>
          <w:color w:val="auto"/>
          <w:sz w:val="32"/>
          <w:szCs w:val="32"/>
          <w:u w:val="none"/>
          <w:shd w:val="clear"/>
          <w:lang w:eastAsia="zh-CN"/>
        </w:rPr>
        <w:t>也</w:t>
      </w:r>
      <w:r>
        <w:rPr>
          <w:rFonts w:hint="default" w:ascii="Times New Roman" w:hAnsi="Times New Roman" w:eastAsia="仿宋_GB2312" w:cs="Times New Roman"/>
          <w:color w:val="auto"/>
          <w:sz w:val="32"/>
          <w:szCs w:val="32"/>
          <w:u w:val="none"/>
          <w:shd w:val="clear"/>
        </w:rPr>
        <w:t>相应地面临严峻挑战。</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仿宋_GB2312" w:hAnsi="仿宋_GB2312" w:eastAsia="仿宋_GB2312" w:cs="仿宋_GB2312"/>
          <w:b/>
          <w:bCs/>
          <w:color w:val="auto"/>
          <w:sz w:val="32"/>
          <w:szCs w:val="32"/>
          <w:u w:val="none"/>
          <w:lang w:val="en-US" w:eastAsia="zh-CN"/>
        </w:rPr>
      </w:pPr>
      <w:r>
        <w:rPr>
          <w:rFonts w:hint="default" w:ascii="仿宋_GB2312" w:hAnsi="仿宋_GB2312" w:eastAsia="仿宋_GB2312" w:cs="仿宋_GB2312"/>
          <w:b/>
          <w:bCs/>
          <w:color w:val="auto"/>
          <w:sz w:val="32"/>
          <w:szCs w:val="32"/>
          <w:u w:val="none"/>
          <w:lang w:val="en-US" w:eastAsia="zh-CN"/>
        </w:rPr>
        <w:t>（一）生态环境基础条件</w:t>
      </w:r>
      <w:r>
        <w:rPr>
          <w:rFonts w:hint="eastAsia" w:ascii="仿宋_GB2312" w:hAnsi="仿宋_GB2312" w:eastAsia="仿宋_GB2312" w:cs="仿宋_GB2312"/>
          <w:b/>
          <w:bCs/>
          <w:color w:val="auto"/>
          <w:sz w:val="32"/>
          <w:szCs w:val="32"/>
          <w:u w:val="none"/>
          <w:lang w:val="en-US" w:eastAsia="zh-CN"/>
        </w:rPr>
        <w:t>薄弱</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红寺堡区</w:t>
      </w:r>
      <w:r>
        <w:rPr>
          <w:rFonts w:hint="default" w:ascii="Times New Roman" w:hAnsi="Times New Roman" w:eastAsia="仿宋_GB2312" w:cs="Times New Roman"/>
          <w:color w:val="auto"/>
          <w:sz w:val="32"/>
          <w:szCs w:val="32"/>
          <w:u w:val="none"/>
          <w:lang w:eastAsia="zh-CN"/>
        </w:rPr>
        <w:t>地处宁夏中部干旱带核心区</w:t>
      </w:r>
      <w:r>
        <w:rPr>
          <w:rFonts w:hint="default" w:ascii="Times New Roman" w:hAnsi="Times New Roman" w:eastAsia="仿宋_GB2312" w:cs="Times New Roman"/>
          <w:color w:val="auto"/>
          <w:sz w:val="32"/>
          <w:szCs w:val="32"/>
          <w:u w:val="none"/>
        </w:rPr>
        <w:t>，生态环境本底脆弱，资源环境承载力有限，生态系统和环境本底结构性、根源性、趋势性压力凸显，资源环境约束加剧，罗山四周缓冲区、沙丘荒漠区生态</w:t>
      </w:r>
      <w:r>
        <w:rPr>
          <w:rFonts w:hint="eastAsia" w:ascii="Times New Roman" w:hAnsi="Times New Roman" w:eastAsia="仿宋_GB2312" w:cs="Times New Roman"/>
          <w:color w:val="auto"/>
          <w:sz w:val="32"/>
          <w:szCs w:val="32"/>
          <w:u w:val="none"/>
          <w:lang w:eastAsia="zh-CN"/>
        </w:rPr>
        <w:t>较为</w:t>
      </w:r>
      <w:r>
        <w:rPr>
          <w:rFonts w:hint="default" w:ascii="Times New Roman" w:hAnsi="Times New Roman" w:eastAsia="仿宋_GB2312" w:cs="Times New Roman"/>
          <w:color w:val="auto"/>
          <w:sz w:val="32"/>
          <w:szCs w:val="32"/>
          <w:u w:val="none"/>
        </w:rPr>
        <w:t>脆弱</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生态修复治理任重道远。城乡生态环境保护基础设施短板多，公共服务发展相对</w:t>
      </w:r>
      <w:r>
        <w:rPr>
          <w:rFonts w:hint="eastAsia" w:ascii="Times New Roman" w:hAnsi="Times New Roman" w:eastAsia="仿宋_GB2312" w:cs="Times New Roman"/>
          <w:color w:val="auto"/>
          <w:sz w:val="32"/>
          <w:szCs w:val="32"/>
          <w:u w:val="none"/>
          <w:lang w:eastAsia="zh-CN"/>
        </w:rPr>
        <w:t>不足</w:t>
      </w:r>
      <w:r>
        <w:rPr>
          <w:rFonts w:hint="default" w:ascii="Times New Roman" w:hAnsi="Times New Roman" w:eastAsia="仿宋_GB2312" w:cs="Times New Roman"/>
          <w:color w:val="auto"/>
          <w:sz w:val="32"/>
          <w:szCs w:val="32"/>
          <w:u w:val="none"/>
        </w:rPr>
        <w:t>，尤其是供水、供暖等市政管网老化</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农村生活污水、垃圾处理设施不完善，防灾减灾体系不健全，社会治理难度大。</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仿宋_GB2312" w:hAnsi="仿宋_GB2312" w:eastAsia="仿宋_GB2312" w:cs="仿宋_GB2312"/>
          <w:b/>
          <w:bCs/>
          <w:color w:val="auto"/>
          <w:sz w:val="32"/>
          <w:szCs w:val="32"/>
          <w:u w:val="none"/>
          <w:lang w:val="en-US" w:eastAsia="zh-CN"/>
        </w:rPr>
      </w:pPr>
      <w:r>
        <w:rPr>
          <w:rFonts w:hint="default" w:ascii="仿宋_GB2312" w:hAnsi="仿宋_GB2312" w:eastAsia="仿宋_GB2312" w:cs="仿宋_GB2312"/>
          <w:b/>
          <w:bCs/>
          <w:color w:val="auto"/>
          <w:sz w:val="32"/>
          <w:szCs w:val="32"/>
          <w:u w:val="none"/>
          <w:lang w:val="en-US" w:eastAsia="zh-CN"/>
        </w:rPr>
        <w:t>（二）生态环保发展的支撑能力薄弱</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红寺堡区开发建设晚，基础差、底子薄，人才资源缺乏，产业结构</w:t>
      </w:r>
      <w:r>
        <w:rPr>
          <w:rFonts w:hint="eastAsia" w:ascii="Times New Roman" w:hAnsi="Times New Roman" w:eastAsia="仿宋_GB2312" w:cs="Times New Roman"/>
          <w:color w:val="auto"/>
          <w:sz w:val="32"/>
          <w:szCs w:val="32"/>
          <w:u w:val="none"/>
          <w:lang w:eastAsia="zh-CN"/>
        </w:rPr>
        <w:t>不均衡</w:t>
      </w:r>
      <w:r>
        <w:rPr>
          <w:rFonts w:hint="default" w:ascii="Times New Roman" w:hAnsi="Times New Roman" w:eastAsia="仿宋_GB2312" w:cs="Times New Roman"/>
          <w:color w:val="auto"/>
          <w:sz w:val="32"/>
          <w:szCs w:val="32"/>
          <w:u w:val="none"/>
        </w:rPr>
        <w:t>、链条短，市场主体活力不强，自主创新能力弱，发展后劲不足</w:t>
      </w:r>
      <w:r>
        <w:rPr>
          <w:rFonts w:hint="eastAsia" w:ascii="仿宋_GB2312" w:hAnsi="仿宋_GB2312" w:eastAsia="仿宋_GB2312" w:cs="仿宋_GB2312"/>
          <w:color w:val="auto"/>
          <w:sz w:val="32"/>
          <w:szCs w:val="32"/>
          <w:u w:val="none"/>
        </w:rPr>
        <w:t>。“十四五”</w:t>
      </w:r>
      <w:r>
        <w:rPr>
          <w:rFonts w:hint="default" w:ascii="Times New Roman" w:hAnsi="Times New Roman" w:eastAsia="仿宋_GB2312" w:cs="Times New Roman"/>
          <w:color w:val="auto"/>
          <w:sz w:val="32"/>
          <w:szCs w:val="32"/>
          <w:u w:val="none"/>
        </w:rPr>
        <w:t>时期面临的经济社会发展形势更加严峻复杂，新冠肺炎疫情的影响尚</w:t>
      </w:r>
      <w:r>
        <w:rPr>
          <w:rFonts w:hint="default" w:ascii="Times New Roman" w:hAnsi="Times New Roman" w:eastAsia="仿宋_GB2312" w:cs="Times New Roman"/>
          <w:color w:val="auto"/>
          <w:sz w:val="32"/>
          <w:szCs w:val="32"/>
          <w:u w:val="none"/>
          <w:lang w:eastAsia="zh-CN"/>
        </w:rPr>
        <w:t>仍在持续</w:t>
      </w:r>
      <w:r>
        <w:rPr>
          <w:rFonts w:hint="default" w:ascii="Times New Roman" w:hAnsi="Times New Roman" w:eastAsia="仿宋_GB2312" w:cs="Times New Roman"/>
          <w:color w:val="auto"/>
          <w:sz w:val="32"/>
          <w:szCs w:val="32"/>
          <w:u w:val="none"/>
        </w:rPr>
        <w:t>，经济下行压力依然存在，城乡发展、产业发展不平衡</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不充分问题仍然突出。生态修复和环境保护投入能力弱，保障和支撑社会经济发展的自然生态和环境资源薄弱的格局没有根本改变。</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仿宋_GB2312" w:hAnsi="仿宋_GB2312" w:eastAsia="仿宋_GB2312" w:cs="仿宋_GB2312"/>
          <w:b/>
          <w:bCs/>
          <w:color w:val="auto"/>
          <w:sz w:val="32"/>
          <w:szCs w:val="32"/>
          <w:u w:val="none"/>
          <w:lang w:val="en-US" w:eastAsia="zh-CN"/>
        </w:rPr>
      </w:pPr>
      <w:r>
        <w:rPr>
          <w:rFonts w:hint="default" w:ascii="仿宋_GB2312" w:hAnsi="仿宋_GB2312" w:eastAsia="仿宋_GB2312" w:cs="仿宋_GB2312"/>
          <w:b/>
          <w:bCs/>
          <w:color w:val="auto"/>
          <w:sz w:val="32"/>
          <w:szCs w:val="32"/>
          <w:u w:val="none"/>
          <w:lang w:val="en-US" w:eastAsia="zh-CN"/>
        </w:rPr>
        <w:t>（三）</w:t>
      </w:r>
      <w:r>
        <w:rPr>
          <w:rFonts w:hint="eastAsia" w:ascii="仿宋_GB2312" w:hAnsi="仿宋_GB2312" w:eastAsia="仿宋_GB2312" w:cs="仿宋_GB2312"/>
          <w:b/>
          <w:bCs/>
          <w:color w:val="auto"/>
          <w:sz w:val="32"/>
          <w:szCs w:val="32"/>
          <w:u w:val="none"/>
          <w:lang w:val="en-US" w:eastAsia="zh-CN"/>
        </w:rPr>
        <w:t>生态文明建设推动高质量发展的后劲不足</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红寺堡区推动生态文明建设发展，与新阶段加快绿色发展的要求相比还有较大差距。能耗增长和排污增加趋势已经初步显现，减污降碳</w:t>
      </w:r>
      <w:r>
        <w:rPr>
          <w:rFonts w:hint="default" w:ascii="Times New Roman" w:hAnsi="Times New Roman" w:eastAsia="仿宋_GB2312" w:cs="Times New Roman"/>
          <w:color w:val="auto"/>
          <w:sz w:val="32"/>
          <w:szCs w:val="32"/>
          <w:u w:val="none"/>
          <w:lang w:eastAsia="zh-CN"/>
        </w:rPr>
        <w:t>、绿色发展</w:t>
      </w:r>
      <w:r>
        <w:rPr>
          <w:rFonts w:hint="default" w:ascii="Times New Roman" w:hAnsi="Times New Roman" w:eastAsia="仿宋_GB2312" w:cs="Times New Roman"/>
          <w:color w:val="auto"/>
          <w:sz w:val="32"/>
          <w:szCs w:val="32"/>
          <w:u w:val="none"/>
        </w:rPr>
        <w:t>任务十分繁重，统筹经济社会发展和生态环境保护的难度相应增加，防范和化解重大生态环境风险的压力剧增。</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仿宋_GB2312" w:hAnsi="仿宋_GB2312" w:eastAsia="仿宋_GB2312" w:cs="仿宋_GB2312"/>
          <w:b/>
          <w:bCs/>
          <w:color w:val="auto"/>
          <w:sz w:val="32"/>
          <w:szCs w:val="32"/>
          <w:u w:val="none"/>
        </w:rPr>
      </w:pPr>
      <w:bookmarkStart w:id="16" w:name="_Toc119061566"/>
      <w:r>
        <w:rPr>
          <w:rFonts w:hint="default" w:ascii="仿宋_GB2312" w:hAnsi="仿宋_GB2312" w:eastAsia="仿宋_GB2312" w:cs="仿宋_GB2312"/>
          <w:b/>
          <w:bCs/>
          <w:color w:val="auto"/>
          <w:sz w:val="32"/>
          <w:szCs w:val="32"/>
          <w:u w:val="none"/>
        </w:rPr>
        <w:t>二、面临机遇</w:t>
      </w:r>
      <w:bookmarkEnd w:id="16"/>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2020年6月，习近平总书记视察</w:t>
      </w:r>
      <w:r>
        <w:rPr>
          <w:rFonts w:hint="default" w:ascii="Times New Roman" w:hAnsi="Times New Roman" w:eastAsia="仿宋_GB2312" w:cs="Times New Roman"/>
          <w:color w:val="auto"/>
          <w:sz w:val="32"/>
          <w:szCs w:val="32"/>
          <w:u w:val="none"/>
          <w:lang w:eastAsia="zh-CN"/>
        </w:rPr>
        <w:t>宁夏</w:t>
      </w:r>
      <w:r>
        <w:rPr>
          <w:rFonts w:hint="default" w:ascii="Times New Roman" w:hAnsi="Times New Roman" w:eastAsia="仿宋_GB2312" w:cs="Times New Roman"/>
          <w:color w:val="auto"/>
          <w:sz w:val="32"/>
          <w:szCs w:val="32"/>
          <w:u w:val="none"/>
        </w:rPr>
        <w:t>时要求我们抓好生态环境保护，守好改善生态环境生命线，并赋予宁夏建设黄河流域生态保护和高质量发展先行区的时代新使命，为我们提供了根本遵循，指明了前进方向，</w:t>
      </w:r>
      <w:r>
        <w:rPr>
          <w:rFonts w:hint="eastAsia" w:ascii="Times New Roman" w:hAnsi="Times New Roman" w:eastAsia="仿宋_GB2312" w:cs="Times New Roman"/>
          <w:color w:val="auto"/>
          <w:sz w:val="32"/>
          <w:szCs w:val="32"/>
          <w:u w:val="none"/>
          <w:lang w:eastAsia="zh-CN"/>
        </w:rPr>
        <w:t>坚定</w:t>
      </w:r>
      <w:r>
        <w:rPr>
          <w:rFonts w:hint="default" w:ascii="Times New Roman" w:hAnsi="Times New Roman" w:eastAsia="仿宋_GB2312" w:cs="Times New Roman"/>
          <w:color w:val="auto"/>
          <w:sz w:val="32"/>
          <w:szCs w:val="32"/>
          <w:u w:val="none"/>
        </w:rPr>
        <w:t>了工作信心，成为做好</w:t>
      </w:r>
      <w:r>
        <w:rPr>
          <w:rFonts w:hint="eastAsia" w:ascii="仿宋_GB2312" w:hAnsi="仿宋_GB2312" w:eastAsia="仿宋_GB2312" w:cs="仿宋_GB2312"/>
          <w:color w:val="auto"/>
          <w:sz w:val="32"/>
          <w:szCs w:val="32"/>
          <w:u w:val="none"/>
        </w:rPr>
        <w:t>“十四五”生</w:t>
      </w:r>
      <w:r>
        <w:rPr>
          <w:rFonts w:hint="default" w:ascii="Times New Roman" w:hAnsi="Times New Roman" w:eastAsia="仿宋_GB2312" w:cs="Times New Roman"/>
          <w:color w:val="auto"/>
          <w:sz w:val="32"/>
          <w:szCs w:val="32"/>
          <w:u w:val="none"/>
        </w:rPr>
        <w:t>态环境保护工作的最大动力。</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仿宋_GB2312" w:hAnsi="仿宋_GB2312" w:eastAsia="仿宋_GB2312" w:cs="仿宋_GB2312"/>
          <w:b/>
          <w:bCs/>
          <w:color w:val="auto"/>
          <w:sz w:val="32"/>
          <w:szCs w:val="32"/>
          <w:u w:val="none"/>
        </w:rPr>
      </w:pPr>
      <w:r>
        <w:rPr>
          <w:rFonts w:hint="default" w:ascii="Times New Roman" w:hAnsi="Times New Roman" w:eastAsia="仿宋_GB2312" w:cs="Times New Roman"/>
          <w:b/>
          <w:bCs/>
          <w:color w:val="auto"/>
          <w:sz w:val="32"/>
          <w:szCs w:val="32"/>
          <w:u w:val="none"/>
        </w:rPr>
        <w:t>（一）</w:t>
      </w:r>
      <w:r>
        <w:rPr>
          <w:rFonts w:hint="default" w:ascii="仿宋_GB2312" w:hAnsi="仿宋_GB2312" w:eastAsia="仿宋_GB2312" w:cs="仿宋_GB2312"/>
          <w:b/>
          <w:bCs/>
          <w:color w:val="auto"/>
          <w:sz w:val="32"/>
          <w:szCs w:val="32"/>
          <w:u w:val="none"/>
        </w:rPr>
        <w:t>国内经济社会发展形势依然向好</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我国已进入新发展阶段，制度优势更加凸显，治理效能大幅提升，经济长期向好，市场空间广阔，继续发展具有多方面的优势和条件，产业发展和基础设施不断完善，综合国力持续增强。</w:t>
      </w:r>
      <w:r>
        <w:rPr>
          <w:rFonts w:hint="eastAsia" w:ascii="仿宋_GB2312" w:hAnsi="仿宋_GB2312" w:eastAsia="仿宋_GB2312" w:cs="仿宋_GB2312"/>
          <w:color w:val="auto"/>
          <w:sz w:val="32"/>
          <w:szCs w:val="32"/>
          <w:u w:val="none"/>
        </w:rPr>
        <w:t>“十四五”时期，</w:t>
      </w:r>
      <w:r>
        <w:rPr>
          <w:rFonts w:hint="default" w:ascii="Times New Roman" w:hAnsi="Times New Roman" w:eastAsia="仿宋_GB2312" w:cs="Times New Roman"/>
          <w:color w:val="auto"/>
          <w:sz w:val="32"/>
          <w:szCs w:val="32"/>
          <w:u w:val="none"/>
        </w:rPr>
        <w:t>在新一轮改革开放推动下，我国经济韧性十足，潜能巨大。党和国家对继续打好污染防治攻坚战、持续改善环境质量作出了新的重大部署，能耗双控、碳达峰碳中和、积极应对气候变化</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乡村振兴、黄河流域生态保护和高质量发展等国家重大战略的实施，尤其是国家支持宁夏建设黄河流域生态保护和高质量发展先行区，为红寺堡区进一步加强生态环境保护和推进绿色转型带来新的机遇。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w:t>
      </w:r>
      <w:r>
        <w:rPr>
          <w:rFonts w:hint="eastAsia" w:ascii="Times New Roman" w:hAnsi="Times New Roman" w:eastAsia="仿宋_GB2312" w:cs="Times New Roman"/>
          <w:b/>
          <w:bCs/>
          <w:color w:val="auto"/>
          <w:sz w:val="32"/>
          <w:szCs w:val="32"/>
          <w:u w:val="none"/>
          <w:lang w:eastAsia="zh-CN"/>
        </w:rPr>
        <w:t>二</w:t>
      </w:r>
      <w:r>
        <w:rPr>
          <w:rFonts w:hint="default" w:ascii="Times New Roman" w:hAnsi="Times New Roman" w:eastAsia="仿宋_GB2312" w:cs="Times New Roman"/>
          <w:b/>
          <w:bCs/>
          <w:color w:val="auto"/>
          <w:sz w:val="32"/>
          <w:szCs w:val="32"/>
          <w:u w:val="none"/>
        </w:rPr>
        <w:t>）区市生态环境保护发展机遇叠加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自治区党委、政府牢记总书记殷切嘱托，勇担历史使命，全面贯彻落实党中央、国务院决策部署，出台了《关于建设黄河流域生态保护和高质量发展先行区的实施意见》</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作出了守好生态环境改善生命线的重大部署。自治区生态环境厅、农业农村厅等部门，先后出台了支持红寺堡区创建全国易地搬迁移民致富提升示范区的各项举措。黄河黑山峡河段开发、陕甘宁革命老区供水工程，银昆高速、太中银铁路扩能改造</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盐同红集中连片区域协同发展等重大项目的实施为红寺堡区培育壮大发展新动能、加快基础设施建设、统筹城乡发展、补齐公共服务短板提供</w:t>
      </w:r>
      <w:r>
        <w:rPr>
          <w:rFonts w:hint="eastAsia" w:ascii="Times New Roman" w:hAnsi="Times New Roman" w:eastAsia="仿宋_GB2312" w:cs="Times New Roman"/>
          <w:color w:val="auto"/>
          <w:sz w:val="32"/>
          <w:szCs w:val="32"/>
          <w:u w:val="none"/>
          <w:lang w:eastAsia="zh-CN"/>
        </w:rPr>
        <w:t>了</w:t>
      </w:r>
      <w:r>
        <w:rPr>
          <w:rFonts w:hint="default" w:ascii="Times New Roman" w:hAnsi="Times New Roman" w:eastAsia="仿宋_GB2312" w:cs="Times New Roman"/>
          <w:color w:val="auto"/>
          <w:sz w:val="32"/>
          <w:szCs w:val="32"/>
          <w:u w:val="none"/>
        </w:rPr>
        <w:t>重大机遇。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w:t>
      </w:r>
      <w:r>
        <w:rPr>
          <w:rFonts w:hint="eastAsia" w:ascii="Times New Roman" w:hAnsi="Times New Roman" w:eastAsia="仿宋_GB2312" w:cs="Times New Roman"/>
          <w:b/>
          <w:bCs/>
          <w:color w:val="auto"/>
          <w:sz w:val="32"/>
          <w:szCs w:val="32"/>
          <w:u w:val="none"/>
          <w:lang w:eastAsia="zh-CN"/>
        </w:rPr>
        <w:t>三</w:t>
      </w:r>
      <w:r>
        <w:rPr>
          <w:rFonts w:hint="default" w:ascii="Times New Roman" w:hAnsi="Times New Roman" w:eastAsia="仿宋_GB2312" w:cs="Times New Roman"/>
          <w:b/>
          <w:bCs/>
          <w:color w:val="auto"/>
          <w:sz w:val="32"/>
          <w:szCs w:val="32"/>
          <w:u w:val="none"/>
        </w:rPr>
        <w:t>）红寺堡区生态环境保护面临良好机遇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我区既是陕甘宁革命老区的重要门户</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又是宁夏承东启西、连南接北的重要交通枢纽，党和国家推进西部大开发形成新格局</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在西部地区脱贫县中集中支持一批乡村振兴重点帮扶县，自治区大力支持红寺堡</w:t>
      </w:r>
      <w:r>
        <w:rPr>
          <w:rFonts w:hint="default" w:ascii="Times New Roman" w:hAnsi="Times New Roman" w:eastAsia="仿宋_GB2312" w:cs="Times New Roman"/>
          <w:color w:val="auto"/>
          <w:sz w:val="32"/>
          <w:szCs w:val="32"/>
          <w:u w:val="none"/>
          <w:lang w:eastAsia="zh-CN"/>
        </w:rPr>
        <w:t>区创建</w:t>
      </w:r>
      <w:r>
        <w:rPr>
          <w:rFonts w:hint="default" w:ascii="Times New Roman" w:hAnsi="Times New Roman" w:eastAsia="仿宋_GB2312" w:cs="Times New Roman"/>
          <w:color w:val="auto"/>
          <w:sz w:val="32"/>
          <w:szCs w:val="32"/>
          <w:u w:val="none"/>
        </w:rPr>
        <w:t>全国易地搬迁移民致富提升示范区，为红寺堡区的发展带来了千载难逢的重大机遇。红寺堡区委、政府深入贯彻习近平生态文明思想，全面落实党中央、国务院和自治区党委、政府决策部署，推动生态文明建设取得积极成效，重大生态保护和修复工程加快推进，绿色低碳的新发展理念和生态文明观深入落实，</w:t>
      </w:r>
      <w:r>
        <w:rPr>
          <w:rFonts w:hint="eastAsia" w:ascii="仿宋_GB2312" w:hAnsi="仿宋_GB2312" w:eastAsia="仿宋_GB2312" w:cs="仿宋_GB2312"/>
          <w:color w:val="auto"/>
          <w:sz w:val="32"/>
          <w:szCs w:val="32"/>
          <w:u w:val="none"/>
        </w:rPr>
        <w:t>为“十四五”生态</w:t>
      </w:r>
      <w:r>
        <w:rPr>
          <w:rFonts w:hint="default" w:ascii="Times New Roman" w:hAnsi="Times New Roman" w:eastAsia="仿宋_GB2312" w:cs="Times New Roman"/>
          <w:color w:val="auto"/>
          <w:sz w:val="32"/>
          <w:szCs w:val="32"/>
          <w:u w:val="none"/>
        </w:rPr>
        <w:t>环境持续改善提供了坚实保障和良好机遇。</w:t>
      </w:r>
    </w:p>
    <w:p>
      <w:pPr>
        <w:keepNext w:val="0"/>
        <w:keepLines w:val="0"/>
        <w:pageBreakBefore w:val="0"/>
        <w:widowControl w:val="0"/>
        <w:kinsoku/>
        <w:wordWrap/>
        <w:overflowPunct/>
        <w:topLinePunct w:val="0"/>
        <w:autoSpaceDE/>
        <w:autoSpaceDN/>
        <w:bidi w:val="0"/>
        <w:adjustRightInd/>
        <w:snapToGrid/>
        <w:spacing w:line="560" w:lineRule="exact"/>
        <w:ind w:firstLine="644" w:firstLineChars="200"/>
        <w:textAlignment w:val="auto"/>
        <w:rPr>
          <w:rFonts w:hint="default"/>
        </w:rPr>
      </w:pPr>
      <w:r>
        <w:rPr>
          <w:rFonts w:hint="eastAsia" w:ascii="仿宋_GB2312" w:hAnsi="仿宋_GB2312" w:eastAsia="仿宋_GB2312" w:cs="仿宋_GB2312"/>
          <w:color w:val="auto"/>
          <w:sz w:val="32"/>
          <w:szCs w:val="32"/>
          <w:u w:val="none"/>
        </w:rPr>
        <w:t>面向“十四五”，红寺堡区生态环</w:t>
      </w:r>
      <w:r>
        <w:rPr>
          <w:rFonts w:hint="default" w:ascii="Times New Roman" w:hAnsi="Times New Roman" w:eastAsia="仿宋_GB2312" w:cs="Times New Roman"/>
          <w:color w:val="auto"/>
          <w:sz w:val="32"/>
          <w:szCs w:val="32"/>
          <w:u w:val="none"/>
        </w:rPr>
        <w:t>境保护工作挑战与机遇</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压力与动力并存。面对诸多困难和挑战，必须主动作为，踔厉奋进，勇于承担新时代赋予的新使命，切实增强使命感、责任感和紧迫感，坚持问题导向，坚持以人民为中心的发展思想，以改革创新精神破解生态环境保护面临的发展难题，真抓实干，努力开创红寺堡</w:t>
      </w:r>
      <w:r>
        <w:rPr>
          <w:rFonts w:hint="default" w:ascii="Times New Roman" w:hAnsi="Times New Roman" w:eastAsia="仿宋_GB2312" w:cs="Times New Roman"/>
          <w:color w:val="auto"/>
          <w:sz w:val="32"/>
          <w:szCs w:val="32"/>
          <w:u w:val="none"/>
          <w:lang w:eastAsia="zh-CN"/>
        </w:rPr>
        <w:t>区</w:t>
      </w:r>
      <w:r>
        <w:rPr>
          <w:rFonts w:hint="default" w:ascii="Times New Roman" w:hAnsi="Times New Roman" w:eastAsia="仿宋_GB2312" w:cs="Times New Roman"/>
          <w:color w:val="auto"/>
          <w:sz w:val="32"/>
          <w:szCs w:val="32"/>
          <w:u w:val="none"/>
        </w:rPr>
        <w:t>生态修复和环境保护新局面。</w:t>
      </w:r>
      <w:bookmarkStart w:id="17" w:name="_Toc119061567"/>
    </w:p>
    <w:p>
      <w:pPr>
        <w:keepNext w:val="0"/>
        <w:keepLines w:val="0"/>
        <w:pageBreakBefore w:val="0"/>
        <w:widowControl w:val="0"/>
        <w:kinsoku/>
        <w:wordWrap/>
        <w:overflowPunct/>
        <w:topLinePunct w:val="0"/>
        <w:autoSpaceDE/>
        <w:autoSpaceDN/>
        <w:bidi w:val="0"/>
        <w:adjustRightInd/>
        <w:snapToGrid/>
        <w:spacing w:before="318" w:beforeLines="100" w:after="160" w:afterLines="50" w:line="560" w:lineRule="exact"/>
        <w:ind w:left="0" w:leftChars="0" w:firstLine="644" w:firstLineChars="200"/>
        <w:jc w:val="center"/>
        <w:textAlignment w:val="auto"/>
        <w:rPr>
          <w:rFonts w:hint="default" w:ascii="Times New Roman" w:hAnsi="Times New Roman" w:eastAsia="楷体_GB2312" w:cs="Times New Roman"/>
          <w:b/>
          <w:bCs/>
          <w:color w:val="auto"/>
          <w:kern w:val="2"/>
          <w:sz w:val="32"/>
          <w:szCs w:val="32"/>
          <w:u w:val="none"/>
          <w:lang w:val="en-US" w:eastAsia="zh-CN" w:bidi="ar-SA"/>
        </w:rPr>
      </w:pPr>
      <w:r>
        <w:rPr>
          <w:rFonts w:hint="default" w:ascii="Times New Roman" w:hAnsi="Times New Roman" w:eastAsia="黑体" w:cs="Times New Roman"/>
          <w:b w:val="0"/>
          <w:bCs w:val="0"/>
          <w:color w:val="auto"/>
          <w:kern w:val="2"/>
          <w:sz w:val="32"/>
          <w:szCs w:val="32"/>
          <w:u w:val="none"/>
          <w:lang w:val="en-US" w:eastAsia="zh-CN" w:bidi="ar-SA"/>
        </w:rPr>
        <w:t>第二章 总体要求和规划目标</w:t>
      </w:r>
      <w:bookmarkEnd w:id="17"/>
      <w:bookmarkStart w:id="18" w:name="_Toc119061568"/>
    </w:p>
    <w:p>
      <w:pPr>
        <w:keepNext w:val="0"/>
        <w:keepLines w:val="0"/>
        <w:pageBreakBefore w:val="0"/>
        <w:widowControl w:val="0"/>
        <w:kinsoku/>
        <w:wordWrap/>
        <w:overflowPunct/>
        <w:topLinePunct w:val="0"/>
        <w:autoSpaceDE/>
        <w:autoSpaceDN/>
        <w:bidi w:val="0"/>
        <w:adjustRightInd/>
        <w:snapToGrid/>
        <w:spacing w:after="160" w:afterLines="50" w:line="560" w:lineRule="exact"/>
        <w:ind w:left="0" w:leftChars="0" w:firstLine="644" w:firstLineChars="200"/>
        <w:jc w:val="center"/>
        <w:textAlignment w:val="auto"/>
        <w:rPr>
          <w:rFonts w:hint="default" w:ascii="Times New Roman" w:hAnsi="Times New Roman" w:eastAsia="楷体_GB2312" w:cs="Times New Roman"/>
          <w:b/>
          <w:bCs/>
          <w:color w:val="auto"/>
          <w:kern w:val="2"/>
          <w:sz w:val="32"/>
          <w:szCs w:val="32"/>
          <w:u w:val="none"/>
          <w:lang w:val="en-US" w:eastAsia="zh-CN" w:bidi="ar-SA"/>
        </w:rPr>
      </w:pPr>
      <w:r>
        <w:rPr>
          <w:rFonts w:hint="default" w:ascii="Times New Roman" w:hAnsi="Times New Roman" w:eastAsia="楷体_GB2312" w:cs="Times New Roman"/>
          <w:b/>
          <w:bCs/>
          <w:color w:val="auto"/>
          <w:kern w:val="2"/>
          <w:sz w:val="32"/>
          <w:szCs w:val="32"/>
          <w:u w:val="none"/>
          <w:lang w:val="en-US" w:eastAsia="zh-CN" w:bidi="ar-SA"/>
        </w:rPr>
        <w:t>第一节 指导思想</w:t>
      </w:r>
      <w:bookmarkEnd w:id="18"/>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楷体_GB2312" w:cs="Times New Roman"/>
          <w:b/>
          <w:bCs/>
          <w:color w:val="auto"/>
          <w:kern w:val="2"/>
          <w:sz w:val="32"/>
          <w:szCs w:val="32"/>
          <w:u w:val="none"/>
          <w:lang w:val="en-US" w:eastAsia="zh-CN" w:bidi="ar-SA"/>
        </w:rPr>
      </w:pPr>
      <w:r>
        <w:rPr>
          <w:rFonts w:hint="default" w:ascii="Times New Roman" w:hAnsi="Times New Roman" w:eastAsia="仿宋_GB2312" w:cs="Times New Roman"/>
          <w:color w:val="auto"/>
          <w:sz w:val="32"/>
          <w:szCs w:val="32"/>
          <w:u w:val="none"/>
        </w:rPr>
        <w:t>高举中国特色社会主义伟大旗帜，坚持以习近平新时代中国特色社会主义思想为指导，深入贯彻党的</w:t>
      </w:r>
      <w:r>
        <w:rPr>
          <w:rFonts w:hint="default" w:ascii="Times New Roman" w:hAnsi="Times New Roman" w:eastAsia="仿宋_GB2312" w:cs="Times New Roman"/>
          <w:color w:val="auto"/>
          <w:sz w:val="32"/>
          <w:szCs w:val="32"/>
          <w:u w:val="none"/>
          <w:lang w:eastAsia="zh-CN"/>
        </w:rPr>
        <w:t>二十大</w:t>
      </w:r>
      <w:r>
        <w:rPr>
          <w:rFonts w:hint="default" w:ascii="Times New Roman" w:hAnsi="Times New Roman" w:eastAsia="仿宋_GB2312" w:cs="Times New Roman"/>
          <w:color w:val="auto"/>
          <w:sz w:val="32"/>
          <w:szCs w:val="32"/>
          <w:u w:val="none"/>
        </w:rPr>
        <w:t>精神</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习近平总书记视察宁夏重要讲话</w:t>
      </w:r>
      <w:r>
        <w:rPr>
          <w:rFonts w:hint="default" w:ascii="Times New Roman" w:hAnsi="Times New Roman" w:eastAsia="仿宋_GB2312" w:cs="Times New Roman"/>
          <w:color w:val="auto"/>
          <w:sz w:val="32"/>
          <w:szCs w:val="32"/>
          <w:u w:val="none"/>
          <w:lang w:eastAsia="zh-CN"/>
        </w:rPr>
        <w:t>和重要指示批示精神</w:t>
      </w:r>
      <w:r>
        <w:rPr>
          <w:rFonts w:hint="default" w:ascii="Times New Roman" w:hAnsi="Times New Roman" w:eastAsia="仿宋_GB2312" w:cs="Times New Roman"/>
          <w:color w:val="auto"/>
          <w:sz w:val="32"/>
          <w:szCs w:val="32"/>
          <w:u w:val="none"/>
        </w:rPr>
        <w:t>，全面落实区、市党委和政府的部署要求，协</w:t>
      </w:r>
      <w:r>
        <w:rPr>
          <w:rFonts w:hint="eastAsia" w:ascii="仿宋_GB2312" w:hAnsi="仿宋_GB2312" w:eastAsia="仿宋_GB2312" w:cs="仿宋_GB2312"/>
          <w:color w:val="auto"/>
          <w:sz w:val="32"/>
          <w:szCs w:val="32"/>
          <w:u w:val="none"/>
        </w:rPr>
        <w:t>同推进“五位一体”总体</w:t>
      </w:r>
      <w:r>
        <w:rPr>
          <w:rFonts w:hint="default" w:ascii="Times New Roman" w:hAnsi="Times New Roman" w:eastAsia="仿宋_GB2312" w:cs="Times New Roman"/>
          <w:color w:val="auto"/>
          <w:sz w:val="32"/>
          <w:szCs w:val="32"/>
          <w:u w:val="none"/>
        </w:rPr>
        <w:t>发展，坚定不移贯彻新发展理念，坚持稳中求进工作总基调，以推动高质量发展为准则，以生态环境保护为主线，以改革创新为根本动力，以满足人民日益增长的美好生活需要为根本目的，以</w:t>
      </w:r>
      <w:r>
        <w:rPr>
          <w:rFonts w:hint="eastAsia" w:ascii="仿宋_GB2312" w:hAnsi="仿宋_GB2312" w:eastAsia="仿宋_GB2312" w:cs="仿宋_GB2312"/>
          <w:color w:val="auto"/>
          <w:sz w:val="32"/>
          <w:szCs w:val="32"/>
          <w:u w:val="none"/>
        </w:rPr>
        <w:t>“富民强区、建成示范、走在前列”为目</w:t>
      </w:r>
      <w:r>
        <w:rPr>
          <w:rFonts w:hint="default" w:ascii="Times New Roman" w:hAnsi="Times New Roman" w:eastAsia="仿宋_GB2312" w:cs="Times New Roman"/>
          <w:color w:val="auto"/>
          <w:sz w:val="32"/>
          <w:szCs w:val="32"/>
          <w:u w:val="none"/>
        </w:rPr>
        <w:t>标，以建设全国易地搬迁移民致富提升示范区为时代使命，抢抓宁夏建设黄河流域生态保护和高质量发展先行区有利机遇，主动融入新发展格局，坚决守好生态环境生命线，走出生态环境保护高质量发展的新路子，为脱贫产业融合发展示范、易地搬迁就业创业致富、移民地区基层社会治理、生态移民人居环境整治目标的实现提供坚实可靠的生态环境保障。</w:t>
      </w:r>
      <w:bookmarkStart w:id="19" w:name="_Toc119061569"/>
    </w:p>
    <w:p>
      <w:pPr>
        <w:pStyle w:val="4"/>
        <w:keepNext/>
        <w:keepLines/>
        <w:pageBreakBefore w:val="0"/>
        <w:widowControl w:val="0"/>
        <w:kinsoku/>
        <w:wordWrap/>
        <w:overflowPunct/>
        <w:topLinePunct w:val="0"/>
        <w:autoSpaceDE/>
        <w:autoSpaceDN/>
        <w:bidi w:val="0"/>
        <w:adjustRightInd/>
        <w:snapToGrid/>
        <w:spacing w:before="160" w:beforeLines="50" w:after="0" w:line="560" w:lineRule="exact"/>
        <w:ind w:left="0" w:leftChars="0"/>
        <w:jc w:val="center"/>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楷体_GB2312" w:cs="Times New Roman"/>
          <w:b/>
          <w:bCs/>
          <w:color w:val="auto"/>
          <w:kern w:val="2"/>
          <w:sz w:val="32"/>
          <w:szCs w:val="32"/>
          <w:u w:val="none"/>
          <w:lang w:val="en-US" w:eastAsia="zh-CN" w:bidi="ar-SA"/>
        </w:rPr>
        <w:t>第二节 基本原则</w:t>
      </w:r>
      <w:bookmarkEnd w:id="19"/>
      <w:bookmarkStart w:id="20" w:name="_Toc119061570"/>
    </w:p>
    <w:p>
      <w:pPr>
        <w:pageBreakBefore w:val="0"/>
        <w:kinsoku/>
        <w:wordWrap/>
        <w:overflowPunct/>
        <w:topLinePunct w:val="0"/>
        <w:autoSpaceDE/>
        <w:autoSpaceDN/>
        <w:bidi w:val="0"/>
        <w:snapToGrid/>
        <w:spacing w:line="560" w:lineRule="exact"/>
        <w:ind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一、坚持生态优先、绿色发展</w:t>
      </w:r>
      <w:bookmarkEnd w:id="20"/>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全面落实党领导经济社会发展的体制机制，不断提高贯彻新发展理念、构建新发展格局的能力和水平，坚持人与自然和谐共生，大力推进碳达峰、碳中和，将减污降碳与协同增效一体谋划、一体部署、一体推进。</w:t>
      </w:r>
      <w:bookmarkStart w:id="21" w:name="_Toc119061571"/>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二、坚持精准施策、系统保护</w:t>
      </w:r>
      <w:bookmarkEnd w:id="21"/>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立足新时代，根据主体功能定位和自然生态特征，准确识别不同区域生态环境问题，因地制宜，精准施策，统筹山水林田湖草沙系统治理，加强生态建设与修复、环境保护与治理、资源节约与集约利用，确保生态系统稳定性和环境质量持续性不断向好发展。</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bookmarkStart w:id="22" w:name="_Toc119061572"/>
      <w:r>
        <w:rPr>
          <w:rFonts w:hint="default" w:ascii="Times New Roman" w:hAnsi="Times New Roman" w:eastAsia="仿宋_GB2312" w:cs="Times New Roman"/>
          <w:color w:val="auto"/>
          <w:sz w:val="32"/>
          <w:szCs w:val="32"/>
          <w:u w:val="none"/>
        </w:rPr>
        <w:t>三、坚持依法治污、科学管控</w:t>
      </w:r>
      <w:bookmarkEnd w:id="22"/>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强化法治思维，坚持依法行政、依法治理、依法保护，运用科技手段和先进方法，从源头治理、基础支撑、生态修复、制度建设等方面，构建精细管理模式，分区分类推进生态环境保护治理，切实提高环境治理的针对性和有效性。</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bookmarkStart w:id="23" w:name="_Toc119061573"/>
      <w:r>
        <w:rPr>
          <w:rFonts w:hint="default" w:ascii="Times New Roman" w:hAnsi="Times New Roman" w:eastAsia="仿宋_GB2312" w:cs="Times New Roman"/>
          <w:color w:val="auto"/>
          <w:sz w:val="32"/>
          <w:szCs w:val="32"/>
          <w:u w:val="none"/>
        </w:rPr>
        <w:t>四、坚持全民行动、共治共享</w:t>
      </w:r>
      <w:bookmarkEnd w:id="23"/>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lang w:val="en-US" w:eastAsia="zh-CN"/>
        </w:rPr>
      </w:pPr>
      <w:r>
        <w:rPr>
          <w:rFonts w:hint="default" w:ascii="Times New Roman" w:hAnsi="Times New Roman" w:eastAsia="仿宋_GB2312" w:cs="Times New Roman"/>
          <w:color w:val="auto"/>
          <w:sz w:val="32"/>
          <w:szCs w:val="32"/>
          <w:u w:val="none"/>
        </w:rPr>
        <w:t>进一步完善党委领导、政府主导、人大监督、企业主体、公众参与的现代环境治理体系，形成各司其职、各尽其责、同向发力、共建共享的良好局面，汇聚建设现代化美丽新红寺堡的强大合力，让人民群众有更多的优美生态环境获得感。</w:t>
      </w:r>
      <w:bookmarkStart w:id="24" w:name="_Toc119061574"/>
    </w:p>
    <w:p>
      <w:pPr>
        <w:pStyle w:val="4"/>
        <w:keepNext/>
        <w:keepLines/>
        <w:pageBreakBefore w:val="0"/>
        <w:widowControl w:val="0"/>
        <w:kinsoku/>
        <w:wordWrap/>
        <w:overflowPunct/>
        <w:topLinePunct w:val="0"/>
        <w:autoSpaceDE/>
        <w:autoSpaceDN/>
        <w:bidi w:val="0"/>
        <w:adjustRightInd/>
        <w:snapToGrid/>
        <w:spacing w:before="160" w:beforeLines="50" w:after="160" w:afterLines="50"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楷体_GB2312" w:cs="Times New Roman"/>
          <w:b/>
          <w:bCs/>
          <w:color w:val="auto"/>
          <w:kern w:val="2"/>
          <w:sz w:val="32"/>
          <w:szCs w:val="32"/>
          <w:u w:val="none"/>
          <w:lang w:val="en-US" w:eastAsia="zh-CN" w:bidi="ar-SA"/>
        </w:rPr>
        <w:t>第三节 规划目标</w:t>
      </w:r>
      <w:bookmarkEnd w:id="24"/>
      <w:bookmarkStart w:id="25" w:name="_Toc119061575"/>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一、总体目标</w:t>
      </w:r>
      <w:bookmarkEnd w:id="25"/>
    </w:p>
    <w:p>
      <w:pPr>
        <w:keepNext w:val="0"/>
        <w:keepLines w:val="0"/>
        <w:pageBreakBefore w:val="0"/>
        <w:widowControl w:val="0"/>
        <w:kinsoku/>
        <w:wordWrap/>
        <w:overflowPunct/>
        <w:topLinePunct w:val="0"/>
        <w:autoSpaceDE/>
        <w:autoSpaceDN/>
        <w:bidi w:val="0"/>
        <w:adjustRightInd/>
        <w:snapToGrid/>
        <w:spacing w:line="54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到2025年，生态文明建设实现新进步，国土空间开发保护格局得到优化，生产生活方式绿色转型成效显著，能源资源配置更加合理、利用效率大幅提高，主要污染物排放总量持续减少，生态环境持续改善，生态安全屏障更加牢固，城乡人居</w:t>
      </w:r>
      <w:r>
        <w:rPr>
          <w:rFonts w:hint="eastAsia" w:ascii="Times New Roman" w:hAnsi="Times New Roman" w:eastAsia="仿宋_GB2312" w:cs="Times New Roman"/>
          <w:color w:val="auto"/>
          <w:sz w:val="32"/>
          <w:szCs w:val="32"/>
          <w:u w:val="none"/>
          <w:lang w:eastAsia="zh-CN"/>
        </w:rPr>
        <w:t>环境</w:t>
      </w:r>
      <w:r>
        <w:rPr>
          <w:rFonts w:hint="default" w:ascii="Times New Roman" w:hAnsi="Times New Roman" w:eastAsia="仿宋_GB2312" w:cs="Times New Roman"/>
          <w:color w:val="auto"/>
          <w:sz w:val="32"/>
          <w:szCs w:val="32"/>
          <w:u w:val="none"/>
        </w:rPr>
        <w:t>明显改善。</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展望2035年，</w:t>
      </w:r>
      <w:r>
        <w:rPr>
          <w:rFonts w:hint="default" w:ascii="Times New Roman" w:hAnsi="Times New Roman" w:eastAsia="仿宋_GB2312" w:cs="Times New Roman"/>
          <w:color w:val="auto"/>
          <w:sz w:val="32"/>
          <w:szCs w:val="32"/>
          <w:u w:val="none"/>
          <w:lang w:eastAsia="zh-CN"/>
        </w:rPr>
        <w:t>我区与自治区同步基本实现社会主义现代化，深度融入黄河流域生态保护和高质量发展先行区，</w:t>
      </w:r>
      <w:r>
        <w:rPr>
          <w:rFonts w:hint="default" w:ascii="Times New Roman" w:hAnsi="Times New Roman" w:eastAsia="仿宋_GB2312" w:cs="Times New Roman"/>
          <w:color w:val="auto"/>
          <w:sz w:val="32"/>
          <w:szCs w:val="32"/>
          <w:u w:val="none"/>
        </w:rPr>
        <w:t>碳排放达峰后稳中有降，绿色生产生活方式广泛形成，生态环境质量持续向好，生态系统功能日趋完善。</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bookmarkStart w:id="26" w:name="_Toc119061576"/>
      <w:r>
        <w:rPr>
          <w:rFonts w:hint="default" w:ascii="Times New Roman" w:hAnsi="Times New Roman" w:eastAsia="仿宋_GB2312" w:cs="Times New Roman"/>
          <w:color w:val="auto"/>
          <w:sz w:val="32"/>
          <w:szCs w:val="32"/>
          <w:u w:val="none"/>
        </w:rPr>
        <w:t>二、具体指标</w:t>
      </w:r>
      <w:bookmarkEnd w:id="26"/>
    </w:p>
    <w:p>
      <w:pPr>
        <w:pageBreakBefore w:val="0"/>
        <w:kinsoku/>
        <w:wordWrap/>
        <w:overflowPunct/>
        <w:topLinePunct w:val="0"/>
        <w:autoSpaceDE/>
        <w:autoSpaceDN/>
        <w:bidi w:val="0"/>
        <w:snapToGrid/>
        <w:spacing w:line="560" w:lineRule="exact"/>
        <w:ind w:left="0" w:leftChars="0" w:firstLine="644"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环境空气质量稳定达到</w:t>
      </w:r>
      <w:r>
        <w:rPr>
          <w:rFonts w:hint="default" w:ascii="Times New Roman" w:hAnsi="Times New Roman" w:eastAsia="仿宋_GB2312" w:cs="Times New Roman"/>
          <w:color w:val="auto"/>
          <w:sz w:val="32"/>
          <w:szCs w:val="32"/>
          <w:u w:val="none"/>
          <w:lang w:eastAsia="zh-CN"/>
        </w:rPr>
        <w:t>自治区</w:t>
      </w:r>
      <w:r>
        <w:rPr>
          <w:rFonts w:hint="default" w:ascii="Times New Roman" w:hAnsi="Times New Roman" w:eastAsia="仿宋_GB2312" w:cs="Times New Roman"/>
          <w:color w:val="auto"/>
          <w:sz w:val="32"/>
          <w:szCs w:val="32"/>
          <w:u w:val="none"/>
        </w:rPr>
        <w:t>考核目标，地表水出境断面水质稳定达到Ⅳ类，土壤安全利用水平巩固提升，固体废物、化学物质环境风险防控能力不断增强，核安全监管持续强化，突发环境事件应急能力大幅提升，环境风险得到有效管控。农业面源污染得到初步管控，城乡人居环境持续改善。国土空间开发保护格局持续优化，资源能源利用效率大幅提高，能耗总量控制指标、碳排放达到</w:t>
      </w:r>
      <w:r>
        <w:rPr>
          <w:rFonts w:hint="default" w:ascii="Times New Roman" w:hAnsi="Times New Roman" w:eastAsia="仿宋_GB2312" w:cs="Times New Roman"/>
          <w:color w:val="auto"/>
          <w:sz w:val="32"/>
          <w:szCs w:val="32"/>
          <w:u w:val="none"/>
          <w:lang w:eastAsia="zh-CN"/>
        </w:rPr>
        <w:t>自治区</w:t>
      </w:r>
      <w:r>
        <w:rPr>
          <w:rFonts w:hint="default" w:ascii="Times New Roman" w:hAnsi="Times New Roman" w:eastAsia="仿宋_GB2312" w:cs="Times New Roman"/>
          <w:color w:val="auto"/>
          <w:sz w:val="32"/>
          <w:szCs w:val="32"/>
          <w:u w:val="none"/>
        </w:rPr>
        <w:t>考核要求，绿色生产生活方式加快形成。罗山生态保护和修复明显加快，生物多样性得到有效</w:t>
      </w:r>
      <w:r>
        <w:rPr>
          <w:rFonts w:hint="eastAsia" w:ascii="Times New Roman" w:hAnsi="Times New Roman" w:eastAsia="仿宋_GB2312" w:cs="Times New Roman"/>
          <w:color w:val="auto"/>
          <w:sz w:val="32"/>
          <w:szCs w:val="32"/>
          <w:u w:val="none"/>
          <w:lang w:eastAsia="zh-CN"/>
        </w:rPr>
        <w:t>保</w:t>
      </w:r>
      <w:r>
        <w:rPr>
          <w:rFonts w:hint="default" w:ascii="Times New Roman" w:hAnsi="Times New Roman" w:eastAsia="仿宋_GB2312" w:cs="Times New Roman"/>
          <w:color w:val="auto"/>
          <w:sz w:val="32"/>
          <w:szCs w:val="32"/>
          <w:u w:val="none"/>
        </w:rPr>
        <w:t>护，自然生态系统质量和稳定性持续提升，环境承载能力明显提高，生态服务功能不断增强。加强生态环境保护法治建设，进一步深化生态文明体制机制改革，补齐生态环境治理体系短板，加快形成决策科学、执行有力、治理有效的生态环境治理新格局。红寺</w:t>
      </w:r>
      <w:r>
        <w:rPr>
          <w:rFonts w:hint="eastAsia" w:ascii="仿宋_GB2312" w:hAnsi="仿宋_GB2312" w:eastAsia="仿宋_GB2312" w:cs="仿宋_GB2312"/>
          <w:color w:val="auto"/>
          <w:sz w:val="32"/>
          <w:szCs w:val="32"/>
          <w:u w:val="none"/>
        </w:rPr>
        <w:t>堡区“十四五”生态环</w:t>
      </w:r>
      <w:r>
        <w:rPr>
          <w:rFonts w:hint="default" w:ascii="Times New Roman" w:hAnsi="Times New Roman" w:eastAsia="仿宋_GB2312" w:cs="Times New Roman"/>
          <w:color w:val="auto"/>
          <w:sz w:val="32"/>
          <w:szCs w:val="32"/>
          <w:u w:val="none"/>
        </w:rPr>
        <w:t>境保护具体规划指标见表1</w:t>
      </w:r>
      <w:r>
        <w:rPr>
          <w:rFonts w:hint="eastAsia" w:ascii="Times New Roman" w:hAnsi="Times New Roman" w:eastAsia="仿宋_GB2312" w:cs="Times New Roman"/>
          <w:color w:val="auto"/>
          <w:sz w:val="32"/>
          <w:szCs w:val="32"/>
          <w:u w:val="none"/>
          <w:lang w:eastAsia="zh-CN"/>
        </w:rPr>
        <w:t>。</w:t>
      </w:r>
    </w:p>
    <w:p>
      <w:pPr>
        <w:pStyle w:val="9"/>
        <w:rPr>
          <w:rFonts w:hint="default"/>
        </w:rPr>
      </w:pPr>
    </w:p>
    <w:p>
      <w:pPr>
        <w:pageBreakBefore w:val="0"/>
        <w:kinsoku/>
        <w:wordWrap/>
        <w:overflowPunct/>
        <w:topLinePunct w:val="0"/>
        <w:autoSpaceDE/>
        <w:autoSpaceDN/>
        <w:bidi w:val="0"/>
        <w:snapToGrid/>
        <w:spacing w:line="560" w:lineRule="exact"/>
        <w:ind w:left="0" w:leftChars="0"/>
        <w:jc w:val="center"/>
        <w:textAlignment w:val="auto"/>
        <w:rPr>
          <w:rFonts w:hint="eastAsia" w:ascii="仿宋_GB2312" w:hAnsi="仿宋_GB2312" w:eastAsia="仿宋_GB2312" w:cs="仿宋_GB2312"/>
          <w:b/>
          <w:color w:val="auto"/>
          <w:sz w:val="32"/>
          <w:szCs w:val="32"/>
          <w:u w:val="none"/>
        </w:rPr>
      </w:pPr>
      <w:r>
        <w:rPr>
          <w:rFonts w:hint="default" w:ascii="Times New Roman" w:hAnsi="Times New Roman" w:eastAsia="仿宋_GB2312" w:cs="Times New Roman"/>
          <w:b/>
          <w:bCs/>
          <w:color w:val="auto"/>
          <w:sz w:val="32"/>
          <w:szCs w:val="32"/>
          <w:u w:val="none"/>
        </w:rPr>
        <w:t>表1</w:t>
      </w:r>
      <w:r>
        <w:rPr>
          <w:rFonts w:hint="eastAsia" w:ascii="仿宋_GB2312" w:hAnsi="仿宋_GB2312" w:eastAsia="仿宋_GB2312" w:cs="仿宋_GB2312"/>
          <w:b/>
          <w:bCs/>
          <w:color w:val="auto"/>
          <w:sz w:val="32"/>
          <w:szCs w:val="32"/>
          <w:u w:val="none"/>
        </w:rPr>
        <w:t xml:space="preserve"> 红寺堡区“十四五”生态环境保护规划指标表</w:t>
      </w:r>
    </w:p>
    <w:tbl>
      <w:tblPr>
        <w:tblStyle w:val="22"/>
        <w:tblW w:w="100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1"/>
        <w:gridCol w:w="645"/>
        <w:gridCol w:w="838"/>
        <w:gridCol w:w="3686"/>
        <w:gridCol w:w="1261"/>
        <w:gridCol w:w="1605"/>
        <w:gridCol w:w="1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tblHeader/>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序号</w:t>
            </w:r>
          </w:p>
        </w:tc>
        <w:tc>
          <w:tcPr>
            <w:tcW w:w="1483" w:type="dxa"/>
            <w:gridSpan w:val="2"/>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类别</w:t>
            </w:r>
          </w:p>
        </w:tc>
        <w:tc>
          <w:tcPr>
            <w:tcW w:w="3686"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项目</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2020年</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2025年</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指标</w:t>
            </w:r>
          </w:p>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类别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w:t>
            </w:r>
          </w:p>
        </w:tc>
        <w:tc>
          <w:tcPr>
            <w:tcW w:w="645" w:type="dxa"/>
            <w:vMerge w:val="restart"/>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环境质量改善</w:t>
            </w:r>
          </w:p>
        </w:tc>
        <w:tc>
          <w:tcPr>
            <w:tcW w:w="838" w:type="dxa"/>
            <w:vMerge w:val="restart"/>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空气环境质量①</w:t>
            </w: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环境空气优良天数比例（%）</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85</w:t>
            </w:r>
          </w:p>
        </w:tc>
        <w:tc>
          <w:tcPr>
            <w:tcW w:w="1605" w:type="dxa"/>
            <w:vMerge w:val="restart"/>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完成</w:t>
            </w:r>
          </w:p>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自治区</w:t>
            </w:r>
          </w:p>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下达任务</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p>
        </w:tc>
        <w:tc>
          <w:tcPr>
            <w:tcW w:w="645"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838"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可吸入颗粒物年均浓度（微克/立方米）</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87</w:t>
            </w:r>
          </w:p>
        </w:tc>
        <w:tc>
          <w:tcPr>
            <w:tcW w:w="1605" w:type="dxa"/>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w:t>
            </w:r>
          </w:p>
        </w:tc>
        <w:tc>
          <w:tcPr>
            <w:tcW w:w="645"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838"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细颗粒物年均浓度（微克/立方米）</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34</w:t>
            </w:r>
          </w:p>
        </w:tc>
        <w:tc>
          <w:tcPr>
            <w:tcW w:w="1605" w:type="dxa"/>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w:t>
            </w:r>
          </w:p>
        </w:tc>
        <w:tc>
          <w:tcPr>
            <w:tcW w:w="645" w:type="dxa"/>
            <w:vMerge w:val="restart"/>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838"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重污染天气</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基本消除</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5</w:t>
            </w:r>
          </w:p>
        </w:tc>
        <w:tc>
          <w:tcPr>
            <w:tcW w:w="645"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838" w:type="dxa"/>
            <w:vMerge w:val="restart"/>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水环境质量②</w:t>
            </w: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国控区地表水劣Ⅴ类水质比例（%）</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0</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0</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6</w:t>
            </w:r>
          </w:p>
        </w:tc>
        <w:tc>
          <w:tcPr>
            <w:tcW w:w="645"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838"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监测断面水质达标率（%）</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100</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100</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7</w:t>
            </w:r>
          </w:p>
        </w:tc>
        <w:tc>
          <w:tcPr>
            <w:tcW w:w="645"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838"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地表水劣Ⅴ类水质比例（%）</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0</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8</w:t>
            </w:r>
          </w:p>
        </w:tc>
        <w:tc>
          <w:tcPr>
            <w:tcW w:w="645"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838"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集中式饮用水水源地水质达标率（%）</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100</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100</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9</w:t>
            </w:r>
          </w:p>
        </w:tc>
        <w:tc>
          <w:tcPr>
            <w:tcW w:w="645"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838"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城市建成区黑臭水体</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消除</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消除</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10</w:t>
            </w:r>
          </w:p>
        </w:tc>
        <w:tc>
          <w:tcPr>
            <w:tcW w:w="645"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838"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地下水质量Ⅴ类水比例（%）</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完成</w:t>
            </w:r>
          </w:p>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自治区</w:t>
            </w:r>
          </w:p>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下达任务</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11</w:t>
            </w:r>
          </w:p>
        </w:tc>
        <w:tc>
          <w:tcPr>
            <w:tcW w:w="645"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838" w:type="dxa"/>
            <w:vMerge w:val="restart"/>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土壤环境质量</w:t>
            </w: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受污染耕地安全利用率（%）</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100</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100</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12</w:t>
            </w:r>
          </w:p>
        </w:tc>
        <w:tc>
          <w:tcPr>
            <w:tcW w:w="645"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838" w:type="dxa"/>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重点建设用地安全利用</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100</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100</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13</w:t>
            </w:r>
          </w:p>
        </w:tc>
        <w:tc>
          <w:tcPr>
            <w:tcW w:w="645"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838" w:type="dxa"/>
            <w:vMerge w:val="restart"/>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总量控制</w:t>
            </w: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氮氧化物重点工程减排量（万吨）</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4.9565</w:t>
            </w:r>
          </w:p>
        </w:tc>
        <w:tc>
          <w:tcPr>
            <w:tcW w:w="1605" w:type="dxa"/>
            <w:vMerge w:val="restart"/>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完成</w:t>
            </w:r>
          </w:p>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自治区</w:t>
            </w:r>
          </w:p>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下达任务</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14</w:t>
            </w:r>
          </w:p>
        </w:tc>
        <w:tc>
          <w:tcPr>
            <w:tcW w:w="645"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838"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挥发性有机物重点工程减排量（万吨）</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p>
        </w:tc>
        <w:tc>
          <w:tcPr>
            <w:tcW w:w="1605" w:type="dxa"/>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15</w:t>
            </w:r>
          </w:p>
        </w:tc>
        <w:tc>
          <w:tcPr>
            <w:tcW w:w="645"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838"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化学需氧量重点工程减排量（万吨）</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6.9215</w:t>
            </w:r>
          </w:p>
        </w:tc>
        <w:tc>
          <w:tcPr>
            <w:tcW w:w="1605" w:type="dxa"/>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16</w:t>
            </w:r>
          </w:p>
        </w:tc>
        <w:tc>
          <w:tcPr>
            <w:tcW w:w="645"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838" w:type="dxa"/>
            <w:vMerge w:val="continue"/>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氨氮重点工程减排量（万吨）</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0.3002</w:t>
            </w:r>
          </w:p>
        </w:tc>
        <w:tc>
          <w:tcPr>
            <w:tcW w:w="1605" w:type="dxa"/>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17</w:t>
            </w:r>
          </w:p>
        </w:tc>
        <w:tc>
          <w:tcPr>
            <w:tcW w:w="1483" w:type="dxa"/>
            <w:gridSpan w:val="2"/>
            <w:vMerge w:val="restart"/>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应对</w:t>
            </w:r>
          </w:p>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气候</w:t>
            </w:r>
          </w:p>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变化</w:t>
            </w: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单位国内生产总值二氧化碳排放降低（%）</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p>
        </w:tc>
        <w:tc>
          <w:tcPr>
            <w:tcW w:w="1605" w:type="dxa"/>
            <w:vMerge w:val="restart"/>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完成</w:t>
            </w:r>
            <w:r>
              <w:rPr>
                <w:rFonts w:hint="default" w:ascii="Times New Roman" w:hAnsi="Times New Roman" w:eastAsia="仿宋_GB2312" w:cs="Times New Roman"/>
                <w:color w:val="auto"/>
                <w:sz w:val="32"/>
                <w:szCs w:val="32"/>
                <w:u w:val="none"/>
                <w:lang w:eastAsia="zh-CN"/>
              </w:rPr>
              <w:t>自治区</w:t>
            </w:r>
            <w:r>
              <w:rPr>
                <w:rFonts w:hint="default" w:ascii="Times New Roman" w:hAnsi="Times New Roman" w:eastAsia="仿宋_GB2312" w:cs="Times New Roman"/>
                <w:color w:val="auto"/>
                <w:sz w:val="32"/>
                <w:szCs w:val="32"/>
                <w:u w:val="none"/>
              </w:rPr>
              <w:t>下达任务</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18</w:t>
            </w:r>
          </w:p>
        </w:tc>
        <w:tc>
          <w:tcPr>
            <w:tcW w:w="1483" w:type="dxa"/>
            <w:gridSpan w:val="2"/>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单位国内生产总值能源消耗降低（%）</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p>
        </w:tc>
        <w:tc>
          <w:tcPr>
            <w:tcW w:w="1605" w:type="dxa"/>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19</w:t>
            </w:r>
          </w:p>
        </w:tc>
        <w:tc>
          <w:tcPr>
            <w:tcW w:w="1483" w:type="dxa"/>
            <w:gridSpan w:val="2"/>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非化石能源占一次能源消费总量比重（%）</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p>
        </w:tc>
        <w:tc>
          <w:tcPr>
            <w:tcW w:w="1605" w:type="dxa"/>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20</w:t>
            </w:r>
          </w:p>
        </w:tc>
        <w:tc>
          <w:tcPr>
            <w:tcW w:w="1483" w:type="dxa"/>
            <w:gridSpan w:val="2"/>
            <w:vMerge w:val="restart"/>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生态</w:t>
            </w:r>
          </w:p>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环境</w:t>
            </w:r>
          </w:p>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保护</w:t>
            </w: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生态功能指数</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42.69</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稳中向好</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21</w:t>
            </w:r>
          </w:p>
        </w:tc>
        <w:tc>
          <w:tcPr>
            <w:tcW w:w="1483" w:type="dxa"/>
            <w:gridSpan w:val="2"/>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森林覆盖率（%）</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14.1</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≥15</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22</w:t>
            </w:r>
          </w:p>
        </w:tc>
        <w:tc>
          <w:tcPr>
            <w:tcW w:w="1483" w:type="dxa"/>
            <w:gridSpan w:val="2"/>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生态保护红线占国土面积比例（%）</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不降低</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23</w:t>
            </w:r>
          </w:p>
        </w:tc>
        <w:tc>
          <w:tcPr>
            <w:tcW w:w="1483" w:type="dxa"/>
            <w:gridSpan w:val="2"/>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湿地保护率（%）</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≥70</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24</w:t>
            </w:r>
          </w:p>
        </w:tc>
        <w:tc>
          <w:tcPr>
            <w:tcW w:w="1483" w:type="dxa"/>
            <w:gridSpan w:val="2"/>
            <w:vMerge w:val="restart"/>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环境</w:t>
            </w:r>
          </w:p>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保护</w:t>
            </w:r>
          </w:p>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基础</w:t>
            </w:r>
          </w:p>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设施</w:t>
            </w: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城镇生活污水处理率（%）</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95</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≥96</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25</w:t>
            </w:r>
          </w:p>
        </w:tc>
        <w:tc>
          <w:tcPr>
            <w:tcW w:w="1483" w:type="dxa"/>
            <w:gridSpan w:val="2"/>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一般工业固体废物综合利用率（%）</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57</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≥60</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26</w:t>
            </w:r>
          </w:p>
        </w:tc>
        <w:tc>
          <w:tcPr>
            <w:tcW w:w="1483" w:type="dxa"/>
            <w:gridSpan w:val="2"/>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畜禽粪污综合利用率（%）</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90</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≥95</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27</w:t>
            </w:r>
          </w:p>
        </w:tc>
        <w:tc>
          <w:tcPr>
            <w:tcW w:w="1483" w:type="dxa"/>
            <w:gridSpan w:val="2"/>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农村生活污水治理率（%）</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65.7</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≥70</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28</w:t>
            </w:r>
          </w:p>
        </w:tc>
        <w:tc>
          <w:tcPr>
            <w:tcW w:w="1483" w:type="dxa"/>
            <w:gridSpan w:val="2"/>
            <w:vMerge w:val="restart"/>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环境</w:t>
            </w:r>
          </w:p>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风险</w:t>
            </w:r>
          </w:p>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防范</w:t>
            </w: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工业危险废物利用处置率（%）</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100</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100</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29</w:t>
            </w:r>
          </w:p>
        </w:tc>
        <w:tc>
          <w:tcPr>
            <w:tcW w:w="1483" w:type="dxa"/>
            <w:gridSpan w:val="2"/>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县级以上医疗废物无害化处置率（%）</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100</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100</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30</w:t>
            </w:r>
          </w:p>
        </w:tc>
        <w:tc>
          <w:tcPr>
            <w:tcW w:w="1483" w:type="dxa"/>
            <w:gridSpan w:val="2"/>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放射源辐射事故年发生率（%）</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0</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0</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73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31</w:t>
            </w:r>
          </w:p>
        </w:tc>
        <w:tc>
          <w:tcPr>
            <w:tcW w:w="1483" w:type="dxa"/>
            <w:gridSpan w:val="2"/>
            <w:vMerge w:val="continue"/>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p>
        </w:tc>
        <w:tc>
          <w:tcPr>
            <w:tcW w:w="3686" w:type="dxa"/>
            <w:vAlign w:val="center"/>
          </w:tcPr>
          <w:p>
            <w:pPr>
              <w:pageBreakBefore w:val="0"/>
              <w:kinsoku/>
              <w:wordWrap/>
              <w:overflowPunct/>
              <w:topLinePunct w:val="0"/>
              <w:autoSpaceDE/>
              <w:autoSpaceDN/>
              <w:bidi w:val="0"/>
              <w:snapToGrid/>
              <w:spacing w:line="560" w:lineRule="exact"/>
              <w:ind w:left="0" w:leftChars="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突发生态环境事件应急管理机制</w:t>
            </w:r>
          </w:p>
        </w:tc>
        <w:tc>
          <w:tcPr>
            <w:tcW w:w="1261"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建立</w:t>
            </w:r>
          </w:p>
        </w:tc>
        <w:tc>
          <w:tcPr>
            <w:tcW w:w="1605"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完善</w:t>
            </w:r>
          </w:p>
        </w:tc>
        <w:tc>
          <w:tcPr>
            <w:tcW w:w="1320" w:type="dxa"/>
            <w:vAlign w:val="center"/>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10086" w:type="dxa"/>
            <w:gridSpan w:val="7"/>
            <w:vAlign w:val="center"/>
          </w:tcPr>
          <w:p>
            <w:pPr>
              <w:pageBreakBefore w:val="0"/>
              <w:kinsoku/>
              <w:wordWrap/>
              <w:overflowPunct/>
              <w:topLinePunct w:val="0"/>
              <w:autoSpaceDE/>
              <w:autoSpaceDN/>
              <w:bidi w:val="0"/>
              <w:snapToGrid/>
              <w:spacing w:line="560" w:lineRule="exact"/>
              <w:ind w:left="0" w:leftChars="0" w:firstLine="644"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注：① 扣除沙尘天气影响；② 扣除本底因素影响。</w:t>
            </w:r>
          </w:p>
        </w:tc>
      </w:tr>
    </w:tbl>
    <w:p>
      <w:pPr>
        <w:pStyle w:val="3"/>
        <w:keepNext/>
        <w:keepLines/>
        <w:pageBreakBefore w:val="0"/>
        <w:widowControl w:val="0"/>
        <w:kinsoku/>
        <w:wordWrap/>
        <w:overflowPunct/>
        <w:topLinePunct w:val="0"/>
        <w:autoSpaceDE/>
        <w:autoSpaceDN/>
        <w:bidi w:val="0"/>
        <w:adjustRightInd/>
        <w:snapToGrid/>
        <w:spacing w:before="0" w:after="160" w:afterLines="50" w:line="560" w:lineRule="exact"/>
        <w:ind w:left="0" w:leftChars="0" w:firstLine="2576" w:firstLineChars="800"/>
        <w:jc w:val="both"/>
        <w:textAlignment w:val="auto"/>
        <w:rPr>
          <w:rFonts w:hint="default" w:ascii="Times New Roman" w:hAnsi="Times New Roman" w:eastAsia="黑体" w:cs="Times New Roman"/>
          <w:b w:val="0"/>
          <w:bCs w:val="0"/>
          <w:color w:val="auto"/>
          <w:kern w:val="2"/>
          <w:sz w:val="32"/>
          <w:szCs w:val="32"/>
          <w:u w:val="none"/>
          <w:lang w:val="en-US" w:eastAsia="zh-CN" w:bidi="ar-SA"/>
        </w:rPr>
      </w:pPr>
      <w:bookmarkStart w:id="27" w:name="_Toc119061577"/>
    </w:p>
    <w:p>
      <w:pPr>
        <w:pStyle w:val="3"/>
        <w:keepNext/>
        <w:keepLines/>
        <w:pageBreakBefore w:val="0"/>
        <w:widowControl w:val="0"/>
        <w:kinsoku/>
        <w:wordWrap/>
        <w:overflowPunct/>
        <w:topLinePunct w:val="0"/>
        <w:autoSpaceDE/>
        <w:autoSpaceDN/>
        <w:bidi w:val="0"/>
        <w:adjustRightInd/>
        <w:snapToGrid/>
        <w:spacing w:before="0" w:after="160" w:afterLines="50" w:line="560" w:lineRule="exact"/>
        <w:ind w:left="0" w:leftChars="0" w:firstLine="2576" w:firstLineChars="800"/>
        <w:jc w:val="both"/>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黑体" w:cs="Times New Roman"/>
          <w:b w:val="0"/>
          <w:bCs w:val="0"/>
          <w:color w:val="auto"/>
          <w:kern w:val="2"/>
          <w:sz w:val="32"/>
          <w:szCs w:val="32"/>
          <w:u w:val="none"/>
          <w:lang w:val="en-US" w:eastAsia="zh-CN" w:bidi="ar-SA"/>
        </w:rPr>
        <w:t>第三章 主要任务</w:t>
      </w:r>
      <w:bookmarkEnd w:id="27"/>
      <w:bookmarkStart w:id="28" w:name="_Toc119061578"/>
    </w:p>
    <w:p>
      <w:pPr>
        <w:pStyle w:val="4"/>
        <w:keepNext/>
        <w:keepLines/>
        <w:pageBreakBefore w:val="0"/>
        <w:widowControl w:val="0"/>
        <w:kinsoku/>
        <w:wordWrap/>
        <w:overflowPunct/>
        <w:topLinePunct w:val="0"/>
        <w:autoSpaceDE/>
        <w:autoSpaceDN/>
        <w:bidi w:val="0"/>
        <w:adjustRightInd/>
        <w:snapToGrid/>
        <w:spacing w:before="0" w:after="160" w:afterLines="50"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楷体_GB2312" w:cs="Times New Roman"/>
          <w:color w:val="auto"/>
          <w:sz w:val="32"/>
          <w:szCs w:val="32"/>
          <w:u w:val="none"/>
          <w:lang w:val="en-US" w:eastAsia="zh-CN"/>
        </w:rPr>
        <w:t>第一节 绿色引领、持续推进高质量发展</w:t>
      </w:r>
      <w:bookmarkEnd w:id="28"/>
      <w:bookmarkStart w:id="29" w:name="_Toc119061579"/>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一、加快完善绿色发展机制</w:t>
      </w:r>
      <w:bookmarkEnd w:id="29"/>
    </w:p>
    <w:p>
      <w:pPr>
        <w:pageBreakBefore w:val="0"/>
        <w:kinsoku/>
        <w:wordWrap/>
        <w:overflowPunct/>
        <w:topLinePunct w:val="0"/>
        <w:autoSpaceDE/>
        <w:autoSpaceDN/>
        <w:bidi w:val="0"/>
        <w:snapToGrid/>
        <w:spacing w:line="560" w:lineRule="exact"/>
        <w:ind w:left="0" w:leftChars="0" w:firstLine="644" w:firstLineChars="200"/>
        <w:textAlignment w:val="auto"/>
        <w:rPr>
          <w:rFonts w:hint="eastAsia" w:ascii="仿宋_GB2312" w:hAnsi="仿宋_GB2312" w:eastAsia="仿宋_GB2312" w:cs="仿宋_GB2312"/>
          <w:b/>
          <w:bCs/>
          <w:color w:val="auto"/>
          <w:sz w:val="32"/>
          <w:szCs w:val="32"/>
          <w:u w:val="none"/>
        </w:rPr>
      </w:pPr>
      <w:r>
        <w:rPr>
          <w:rFonts w:hint="default" w:ascii="Times New Roman" w:hAnsi="Times New Roman" w:eastAsia="仿宋_GB2312" w:cs="Times New Roman"/>
          <w:b/>
          <w:bCs/>
          <w:color w:val="auto"/>
          <w:sz w:val="32"/>
          <w:szCs w:val="32"/>
          <w:u w:val="none"/>
        </w:rPr>
        <w:t>（一）严格落</w:t>
      </w:r>
      <w:r>
        <w:rPr>
          <w:rFonts w:hint="eastAsia" w:ascii="仿宋_GB2312" w:hAnsi="仿宋_GB2312" w:eastAsia="仿宋_GB2312" w:cs="仿宋_GB2312"/>
          <w:b/>
          <w:bCs/>
          <w:color w:val="auto"/>
          <w:sz w:val="32"/>
          <w:szCs w:val="32"/>
          <w:u w:val="none"/>
        </w:rPr>
        <w:t>实“三线一单”管控制度</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深</w:t>
      </w:r>
      <w:r>
        <w:rPr>
          <w:rFonts w:hint="eastAsia" w:ascii="仿宋_GB2312" w:hAnsi="仿宋_GB2312" w:eastAsia="仿宋_GB2312" w:cs="仿宋_GB2312"/>
          <w:color w:val="auto"/>
          <w:sz w:val="32"/>
          <w:szCs w:val="32"/>
          <w:u w:val="none"/>
        </w:rPr>
        <w:t>入推进“三线一单”落地落实，建立动态更新调整机制，严格落实生态环境分区管控要求。巩固提升生态</w:t>
      </w:r>
      <w:r>
        <w:rPr>
          <w:rFonts w:hint="default" w:ascii="Times New Roman" w:hAnsi="Times New Roman" w:eastAsia="仿宋_GB2312" w:cs="Times New Roman"/>
          <w:color w:val="auto"/>
          <w:sz w:val="32"/>
          <w:szCs w:val="32"/>
          <w:u w:val="none"/>
        </w:rPr>
        <w:t>环境管理成果，强化与国土空间规划成果衔接，加</w:t>
      </w:r>
      <w:r>
        <w:rPr>
          <w:rFonts w:hint="eastAsia" w:ascii="仿宋_GB2312" w:hAnsi="仿宋_GB2312" w:eastAsia="仿宋_GB2312" w:cs="仿宋_GB2312"/>
          <w:color w:val="auto"/>
          <w:sz w:val="32"/>
          <w:szCs w:val="32"/>
          <w:u w:val="none"/>
        </w:rPr>
        <w:t>强</w:t>
      </w:r>
      <w:r>
        <w:rPr>
          <w:rFonts w:hint="eastAsia" w:ascii="仿宋_GB2312" w:hAnsi="仿宋_GB2312" w:eastAsia="仿宋_GB2312" w:cs="仿宋_GB2312"/>
          <w:color w:val="auto"/>
          <w:sz w:val="32"/>
          <w:szCs w:val="32"/>
          <w:u w:val="none"/>
          <w:lang w:val="en"/>
        </w:rPr>
        <w:t>“</w:t>
      </w:r>
      <w:r>
        <w:rPr>
          <w:rFonts w:hint="eastAsia" w:ascii="仿宋_GB2312" w:hAnsi="仿宋_GB2312" w:eastAsia="仿宋_GB2312" w:cs="仿宋_GB2312"/>
          <w:color w:val="auto"/>
          <w:sz w:val="32"/>
          <w:szCs w:val="32"/>
          <w:u w:val="none"/>
        </w:rPr>
        <w:t>三线一单</w:t>
      </w:r>
      <w:r>
        <w:rPr>
          <w:rFonts w:hint="eastAsia" w:ascii="仿宋_GB2312" w:hAnsi="仿宋_GB2312" w:eastAsia="仿宋_GB2312" w:cs="仿宋_GB2312"/>
          <w:color w:val="auto"/>
          <w:sz w:val="32"/>
          <w:szCs w:val="32"/>
          <w:u w:val="none"/>
          <w:lang w:val="en"/>
        </w:rPr>
        <w:t>”</w:t>
      </w:r>
      <w:r>
        <w:rPr>
          <w:rFonts w:hint="default" w:ascii="Times New Roman" w:hAnsi="Times New Roman" w:eastAsia="仿宋_GB2312" w:cs="Times New Roman"/>
          <w:color w:val="auto"/>
          <w:sz w:val="32"/>
          <w:szCs w:val="32"/>
          <w:u w:val="none"/>
        </w:rPr>
        <w:t>在环境准入、环评审批、排污许可、执法监管等方面的应用，</w:t>
      </w:r>
      <w:r>
        <w:rPr>
          <w:rFonts w:hint="eastAsia" w:ascii="仿宋_GB2312" w:hAnsi="仿宋_GB2312" w:eastAsia="仿宋_GB2312" w:cs="仿宋_GB2312"/>
          <w:color w:val="auto"/>
          <w:sz w:val="32"/>
          <w:szCs w:val="32"/>
          <w:u w:val="none"/>
        </w:rPr>
        <w:t>将“三线一单”</w:t>
      </w:r>
      <w:r>
        <w:rPr>
          <w:rFonts w:hint="default" w:ascii="Times New Roman" w:hAnsi="Times New Roman" w:eastAsia="仿宋_GB2312" w:cs="Times New Roman"/>
          <w:color w:val="auto"/>
          <w:sz w:val="32"/>
          <w:szCs w:val="32"/>
          <w:u w:val="none"/>
        </w:rPr>
        <w:t>作为红寺堡区资源开发、产业布局和结构调整、城乡建设、重大项目选址等的重要依据。严格建设项目环境准入，推动规划</w:t>
      </w:r>
      <w:r>
        <w:rPr>
          <w:rFonts w:hint="default" w:ascii="Times New Roman" w:hAnsi="Times New Roman" w:eastAsia="仿宋_GB2312" w:cs="Times New Roman"/>
          <w:color w:val="auto"/>
          <w:w w:val="95"/>
          <w:sz w:val="32"/>
          <w:szCs w:val="32"/>
          <w:u w:val="none"/>
        </w:rPr>
        <w:t>环境影响评价跟踪，开展重大经济、技术政策生态环境影响分</w:t>
      </w:r>
      <w:r>
        <w:rPr>
          <w:rFonts w:hint="default" w:ascii="Times New Roman" w:hAnsi="Times New Roman" w:eastAsia="仿宋_GB2312" w:cs="Times New Roman"/>
          <w:color w:val="auto"/>
          <w:sz w:val="32"/>
          <w:szCs w:val="32"/>
          <w:u w:val="none"/>
        </w:rPr>
        <w:t>析。</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（二）持续完善环境保护政策体系</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eastAsia" w:ascii="仿宋_GB2312" w:hAnsi="仿宋_GB2312" w:eastAsia="仿宋_GB2312" w:cs="仿宋_GB2312"/>
          <w:color w:val="auto"/>
          <w:sz w:val="32"/>
          <w:szCs w:val="32"/>
          <w:u w:val="none"/>
        </w:rPr>
        <w:t>深化生态环境领域“放管服”改革，推进环评审批和监督执法“两个正面清单”制度化、规范化。完善能耗总量和强度双控、煤炭消费总量和污染物排放</w:t>
      </w:r>
      <w:r>
        <w:rPr>
          <w:rFonts w:hint="default" w:ascii="Times New Roman" w:hAnsi="Times New Roman" w:eastAsia="仿宋_GB2312" w:cs="Times New Roman"/>
          <w:color w:val="auto"/>
          <w:sz w:val="32"/>
          <w:szCs w:val="32"/>
          <w:u w:val="none"/>
        </w:rPr>
        <w:t>总量控制制度，探索制定投资负面清单，抑制高碳投资，严控高耗水、高耗能产业发展，严控资源消耗大、环境污染重、投入大产出低的行业新增产能。持续落实河湖长制</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林长制</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建立完善生态补偿、科技创新、绿色金融、生态产品价值实现、农村环境基础设施运行维护等工作机制。</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（三）继续优化国土空间开发保护格局</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以资源环境承载能力、国土空间适宜性评价为基础，划准划优划实生态保护红线、永久基本农田、城镇开发边界三条红线，统筹布局生态、生产、生活功能空间，统筹各类空间内部用地安排。全面开展国土空间总体规划、相关专项规划和详细规划编制，切实把土壤环境保护目标和污染防治要求纳入国土空间规划。构</w:t>
      </w:r>
      <w:r>
        <w:rPr>
          <w:rFonts w:hint="eastAsia" w:ascii="仿宋_GB2312" w:hAnsi="仿宋_GB2312" w:eastAsia="仿宋_GB2312" w:cs="仿宋_GB2312"/>
          <w:color w:val="auto"/>
          <w:sz w:val="32"/>
          <w:szCs w:val="32"/>
          <w:u w:val="none"/>
        </w:rPr>
        <w:t>建“三级三类”国土空间</w:t>
      </w:r>
      <w:r>
        <w:rPr>
          <w:rFonts w:hint="default" w:ascii="Times New Roman" w:hAnsi="Times New Roman" w:eastAsia="仿宋_GB2312" w:cs="Times New Roman"/>
          <w:color w:val="auto"/>
          <w:sz w:val="32"/>
          <w:szCs w:val="32"/>
          <w:u w:val="none"/>
        </w:rPr>
        <w:t>规划体系，引导产业向工业集聚区集中，用规划管活动、保自然、促修复，减少对自然生态空间的占用。</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（四）推动形成区域绿色发展格局</w:t>
      </w:r>
    </w:p>
    <w:p>
      <w:pPr>
        <w:pageBreakBefore w:val="0"/>
        <w:kinsoku/>
        <w:wordWrap/>
        <w:overflowPunct/>
        <w:topLinePunct w:val="0"/>
        <w:autoSpaceDE/>
        <w:autoSpaceDN/>
        <w:bidi w:val="0"/>
        <w:snapToGrid/>
        <w:spacing w:line="560" w:lineRule="exact"/>
        <w:ind w:left="0" w:leftChars="0" w:firstLine="644" w:firstLineChars="200"/>
        <w:textAlignment w:val="auto"/>
        <w:rPr>
          <w:rFonts w:hint="eastAsia" w:ascii="仿宋_GB2312" w:hAnsi="仿宋_GB2312" w:eastAsia="仿宋_GB2312" w:cs="仿宋_GB2312"/>
          <w:color w:val="auto"/>
          <w:sz w:val="32"/>
          <w:szCs w:val="32"/>
          <w:u w:val="none"/>
        </w:rPr>
      </w:pPr>
      <w:r>
        <w:rPr>
          <w:rFonts w:hint="default" w:ascii="Times New Roman" w:hAnsi="Times New Roman" w:eastAsia="仿宋_GB2312" w:cs="Times New Roman"/>
          <w:color w:val="auto"/>
          <w:sz w:val="32"/>
          <w:szCs w:val="32"/>
          <w:u w:val="none"/>
        </w:rPr>
        <w:t>以生态脆弱地区为重点，围绕罗山、苦水河、红柳沟、清水河等区域，实施水源涵养、水土保持、生态修复等重点工程，统筹推进森林、草原、湿地、流域、农田、城市、沙漠</w:t>
      </w:r>
      <w:r>
        <w:rPr>
          <w:rFonts w:hint="eastAsia" w:ascii="仿宋_GB2312" w:hAnsi="仿宋_GB2312" w:eastAsia="仿宋_GB2312" w:cs="仿宋_GB2312"/>
          <w:color w:val="auto"/>
          <w:sz w:val="32"/>
          <w:szCs w:val="32"/>
          <w:u w:val="none"/>
        </w:rPr>
        <w:t>“七大生态系统”建设，增强生态系统的安全性、稳定性。</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bookmarkStart w:id="30" w:name="_Toc119061580"/>
      <w:r>
        <w:rPr>
          <w:rFonts w:hint="default" w:ascii="Times New Roman" w:hAnsi="Times New Roman" w:eastAsia="仿宋_GB2312" w:cs="Times New Roman"/>
          <w:color w:val="auto"/>
          <w:sz w:val="32"/>
          <w:szCs w:val="32"/>
          <w:u w:val="none"/>
        </w:rPr>
        <w:t>二、加快推动产业转型升级</w:t>
      </w:r>
      <w:bookmarkEnd w:id="30"/>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（一）深入实施绿色改造</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围绕绿色、智能、高端化发展方向，加快实施绿色改造、智能改造、技术改造，推动产业结构、产能结构、产品结构调整。强化行业间横向耦合、生态链接、原料互供、资源共享，支持企业开发绿色产品，建设绿色工厂，全面推进绿色制造体系建设，</w:t>
      </w:r>
      <w:r>
        <w:rPr>
          <w:rFonts w:hint="default" w:ascii="Times New Roman" w:hAnsi="Times New Roman" w:eastAsia="仿宋_GB2312" w:cs="Times New Roman"/>
          <w:color w:val="auto"/>
          <w:sz w:val="32"/>
          <w:szCs w:val="32"/>
          <w:u w:val="none"/>
          <w:lang w:eastAsia="zh-CN"/>
        </w:rPr>
        <w:t>力争</w:t>
      </w:r>
      <w:r>
        <w:rPr>
          <w:rFonts w:hint="default" w:ascii="Times New Roman" w:hAnsi="Times New Roman" w:eastAsia="仿宋_GB2312" w:cs="Times New Roman"/>
          <w:color w:val="auto"/>
          <w:sz w:val="32"/>
          <w:szCs w:val="32"/>
          <w:u w:val="none"/>
        </w:rPr>
        <w:t>打造循环经济产业园和循环经济示范企业。加快建设绿色园区，持续完善集中供热（汽）、再生水回用、固危废利用等配套设施，推动园区绿色化、循环化和生态化改造。制</w:t>
      </w:r>
      <w:r>
        <w:rPr>
          <w:rFonts w:hint="default" w:ascii="Times New Roman" w:hAnsi="Times New Roman" w:eastAsia="仿宋_GB2312" w:cs="Times New Roman"/>
          <w:color w:val="auto"/>
          <w:w w:val="95"/>
          <w:sz w:val="32"/>
          <w:szCs w:val="32"/>
          <w:u w:val="none"/>
        </w:rPr>
        <w:t>定清洁生产审核实施方案，在重点行业推进强制性清洁生产审</w:t>
      </w:r>
      <w:r>
        <w:rPr>
          <w:rFonts w:hint="default" w:ascii="Times New Roman" w:hAnsi="Times New Roman" w:eastAsia="仿宋_GB2312" w:cs="Times New Roman"/>
          <w:color w:val="auto"/>
          <w:sz w:val="32"/>
          <w:szCs w:val="32"/>
          <w:u w:val="none"/>
        </w:rPr>
        <w:t>核。</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（二）大力淘汰落后产能</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eastAsia" w:ascii="仿宋_GB2312" w:hAnsi="仿宋_GB2312" w:eastAsia="仿宋_GB2312" w:cs="仿宋_GB2312"/>
          <w:color w:val="auto"/>
          <w:sz w:val="32"/>
          <w:szCs w:val="32"/>
          <w:u w:val="none"/>
        </w:rPr>
        <w:t>建立“散乱污”企业动态清零和“僵尸企业”清出长效机制，加快清理低端低效落后产能，为新材料、新能源等先进、优质</w:t>
      </w:r>
      <w:r>
        <w:rPr>
          <w:rFonts w:hint="default" w:ascii="Times New Roman" w:hAnsi="Times New Roman" w:eastAsia="仿宋_GB2312" w:cs="Times New Roman"/>
          <w:color w:val="auto"/>
          <w:sz w:val="32"/>
          <w:szCs w:val="32"/>
          <w:u w:val="none"/>
        </w:rPr>
        <w:t>绿色产能腾出发展空间。持续加</w:t>
      </w:r>
      <w:r>
        <w:rPr>
          <w:rFonts w:hint="eastAsia" w:ascii="仿宋_GB2312" w:hAnsi="仿宋_GB2312" w:eastAsia="仿宋_GB2312" w:cs="仿宋_GB2312"/>
          <w:color w:val="auto"/>
          <w:sz w:val="32"/>
          <w:szCs w:val="32"/>
          <w:u w:val="none"/>
        </w:rPr>
        <w:t>大“散乱污”企</w:t>
      </w:r>
      <w:r>
        <w:rPr>
          <w:rFonts w:hint="default" w:ascii="Times New Roman" w:hAnsi="Times New Roman" w:eastAsia="仿宋_GB2312" w:cs="Times New Roman"/>
          <w:color w:val="auto"/>
          <w:sz w:val="32"/>
          <w:szCs w:val="32"/>
          <w:u w:val="none"/>
        </w:rPr>
        <w:t>业排查力度，对不符合产业布局规划、环保审批手续不完善、污染物排放不能稳定达标的企业坚决清理整治，严防死灰复燃、异地</w:t>
      </w:r>
      <w:r>
        <w:rPr>
          <w:rFonts w:hint="default" w:ascii="Times New Roman" w:hAnsi="Times New Roman" w:eastAsia="仿宋_GB2312" w:cs="Times New Roman"/>
          <w:color w:val="auto"/>
          <w:sz w:val="32"/>
          <w:szCs w:val="32"/>
          <w:highlight w:val="none"/>
          <w:u w:val="none"/>
        </w:rPr>
        <w:t>转移</w:t>
      </w:r>
      <w:r>
        <w:rPr>
          <w:rFonts w:hint="eastAsia" w:ascii="Times New Roman" w:hAnsi="Times New Roman" w:eastAsia="仿宋_GB2312" w:cs="Times New Roman"/>
          <w:color w:val="auto"/>
          <w:sz w:val="32"/>
          <w:szCs w:val="32"/>
          <w:highlight w:val="none"/>
          <w:u w:val="none"/>
          <w:lang w:eastAsia="zh-CN"/>
        </w:rPr>
        <w:t>等</w:t>
      </w:r>
      <w:r>
        <w:rPr>
          <w:rFonts w:hint="default" w:ascii="Times New Roman" w:hAnsi="Times New Roman" w:eastAsia="仿宋_GB2312" w:cs="Times New Roman"/>
          <w:color w:val="auto"/>
          <w:sz w:val="32"/>
          <w:szCs w:val="32"/>
          <w:highlight w:val="none"/>
          <w:u w:val="none"/>
        </w:rPr>
        <w:t>反</w:t>
      </w:r>
      <w:r>
        <w:rPr>
          <w:rFonts w:hint="default" w:ascii="Times New Roman" w:hAnsi="Times New Roman" w:eastAsia="仿宋_GB2312" w:cs="Times New Roman"/>
          <w:color w:val="auto"/>
          <w:sz w:val="32"/>
          <w:szCs w:val="32"/>
          <w:u w:val="none"/>
        </w:rPr>
        <w:t>弹现象。严禁承接不符合环保政策、产业政策的过剩和落后产能，杜绝产业转移变为污染转移。到2025年，落后产能完全退出。</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（三）严格项目环境准入</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严把项目审批核准，所有新、改、扩建项目严格执行环境影响评价制度和《产业结构调整指导目录》，严禁引进淘汰类和限制类工艺和产品，严控高耗能、高污染、低产出行业发展。所有工业企业原则上一律入园，工业园区（集聚区）以外不再新建、扩建工业项目。推动重污染企业搬迁入园或依法关闭。加快推进辖区内黄河支流、排水沟沿线存在重大环境安全隐患的危险化学品生产企业就地改造、异地迁建、关闭退出。</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（四）强化资源节约利用</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坚持节约集约循环利用的资源观，加快环保产业发展，支持水泥企业等协同处置改造，</w:t>
      </w:r>
      <w:r>
        <w:rPr>
          <w:rFonts w:hint="default" w:ascii="Times New Roman" w:hAnsi="Times New Roman" w:eastAsia="仿宋_GB2312" w:cs="Times New Roman"/>
          <w:color w:val="auto"/>
          <w:sz w:val="32"/>
          <w:szCs w:val="32"/>
          <w:u w:val="none"/>
          <w:lang w:eastAsia="zh-CN"/>
        </w:rPr>
        <w:t>争取</w:t>
      </w:r>
      <w:r>
        <w:rPr>
          <w:rFonts w:hint="default" w:ascii="Times New Roman" w:hAnsi="Times New Roman" w:eastAsia="仿宋_GB2312" w:cs="Times New Roman"/>
          <w:color w:val="auto"/>
          <w:sz w:val="32"/>
          <w:szCs w:val="32"/>
          <w:u w:val="none"/>
        </w:rPr>
        <w:t>建设固废危废协同处置</w:t>
      </w:r>
      <w:r>
        <w:rPr>
          <w:rFonts w:hint="default" w:ascii="Times New Roman" w:hAnsi="Times New Roman" w:eastAsia="仿宋_GB2312" w:cs="Times New Roman"/>
          <w:color w:val="auto"/>
          <w:sz w:val="32"/>
          <w:szCs w:val="32"/>
          <w:u w:val="none"/>
          <w:lang w:eastAsia="zh-CN"/>
        </w:rPr>
        <w:t>项目</w:t>
      </w:r>
      <w:r>
        <w:rPr>
          <w:rFonts w:hint="default" w:ascii="Times New Roman" w:hAnsi="Times New Roman" w:eastAsia="仿宋_GB2312" w:cs="Times New Roman"/>
          <w:color w:val="auto"/>
          <w:sz w:val="32"/>
          <w:szCs w:val="32"/>
          <w:u w:val="none"/>
        </w:rPr>
        <w:t>。加强重点行业废水废气废渣和余热余压循环利用，推进垃圾分类和减量化、资源化。倡导简约适度、绿色低碳的生产生活方式，将资源节约贯穿生产生活全过程各环节，最大程度、最广范围提高资源节约利用。</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b/>
          <w:bCs/>
          <w:color w:val="auto"/>
          <w:sz w:val="32"/>
          <w:szCs w:val="32"/>
          <w:u w:val="none"/>
        </w:rPr>
      </w:pPr>
      <w:bookmarkStart w:id="31" w:name="_Toc119061581"/>
      <w:r>
        <w:rPr>
          <w:rFonts w:hint="default" w:ascii="Times New Roman" w:hAnsi="Times New Roman" w:eastAsia="仿宋_GB2312" w:cs="Times New Roman"/>
          <w:b/>
          <w:bCs/>
          <w:color w:val="auto"/>
          <w:sz w:val="32"/>
          <w:szCs w:val="32"/>
          <w:u w:val="none"/>
        </w:rPr>
        <w:t>三、加快推进能源清洁高效利用</w:t>
      </w:r>
      <w:bookmarkEnd w:id="31"/>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（一）推进能源结构优化调整</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鼓励一体化配套发展风能、光能、水能、氢能等清洁能源及储能技术，加速能源体系清洁低碳发展，推动非化石能源成为能源消费增量的主体。优化风光电开发布局，建设红寺堡百万千瓦级光伏基地，因地制宜推广分布式光电项目。到2025年，可再生能源电力消纳比重达到30%以上，力争可再生能源装机量和发电量比重分别达到50%左右和30%左右。</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（二）严格控制煤炭消费总量</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统筹煤电发展和保供调峰，发展先进煤电技术，严控煤电装机规模，加快现役煤电机组节能升级和灵活性改造，淘汰关停不符合国家规定的燃煤锅炉和燃煤机组，加速推进太阳山开发区热电联产，严格落实能源消费总量和强度双控制度，合理控制煤炭开发强度和规模，全面推进煤炭清洁高效利用，切实降低煤炭消费量，不断降低煤炭在能源消费中的比重。到2025年，全区单位地区生产总值煤炭消耗较2020年降低15%，煤炭消费比重降低2.2%左右。</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（三）大力实施能源清洁化替代</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开展无集中供热区域清洁取暖试点示范，推进</w:t>
      </w:r>
      <w:r>
        <w:rPr>
          <w:rFonts w:hint="eastAsia" w:ascii="Times New Roman" w:hAnsi="Times New Roman" w:eastAsia="仿宋_GB2312" w:cs="Times New Roman"/>
          <w:color w:val="auto"/>
          <w:sz w:val="32"/>
          <w:szCs w:val="32"/>
          <w:u w:val="none"/>
          <w:lang w:eastAsia="zh-CN"/>
        </w:rPr>
        <w:t>农村冬季清洁取暖改造，</w:t>
      </w:r>
      <w:r>
        <w:rPr>
          <w:rFonts w:hint="eastAsia" w:ascii="仿宋_GB2312" w:hAnsi="仿宋_GB2312" w:eastAsia="仿宋_GB2312" w:cs="仿宋_GB2312"/>
          <w:color w:val="auto"/>
          <w:sz w:val="32"/>
          <w:szCs w:val="32"/>
          <w:u w:val="none"/>
        </w:rPr>
        <w:t>实施“煤改电、煤改气”工程，加快推进使用清洁低碳能源以及工厂余热、电力热力等替代燃煤</w:t>
      </w:r>
      <w:r>
        <w:rPr>
          <w:rFonts w:hint="default" w:ascii="Times New Roman" w:hAnsi="Times New Roman" w:eastAsia="仿宋_GB2312" w:cs="Times New Roman"/>
          <w:color w:val="auto"/>
          <w:sz w:val="32"/>
          <w:szCs w:val="32"/>
          <w:u w:val="none"/>
        </w:rPr>
        <w:t>供热，支持工商业建筑、居民建设独立光伏发电采暖，引导符合条件的用户采用中深层地岩热供暖技术。引导有条件</w:t>
      </w:r>
      <w:r>
        <w:rPr>
          <w:rFonts w:hint="eastAsia" w:ascii="Times New Roman" w:hAnsi="Times New Roman" w:eastAsia="仿宋_GB2312" w:cs="Times New Roman"/>
          <w:color w:val="auto"/>
          <w:sz w:val="32"/>
          <w:szCs w:val="32"/>
          <w:u w:val="none"/>
          <w:lang w:eastAsia="zh-CN"/>
        </w:rPr>
        <w:t>的</w:t>
      </w:r>
      <w:r>
        <w:rPr>
          <w:rFonts w:hint="default" w:ascii="Times New Roman" w:hAnsi="Times New Roman" w:eastAsia="仿宋_GB2312" w:cs="Times New Roman"/>
          <w:color w:val="auto"/>
          <w:sz w:val="32"/>
          <w:szCs w:val="32"/>
          <w:u w:val="none"/>
        </w:rPr>
        <w:t>发电企业利用富余电能电解制氢储能。争取到2025年，全区清洁取暖率达到80%以上。</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b/>
          <w:bCs/>
          <w:color w:val="auto"/>
          <w:sz w:val="32"/>
          <w:szCs w:val="32"/>
          <w:u w:val="none"/>
        </w:rPr>
      </w:pPr>
      <w:bookmarkStart w:id="32" w:name="_Toc119061582"/>
      <w:r>
        <w:rPr>
          <w:rFonts w:hint="default" w:ascii="Times New Roman" w:hAnsi="Times New Roman" w:eastAsia="仿宋_GB2312" w:cs="Times New Roman"/>
          <w:b/>
          <w:bCs/>
          <w:color w:val="auto"/>
          <w:sz w:val="32"/>
          <w:szCs w:val="32"/>
          <w:u w:val="none"/>
        </w:rPr>
        <w:t>四、加快构建绿色交通运输体系</w:t>
      </w:r>
      <w:bookmarkEnd w:id="32"/>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（一）持续优化交通运输结构</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助力红寺堡通用机场建设，利用好宁夏中欧班列重要支点优势，支持货物运输结构调整，鼓励发展公铁联运、陆空联运，降低公路货运比例。推动绿色出行，优化城市路网配置，推进城市绿道和社区绿道建设，助力城市公共交通和慢行交通系统建设管理。</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（二）持续推动车辆升级优化</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全面监管国六排放标准实施，持续推进清洁柴油车（机）行动，依法淘汰高耗能、高排放车辆，推广节能和新能源车辆，鼓励将老旧车辆和非道路移动机械替换为清洁能源车辆，新增及更换的公交车中新能源车占比不低于70%，环卫、邮政、轻型物流配送、机场和铁路货场等新增、更新车辆全面采用新能源车。加快充电站、换电站、加氢站布局，在交通枢纽、快递转运中心、物流园区等区域建设充电基础设施。到2025年，基本淘汰国三及以下营运柴油货车。</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（三）持续完善绿色流通体系</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eastAsia" w:ascii="仿宋_GB2312" w:hAnsi="仿宋_GB2312" w:eastAsia="仿宋_GB2312" w:cs="仿宋_GB2312"/>
          <w:color w:val="auto"/>
          <w:sz w:val="32"/>
          <w:szCs w:val="32"/>
          <w:u w:val="none"/>
        </w:rPr>
        <w:t>优化“基地型物流园区+专业化物流中心”现代物流体系。</w:t>
      </w:r>
      <w:r>
        <w:rPr>
          <w:rFonts w:hint="default" w:ascii="Times New Roman" w:hAnsi="Times New Roman" w:eastAsia="仿宋_GB2312" w:cs="Times New Roman"/>
          <w:color w:val="auto"/>
          <w:sz w:val="32"/>
          <w:szCs w:val="32"/>
          <w:u w:val="none"/>
        </w:rPr>
        <w:t>建设完善红寺堡区运通物流园区。大力发展冷链物流、供应链物流和专业物流等物流业务，构建与制造业、农业和商贸流通业深度融合的现代供应链体系，持续降低物流成本，提升物流配送质效。推进城乡绿色配送体系建设，实现城乡配送一体化，畅通货运物流</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最后一公里</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。加强快递包装绿色治理，推进大型电商和寄递企业包装物回收循环利用共</w:t>
      </w:r>
      <w:bookmarkStart w:id="33" w:name="_Hlk118980448"/>
      <w:r>
        <w:rPr>
          <w:rFonts w:hint="default" w:ascii="Times New Roman" w:hAnsi="Times New Roman" w:eastAsia="仿宋_GB2312" w:cs="Times New Roman"/>
          <w:color w:val="auto"/>
          <w:sz w:val="32"/>
          <w:szCs w:val="32"/>
          <w:u w:val="none"/>
        </w:rPr>
        <w:t>享。</w:t>
      </w:r>
    </w:p>
    <w:tbl>
      <w:tblPr>
        <w:tblStyle w:val="23"/>
        <w:tblpPr w:leftFromText="180" w:rightFromText="180" w:vertAnchor="text" w:horzAnchor="page" w:tblpX="1821" w:tblpY="625"/>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96" w:type="dxa"/>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rPr>
              <w:t xml:space="preserve">专栏1 </w:t>
            </w:r>
            <w:r>
              <w:rPr>
                <w:rFonts w:hint="eastAsia" w:ascii="仿宋_GB2312" w:hAnsi="仿宋_GB2312" w:eastAsia="仿宋_GB2312" w:cs="仿宋_GB2312"/>
                <w:b/>
                <w:bCs/>
                <w:color w:val="auto"/>
                <w:sz w:val="32"/>
                <w:szCs w:val="32"/>
                <w:u w:val="none"/>
              </w:rPr>
              <w:t>红寺堡区“十四五”促进绿色转型发展工程项目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96" w:type="dxa"/>
          </w:tcPr>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1、新能源重点工业项目：腾晖光伏红寺堡区100MW 光伏项目；上海市机电设计研究院有限公司红寺堡区100MW光伏发电项目；生物质发电、垃圾焚烧发电等新能源建设项目；存量新能源项目改造提升项目；卧龙电气红寺堡150MW风电项目；三峡新能源红寺堡50MW风电项目；电能替代项目。</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2、新能源安全保障重点工程</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（1）新能源产业一体化配套发展项目：建设新能源大数据智能管理及集中运维中心、新能源职业培训学校、4.3GW复合光伏电站、配套2座330KV变电站。</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（2）城乡电网基础设施提升改造工程：完善城乡电网基础设施，加大农村及城区老旧小区配电网升级改造。</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清洁能源利用工程：推广光伏+设施农业、畜牧养殖、防沙治沙、生态旅游等综合利用项目；积极争取国家绿色发展基金支持项目，鼓励工业园区、大型公共建筑及民用住宅屋顶建设分布式光伏发电，大力推广清洁能源利用。</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（4）风光储一体化建设工程：发挥风能、太阳能等资源组合多能互补优势，推进风光储一体化建设。</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其他新型工业项目：资源节约循环利用暨资源综合利用项目；红寺堡区柠条深加工项目；吴忠赛马新型建材有限公司水泥窑协同处置固体废物及危险废物项目；玻璃制品生产项目；绿色食品加工项目；太阳山开发区生物医药产业链项目。</w:t>
            </w:r>
          </w:p>
        </w:tc>
      </w:tr>
    </w:tbl>
    <w:p>
      <w:pPr>
        <w:pStyle w:val="4"/>
        <w:pageBreakBefore w:val="0"/>
        <w:kinsoku/>
        <w:wordWrap/>
        <w:overflowPunct/>
        <w:topLinePunct w:val="0"/>
        <w:autoSpaceDE/>
        <w:autoSpaceDN/>
        <w:bidi w:val="0"/>
        <w:snapToGrid/>
        <w:spacing w:before="0" w:after="0" w:line="560" w:lineRule="exact"/>
        <w:ind w:left="0" w:leftChars="0"/>
        <w:jc w:val="center"/>
        <w:textAlignment w:val="auto"/>
        <w:rPr>
          <w:rFonts w:hint="default" w:ascii="Times New Roman" w:hAnsi="Times New Roman" w:eastAsia="楷体_GB2312" w:cs="Times New Roman"/>
          <w:color w:val="auto"/>
          <w:sz w:val="32"/>
          <w:szCs w:val="32"/>
          <w:u w:val="none"/>
          <w:lang w:val="en-US" w:eastAsia="zh-CN"/>
        </w:rPr>
      </w:pPr>
      <w:bookmarkStart w:id="34" w:name="_Toc119061583"/>
    </w:p>
    <w:p>
      <w:pPr>
        <w:pStyle w:val="4"/>
        <w:keepNext/>
        <w:keepLines/>
        <w:pageBreakBefore w:val="0"/>
        <w:widowControl w:val="0"/>
        <w:kinsoku/>
        <w:wordWrap/>
        <w:overflowPunct/>
        <w:topLinePunct w:val="0"/>
        <w:autoSpaceDE/>
        <w:autoSpaceDN/>
        <w:bidi w:val="0"/>
        <w:adjustRightInd/>
        <w:snapToGrid/>
        <w:spacing w:before="0" w:after="160" w:afterLines="50" w:line="560" w:lineRule="exact"/>
        <w:ind w:left="0" w:leftChars="0"/>
        <w:jc w:val="center"/>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楷体_GB2312" w:cs="Times New Roman"/>
          <w:color w:val="auto"/>
          <w:sz w:val="32"/>
          <w:szCs w:val="32"/>
          <w:u w:val="none"/>
          <w:lang w:val="en-US" w:eastAsia="zh-CN"/>
        </w:rPr>
        <w:t>第二节 协同发力、加大大气环境保护力度</w:t>
      </w:r>
      <w:bookmarkEnd w:id="33"/>
      <w:bookmarkEnd w:id="34"/>
      <w:bookmarkStart w:id="35" w:name="_Toc119061584"/>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eastAsia" w:ascii="仿宋_GB2312" w:hAnsi="仿宋_GB2312" w:eastAsia="仿宋_GB2312" w:cs="仿宋_GB2312"/>
          <w:b/>
          <w:bCs/>
          <w:color w:val="auto"/>
          <w:sz w:val="32"/>
          <w:szCs w:val="32"/>
          <w:u w:val="none"/>
        </w:rPr>
      </w:pPr>
      <w:r>
        <w:rPr>
          <w:rFonts w:hint="default" w:ascii="Times New Roman" w:hAnsi="Times New Roman" w:eastAsia="仿宋_GB2312" w:cs="Times New Roman"/>
          <w:b/>
          <w:bCs/>
          <w:color w:val="auto"/>
          <w:sz w:val="32"/>
          <w:szCs w:val="32"/>
          <w:u w:val="none"/>
        </w:rPr>
        <w:t>一、大力推进</w:t>
      </w:r>
      <w:r>
        <w:rPr>
          <w:rFonts w:hint="eastAsia" w:ascii="仿宋_GB2312" w:hAnsi="仿宋_GB2312" w:eastAsia="仿宋_GB2312" w:cs="仿宋_GB2312"/>
          <w:b/>
          <w:bCs/>
          <w:color w:val="auto"/>
          <w:sz w:val="32"/>
          <w:szCs w:val="32"/>
          <w:u w:val="none"/>
        </w:rPr>
        <w:t>“四尘同治”</w:t>
      </w:r>
      <w:bookmarkEnd w:id="35"/>
    </w:p>
    <w:p>
      <w:pPr>
        <w:pageBreakBefore w:val="0"/>
        <w:kinsoku/>
        <w:wordWrap/>
        <w:overflowPunct/>
        <w:topLinePunct w:val="0"/>
        <w:autoSpaceDE/>
        <w:autoSpaceDN/>
        <w:bidi w:val="0"/>
        <w:snapToGrid/>
        <w:spacing w:line="560" w:lineRule="exact"/>
        <w:ind w:left="0" w:leftChars="0" w:firstLine="644" w:firstLineChars="200"/>
        <w:textAlignment w:val="auto"/>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（一）强化“煤尘”污染治理</w:t>
      </w:r>
    </w:p>
    <w:p>
      <w:pPr>
        <w:pageBreakBefore w:val="0"/>
        <w:kinsoku/>
        <w:wordWrap/>
        <w:overflowPunct/>
        <w:topLinePunct w:val="0"/>
        <w:autoSpaceDE/>
        <w:autoSpaceDN/>
        <w:bidi w:val="0"/>
        <w:snapToGrid/>
        <w:spacing w:line="560" w:lineRule="exact"/>
        <w:ind w:left="0" w:leftChars="0" w:firstLine="644"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按照“一园区一热源”原则，推动工业园区集中供热（汽）、热电联产和余（废）热回收利用，减少工业生产过程煤炭消耗，严格控制涉煤工业炉窑建设，持续推进燃</w:t>
      </w:r>
      <w:r>
        <w:rPr>
          <w:rFonts w:hint="default" w:ascii="Times New Roman" w:hAnsi="Times New Roman" w:eastAsia="仿宋_GB2312" w:cs="Times New Roman"/>
          <w:color w:val="auto"/>
          <w:sz w:val="32"/>
          <w:szCs w:val="32"/>
          <w:u w:val="none"/>
        </w:rPr>
        <w:t>料清洁低碳化替代。城市建成区、集中供热覆盖区及天然气管网覆盖区一律禁止新建燃煤锅炉，逐步淘汰35蒸吨</w:t>
      </w:r>
      <w:r>
        <w:rPr>
          <w:rFonts w:hint="eastAsia" w:ascii="仿宋_GB2312" w:hAnsi="仿宋_GB2312" w:eastAsia="仿宋_GB2312" w:cs="仿宋_GB2312"/>
          <w:color w:val="auto"/>
          <w:sz w:val="32"/>
          <w:szCs w:val="32"/>
          <w:u w:val="none"/>
        </w:rPr>
        <w:t>/</w:t>
      </w:r>
      <w:r>
        <w:rPr>
          <w:rFonts w:hint="default" w:ascii="Times New Roman" w:hAnsi="Times New Roman" w:eastAsia="仿宋_GB2312" w:cs="Times New Roman"/>
          <w:color w:val="auto"/>
          <w:sz w:val="32"/>
          <w:szCs w:val="32"/>
          <w:u w:val="none"/>
        </w:rPr>
        <w:t>小时以下燃煤锅炉，保留及新建锅炉需达到特别排放限值要求。精心实施北方地区冬季清洁取暖项目，因地制宜加快农村地区清洁取暖步伐，推动农村能</w:t>
      </w:r>
      <w:r>
        <w:rPr>
          <w:rFonts w:hint="eastAsia" w:ascii="仿宋_GB2312" w:hAnsi="仿宋_GB2312" w:eastAsia="仿宋_GB2312" w:cs="仿宋_GB2312"/>
          <w:color w:val="auto"/>
          <w:sz w:val="32"/>
          <w:szCs w:val="32"/>
          <w:u w:val="none"/>
        </w:rPr>
        <w:t>源消费向“清洁化”“低碳化”转变。</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（二）强化“扬尘”污染管控</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大力推进智慧工地建设，全面推行绿色施工，将绿色施工纳入企业资质评价、信用评价，督促建筑工地严格落实</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六个100%</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管控措施，在城市建成区规模以上工地安装视频监控设备和颗粒物在线监测设施并联网，持续提高扬尘管控水平。加强混凝土搅拌站、料石堆场、拆迁工地、矿山、裸露地面、闲置地块等薄弱环节的扬尘治理，从严从细规范管理渣土车，采取清洗、苫盖等综合措施抑尘，持续推进国土绿化，加强城市公园绿地、绿化隔离地等建设。</w:t>
      </w:r>
    </w:p>
    <w:p>
      <w:pPr>
        <w:pageBreakBefore w:val="0"/>
        <w:kinsoku/>
        <w:wordWrap/>
        <w:overflowPunct/>
        <w:topLinePunct w:val="0"/>
        <w:autoSpaceDE/>
        <w:autoSpaceDN/>
        <w:bidi w:val="0"/>
        <w:snapToGrid/>
        <w:spacing w:line="560" w:lineRule="exact"/>
        <w:ind w:left="0" w:leftChars="0" w:firstLine="644" w:firstLineChars="200"/>
        <w:textAlignment w:val="auto"/>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（三）强化“烟尘”污染防治</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全面推进重点区域、重点行业、重点企业和</w:t>
      </w:r>
      <w:r>
        <w:rPr>
          <w:rFonts w:hint="eastAsia" w:ascii="仿宋_GB2312" w:hAnsi="仿宋_GB2312" w:eastAsia="仿宋_GB2312" w:cs="仿宋_GB2312"/>
          <w:color w:val="auto"/>
          <w:sz w:val="32"/>
          <w:szCs w:val="32"/>
          <w:u w:val="none"/>
        </w:rPr>
        <w:t>“低散乱污”企</w:t>
      </w:r>
      <w:r>
        <w:rPr>
          <w:rFonts w:hint="default" w:ascii="Times New Roman" w:hAnsi="Times New Roman" w:eastAsia="仿宋_GB2312" w:cs="Times New Roman"/>
          <w:color w:val="auto"/>
          <w:sz w:val="32"/>
          <w:szCs w:val="32"/>
          <w:u w:val="none"/>
        </w:rPr>
        <w:t>业烟尘治理，推进水泥等行业超低排放改造，深入开展工业无组织排放整治，从源头减少产生量、过程减少泄漏量、末端减少排放量。切实加强餐饮业油烟污染整治，餐饮经营场所全部安装油烟净化设施，设施正常使用率不低于95</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rPr>
        <w:t>，鼓励规模以上餐饮企业试点安装油烟在线监控设施。建立完善区、乡镇（街道）、村三级管控体系，强化重点区域巡查，严厉打击秸秆、落叶、塑料等露天焚烧等违法行为。</w:t>
      </w:r>
    </w:p>
    <w:p>
      <w:pPr>
        <w:pageBreakBefore w:val="0"/>
        <w:kinsoku/>
        <w:wordWrap/>
        <w:overflowPunct/>
        <w:topLinePunct w:val="0"/>
        <w:autoSpaceDE/>
        <w:autoSpaceDN/>
        <w:bidi w:val="0"/>
        <w:snapToGrid/>
        <w:spacing w:line="560" w:lineRule="exact"/>
        <w:ind w:left="0" w:leftChars="0" w:firstLine="644" w:firstLineChars="200"/>
        <w:textAlignment w:val="auto"/>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（四）强化“汽尘”污染控制</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严格执行汽柴油质量标准，加强油品产销储全链条监管执法，严厉打击黑加油站和非标油生产企业，对年销售量5000吨以上在营加油站安装油气回收自动监控设备并与生态环境部门联网，加强油罐车油气回收系统检测监管。全面完成老旧车辆淘汰任务，开展柴油货车污染治理攻坚行动，加强运输车辆联合监管，强化对低速载货车、物流运输车、城际客运车、重型柴油车的路检路查和重点运输企业停放地监督抽测，实施排放黑名单管理。建设机动车尾气监管平台，利用遥感监测、大数据、物联网等信息技术，规范机动车排污管理。</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b/>
          <w:bCs/>
          <w:color w:val="auto"/>
          <w:sz w:val="32"/>
          <w:szCs w:val="32"/>
          <w:u w:val="none"/>
        </w:rPr>
      </w:pPr>
      <w:bookmarkStart w:id="36" w:name="_Toc119061585"/>
      <w:r>
        <w:rPr>
          <w:rFonts w:hint="default" w:ascii="Times New Roman" w:hAnsi="Times New Roman" w:eastAsia="仿宋_GB2312" w:cs="Times New Roman"/>
          <w:b/>
          <w:bCs/>
          <w:color w:val="auto"/>
          <w:sz w:val="32"/>
          <w:szCs w:val="32"/>
          <w:u w:val="none"/>
        </w:rPr>
        <w:t>二、全面管控大气污染源</w:t>
      </w:r>
      <w:bookmarkEnd w:id="36"/>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（一）加强重点行业企业大气污染治理</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开展重点工业大气污染深度治理，采取密闭、封闭等措施有效提高废气收集率，配套建设高效脱硫脱硝除尘等设施，切实提高氮氧化物（NOx）去除效率。围绕石化、化工、包装印刷、工业涂装、汽车修理等重点行业，建立完善源头、过程和末端的挥发性有机化合物（VOCs）全过程控制体系，优化减排路径和措施，实施VOCs排放总量控制</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建立健全管理制度,加强物料存储、转移和输送、设备与管线组件泄露、逸散等排放源治理。</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探索建立大气氨规范化排放清单，加强工业企业氨逃逸控制，有效控制烟气脱硝和氨法脱硫过程中氨排放。推进养殖业、种植业大气氨减排，优化化肥、饲料结构，推广化肥减量增效。提高畜禽粪污利用效率，推广畜禽粪便生物处理技术。摸清可吸入颗粒物（PM</w:t>
      </w:r>
      <w:r>
        <w:rPr>
          <w:rFonts w:hint="default" w:ascii="Times New Roman" w:hAnsi="Times New Roman" w:eastAsia="仿宋_GB2312" w:cs="Times New Roman"/>
          <w:color w:val="auto"/>
          <w:sz w:val="32"/>
          <w:szCs w:val="32"/>
          <w:u w:val="none"/>
          <w:vertAlign w:val="subscript"/>
        </w:rPr>
        <w:t>10</w:t>
      </w:r>
      <w:r>
        <w:rPr>
          <w:rFonts w:hint="default" w:ascii="Times New Roman" w:hAnsi="Times New Roman" w:eastAsia="仿宋_GB2312" w:cs="Times New Roman"/>
          <w:color w:val="auto"/>
          <w:sz w:val="32"/>
          <w:szCs w:val="32"/>
          <w:u w:val="none"/>
        </w:rPr>
        <w:t>）和细颗粒物（PM</w:t>
      </w:r>
      <w:r>
        <w:rPr>
          <w:rFonts w:hint="default" w:ascii="Times New Roman" w:hAnsi="Times New Roman" w:eastAsia="仿宋_GB2312" w:cs="Times New Roman"/>
          <w:color w:val="auto"/>
          <w:sz w:val="32"/>
          <w:szCs w:val="32"/>
          <w:u w:val="none"/>
          <w:vertAlign w:val="subscript"/>
        </w:rPr>
        <w:t>2.5</w:t>
      </w:r>
      <w:r>
        <w:rPr>
          <w:rFonts w:hint="default" w:ascii="Times New Roman" w:hAnsi="Times New Roman" w:eastAsia="仿宋_GB2312" w:cs="Times New Roman"/>
          <w:color w:val="auto"/>
          <w:sz w:val="32"/>
          <w:szCs w:val="32"/>
          <w:u w:val="none"/>
        </w:rPr>
        <w:t>）污染区域的传输规律和季节性特征，加强重点区域、重点时段、重点领域、重点行业治理，强化分区分时分类差异化精细化协同管控。加强节能减排约束性指标管理，实施重大减排工程，大力削减大气污染源排放量，努力实现协同效应。</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（二）推动多污染物减排行动协同发力</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加强垃圾处理、污水处理、畜禽养殖等各环节异味治理，鼓励开展恶臭投诉重点企业和园区电子监测。禁止露天焚烧产生有毒有害烟尘和恶臭气体的物质或将其用作燃料。加强臭氧层消耗物质环境管理，实施含氢氯氟烃（HCFCs）淘汰和替代。基于现有烟气污染物控制装备，推进工业烟气中三氧化硫、汞、铅、砷、镉等多种非常规污染物强效脱除技术应用试点。</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建立重污染天气监测预警体系，及时进行会商研判。完善重污染天气应急预案和应对方案，细化重点企业应急减排措施，有效实现重</w:t>
      </w:r>
      <w:r>
        <w:rPr>
          <w:rFonts w:hint="eastAsia" w:ascii="仿宋_GB2312" w:hAnsi="仿宋_GB2312" w:eastAsia="仿宋_GB2312" w:cs="仿宋_GB2312"/>
          <w:color w:val="auto"/>
          <w:sz w:val="32"/>
          <w:szCs w:val="32"/>
          <w:u w:val="none"/>
        </w:rPr>
        <w:t>污染“削峰降速”。 将重</w:t>
      </w:r>
      <w:r>
        <w:rPr>
          <w:rFonts w:hint="default" w:ascii="Times New Roman" w:hAnsi="Times New Roman" w:eastAsia="仿宋_GB2312" w:cs="Times New Roman"/>
          <w:color w:val="auto"/>
          <w:sz w:val="32"/>
          <w:szCs w:val="32"/>
          <w:u w:val="none"/>
        </w:rPr>
        <w:t>污染天气应急响应纳入</w:t>
      </w:r>
      <w:r>
        <w:rPr>
          <w:rFonts w:hint="default" w:ascii="Times New Roman" w:hAnsi="Times New Roman" w:eastAsia="仿宋_GB2312" w:cs="Times New Roman"/>
          <w:color w:val="auto"/>
          <w:sz w:val="32"/>
          <w:szCs w:val="32"/>
          <w:u w:val="none"/>
          <w:lang w:eastAsia="zh-CN"/>
        </w:rPr>
        <w:t>区</w:t>
      </w:r>
      <w:r>
        <w:rPr>
          <w:rFonts w:hint="default" w:ascii="Times New Roman" w:hAnsi="Times New Roman" w:eastAsia="仿宋_GB2312" w:cs="Times New Roman"/>
          <w:color w:val="auto"/>
          <w:sz w:val="32"/>
          <w:szCs w:val="32"/>
          <w:u w:val="none"/>
        </w:rPr>
        <w:t>政府突发事件应急管理体系，定期组织开展重污染天气应急演练。聚焦重点时段，实施季节性调控和攻坚，秋冬季攻坚期间兼顾臭氧污染防治，夏季臭氧污染攻坚期协同治理颗粒物。与相关部门做好重污染天气预警研判，提前部署，积极应对不利气象条件对环境空气质量的影响。</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（三）完善联建联防联控体系</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建立跨行政区协调机制，加强区域合作，推进红寺堡区与周边</w:t>
      </w:r>
      <w:r>
        <w:rPr>
          <w:rFonts w:hint="default" w:ascii="Times New Roman" w:hAnsi="Times New Roman" w:eastAsia="仿宋_GB2312" w:cs="Times New Roman"/>
          <w:color w:val="auto"/>
          <w:sz w:val="32"/>
          <w:szCs w:val="32"/>
          <w:u w:val="none"/>
          <w:lang w:eastAsia="zh-CN"/>
        </w:rPr>
        <w:t>县（区）</w:t>
      </w:r>
      <w:r>
        <w:rPr>
          <w:rFonts w:hint="default" w:ascii="Times New Roman" w:hAnsi="Times New Roman" w:eastAsia="仿宋_GB2312" w:cs="Times New Roman"/>
          <w:color w:val="auto"/>
          <w:sz w:val="32"/>
          <w:szCs w:val="32"/>
          <w:u w:val="none"/>
        </w:rPr>
        <w:t>的协同治理，建立完善信息共享、协商决策、公共参与和利益补偿机制，建立联防联控的大气复合污染综合防治体系。严格落实《红寺堡区人民政府办公室关于印发红寺堡区生态环境保护工作会商督办制度（试行）的通知》，进一步压实责任，完善机制，整合力量，明确生态环境、住建交通、发改、工信、气象等部门工作职责，切实形成工作合力，确保大气污染防治工作取得实效。</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b/>
          <w:bCs/>
          <w:color w:val="auto"/>
          <w:sz w:val="32"/>
          <w:szCs w:val="32"/>
          <w:u w:val="none"/>
        </w:rPr>
      </w:pPr>
      <w:bookmarkStart w:id="37" w:name="_Toc119061586"/>
      <w:r>
        <w:rPr>
          <w:rFonts w:hint="default" w:ascii="Times New Roman" w:hAnsi="Times New Roman" w:eastAsia="仿宋_GB2312" w:cs="Times New Roman"/>
          <w:b/>
          <w:bCs/>
          <w:color w:val="auto"/>
          <w:sz w:val="32"/>
          <w:szCs w:val="32"/>
          <w:u w:val="none"/>
        </w:rPr>
        <w:t>三、深入推进碳达峰碳中和</w:t>
      </w:r>
      <w:bookmarkEnd w:id="37"/>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（一）积极推进能源供给和利用格局转变</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提升供应侧非化石能源比重，提高消费侧电力比重，大力推广天然气、风能、太阳能等清洁能源，不断降低煤炭在能源消费中的比例。积极推进新能源一体化等重点能源项目。加快推进垃圾发电、沼气发电、生物燃料乙醇等生物质能发展。加快供热管网建设，充分释放热电联产、工业余热等供热能力，淘汰管网覆盖范围内的燃煤锅炉和散煤。原则上不再新建35蒸吨/小时以下的燃煤锅炉，淘汰10蒸吨</w:t>
      </w:r>
      <w:r>
        <w:rPr>
          <w:rFonts w:hint="eastAsia" w:ascii="仿宋_GB2312" w:hAnsi="仿宋_GB2312" w:eastAsia="仿宋_GB2312" w:cs="仿宋_GB2312"/>
          <w:color w:val="auto"/>
          <w:sz w:val="32"/>
          <w:szCs w:val="32"/>
          <w:u w:val="none"/>
        </w:rPr>
        <w:t>/</w:t>
      </w:r>
      <w:r>
        <w:rPr>
          <w:rFonts w:hint="default" w:ascii="Times New Roman" w:hAnsi="Times New Roman" w:eastAsia="仿宋_GB2312" w:cs="Times New Roman"/>
          <w:color w:val="auto"/>
          <w:sz w:val="32"/>
          <w:szCs w:val="32"/>
          <w:u w:val="none"/>
        </w:rPr>
        <w:t>小时以下的燃煤锅炉。现有燃气锅炉要逐步开展低氮燃烧改造，到2025年，所有燃气锅炉氮氧化物排放浓度低于50毫克</w:t>
      </w:r>
      <w:r>
        <w:rPr>
          <w:rFonts w:hint="eastAsia" w:ascii="仿宋_GB2312" w:hAnsi="仿宋_GB2312" w:eastAsia="仿宋_GB2312" w:cs="仿宋_GB2312"/>
          <w:color w:val="auto"/>
          <w:sz w:val="32"/>
          <w:szCs w:val="32"/>
          <w:u w:val="none"/>
        </w:rPr>
        <w:t>/</w:t>
      </w:r>
      <w:r>
        <w:rPr>
          <w:rFonts w:hint="default" w:ascii="Times New Roman" w:hAnsi="Times New Roman" w:eastAsia="仿宋_GB2312" w:cs="Times New Roman"/>
          <w:color w:val="auto"/>
          <w:sz w:val="32"/>
          <w:szCs w:val="32"/>
          <w:u w:val="none"/>
        </w:rPr>
        <w:t>立方米。</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全面建立煤炭全过程管理和清洁利用体系，加强煤炭运输、存储、加工、燃烧、排放等各个环节的清洁管理，确保燃煤设施达标排放。加强化工、煤电等重点涉煤行业管控，严控煤炭消费增量；除热电联产外，严格控制新建、扩建燃煤发电项目，新建项目原则上禁止配套建设自备燃煤电站。鼓励采用太阳能供暖与其他清洁供暖方式科学搭配、互补增效，因地制宜发展</w:t>
      </w:r>
      <w:r>
        <w:rPr>
          <w:rFonts w:hint="eastAsia" w:ascii="仿宋_GB2312" w:hAnsi="仿宋_GB2312" w:eastAsia="仿宋_GB2312" w:cs="仿宋_GB2312"/>
          <w:color w:val="auto"/>
          <w:sz w:val="32"/>
          <w:szCs w:val="32"/>
          <w:u w:val="none"/>
        </w:rPr>
        <w:t>“太阳能+”供暖。农村地区大力推进生物质成型燃料替代散烧煤，积极发展各种</w:t>
      </w:r>
      <w:r>
        <w:rPr>
          <w:rFonts w:hint="default" w:ascii="Times New Roman" w:hAnsi="Times New Roman" w:eastAsia="仿宋_GB2312" w:cs="Times New Roman"/>
          <w:color w:val="auto"/>
          <w:sz w:val="32"/>
          <w:szCs w:val="32"/>
          <w:u w:val="none"/>
        </w:rPr>
        <w:t>技术路线的生物质气化及气电多联产，积极推广地热能供暖。</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（二）探索建立控制温室气体排放的有效途径</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充分借鉴同类市县低碳城市试点成果，</w:t>
      </w:r>
      <w:r>
        <w:rPr>
          <w:rFonts w:hint="eastAsia" w:ascii="仿宋_GB2312" w:hAnsi="仿宋_GB2312" w:eastAsia="仿宋_GB2312" w:cs="仿宋_GB2312"/>
          <w:color w:val="auto"/>
          <w:sz w:val="32"/>
          <w:szCs w:val="32"/>
          <w:u w:val="none"/>
        </w:rPr>
        <w:t>开展“风光储一体化”</w:t>
      </w:r>
      <w:r>
        <w:rPr>
          <w:rFonts w:hint="default" w:ascii="Times New Roman" w:hAnsi="Times New Roman" w:eastAsia="仿宋_GB2312" w:cs="Times New Roman"/>
          <w:color w:val="auto"/>
          <w:sz w:val="32"/>
          <w:szCs w:val="32"/>
          <w:u w:val="none"/>
        </w:rPr>
        <w:t>示范建设，升级工业生产领域工艺技术，控制工业过程温室气体排放。积极开展火电行业CO</w:t>
      </w:r>
      <w:r>
        <w:rPr>
          <w:rFonts w:hint="default" w:ascii="Times New Roman" w:hAnsi="Times New Roman" w:eastAsia="仿宋_GB2312" w:cs="Times New Roman"/>
          <w:color w:val="auto"/>
          <w:sz w:val="32"/>
          <w:szCs w:val="32"/>
          <w:u w:val="none"/>
          <w:vertAlign w:val="subscript"/>
        </w:rPr>
        <w:t>2</w:t>
      </w:r>
      <w:r>
        <w:rPr>
          <w:rFonts w:hint="default" w:ascii="Times New Roman" w:hAnsi="Times New Roman" w:eastAsia="仿宋_GB2312" w:cs="Times New Roman"/>
          <w:color w:val="auto"/>
          <w:sz w:val="32"/>
          <w:szCs w:val="32"/>
          <w:u w:val="none"/>
        </w:rPr>
        <w:t>排放总量控制试点，提高煤炭高效利用水平。推动煤电、煤化工、钢铁、石油化工等行业开展全流程二氧化碳减排示范工程。加快建立以低碳为特征的工业、能源、建筑、交通等产业体系和消费模式，有效控制温室气体排放。加大交通、建筑行业节能低碳技术开发与推广。</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（三）努力完成碳达峰碳中和任务</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color w:val="auto"/>
          <w:sz w:val="32"/>
          <w:szCs w:val="32"/>
          <w:u w:val="none"/>
        </w:rPr>
        <w:t>严格执行自治区和吴忠市碳达峰行动方案，实施以碳排放强度控制为主、碳排放总量控制为辅的制度，</w:t>
      </w:r>
      <w:r>
        <w:rPr>
          <w:rFonts w:hint="eastAsia" w:ascii="仿宋_GB2312" w:hAnsi="仿宋_GB2312" w:eastAsia="仿宋_GB2312" w:cs="仿宋_GB2312"/>
          <w:color w:val="auto"/>
          <w:sz w:val="32"/>
          <w:szCs w:val="32"/>
          <w:u w:val="none"/>
        </w:rPr>
        <w:t>落实碳排放强度和总量“双控”，制定符合红寺堡区实际的建材、水泥、石化、电力、煤炭等重点行业碳达峰碳中和方案，明确任务目标和具体举措。探索建立具有典型示范意义的低碳园区和低碳社区，</w:t>
      </w:r>
      <w:r>
        <w:rPr>
          <w:rFonts w:hint="default" w:ascii="Times New Roman" w:hAnsi="Times New Roman" w:eastAsia="仿宋_GB2312" w:cs="Times New Roman"/>
          <w:color w:val="auto"/>
          <w:sz w:val="32"/>
          <w:szCs w:val="32"/>
          <w:u w:val="none"/>
        </w:rPr>
        <w:t>继续实施生态建设重点工程，提升生态系统碳汇能力。</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坚持应对气候变化与生态环境保护相关工作同谋划、同部署、同落实，将应对气候变化</w:t>
      </w:r>
      <w:r>
        <w:rPr>
          <w:rFonts w:hint="eastAsia" w:ascii="仿宋_GB2312" w:hAnsi="仿宋_GB2312" w:eastAsia="仿宋_GB2312" w:cs="仿宋_GB2312"/>
          <w:color w:val="auto"/>
          <w:sz w:val="32"/>
          <w:szCs w:val="32"/>
          <w:u w:val="none"/>
        </w:rPr>
        <w:t>纳入“三线一单”管控</w:t>
      </w:r>
      <w:r>
        <w:rPr>
          <w:rFonts w:hint="default" w:ascii="Times New Roman" w:hAnsi="Times New Roman" w:eastAsia="仿宋_GB2312" w:cs="Times New Roman"/>
          <w:color w:val="auto"/>
          <w:sz w:val="32"/>
          <w:szCs w:val="32"/>
          <w:u w:val="none"/>
        </w:rPr>
        <w:t>和环境影响评价要求，加强对碳排放重点单位监管并纳入生态环境监管执法体系。整合大气污染物与碳排放监测、统计体系，推动大气污染物排放与碳排放清单协同编制。按照自治区和吴忠市统一部署，加快推进排放权交易工作。</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b/>
          <w:bCs/>
          <w:color w:val="auto"/>
          <w:sz w:val="32"/>
          <w:szCs w:val="32"/>
          <w:u w:val="none"/>
        </w:rPr>
      </w:pPr>
      <w:bookmarkStart w:id="38" w:name="_Toc119061587"/>
      <w:r>
        <w:rPr>
          <w:rFonts w:hint="default" w:ascii="Times New Roman" w:hAnsi="Times New Roman" w:eastAsia="仿宋_GB2312" w:cs="Times New Roman"/>
          <w:b/>
          <w:bCs/>
          <w:color w:val="auto"/>
          <w:sz w:val="32"/>
          <w:szCs w:val="32"/>
          <w:u w:val="none"/>
        </w:rPr>
        <w:t>四、推动交通运输行业清洁升级</w:t>
      </w:r>
      <w:bookmarkEnd w:id="38"/>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（一）推进货物运输绿色转型</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eastAsia" w:ascii="仿宋_GB2312" w:hAnsi="仿宋_GB2312" w:eastAsia="仿宋_GB2312" w:cs="仿宋_GB2312"/>
          <w:color w:val="auto"/>
          <w:sz w:val="32"/>
          <w:szCs w:val="32"/>
          <w:u w:val="none"/>
        </w:rPr>
        <w:t>充分利用大数据，坚持“宜公则公”、“宜铁则铁”、“宜联运则联运”的原则，发挥不同运输结构的组合优势。进一步深挖“公转铁”潜力，鼓励煤炭开采企业、大宗物资物流企业、大宗物资为主要原料的生产加工企业、燃煤发电企业以及新建或改扩建铁路专用线，合理提高物流铁路运输比例。新、改、扩</w:t>
      </w:r>
      <w:r>
        <w:rPr>
          <w:rFonts w:hint="default" w:ascii="Times New Roman" w:hAnsi="Times New Roman" w:eastAsia="仿宋_GB2312" w:cs="Times New Roman"/>
          <w:color w:val="auto"/>
          <w:sz w:val="32"/>
          <w:szCs w:val="32"/>
          <w:u w:val="none"/>
        </w:rPr>
        <w:t>建涉及大宗物料运输的建设项目，原则上不得采用公路运输。研究制定物流业提升行动计划，建设绿色物流体系。</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（二）加强车辆清洁化源头管控</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推动绿色出行，优化城市路网配置，推进城市绿道和社区绿道建设，加强城市慢行交通系统建设管理，减少机动车与慢行系统的交织，重点加强步行和自行车系统与公交站的无缝衔接。提高电动汽车保有量，推广节能和新能源车辆，完善充电桩等基础设施配套建设，到2025年底，全区新能源汽车新车销量占比达30%左右。实现新增和更新的公交、出租、环卫、邮政、通勤、轻型物流配送等车辆基本采用电动车，物流、铁路货场等新增或更换作业车辆主要采用新能源车，2025年底，新增及更换的公交车中新能源公交车比重达到70%以上。</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（三）建立移动源达标排放监管制度</w:t>
      </w:r>
    </w:p>
    <w:p>
      <w:pPr>
        <w:pageBreakBefore w:val="0"/>
        <w:widowControl w:val="0"/>
        <w:kinsoku/>
        <w:wordWrap/>
        <w:overflowPunct/>
        <w:topLinePunct w:val="0"/>
        <w:autoSpaceDE/>
        <w:autoSpaceDN/>
        <w:bidi w:val="0"/>
        <w:snapToGrid/>
        <w:spacing w:line="54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完善以新车（机械）源头管控为核心的移动源全过程监管制度。多路径推进机动车环保信息公开，完善一车一档。实施低速载货车、重型柴油车尾气排放达标</w:t>
      </w:r>
      <w:r>
        <w:rPr>
          <w:rFonts w:hint="eastAsia" w:ascii="仿宋_GB2312" w:hAnsi="仿宋_GB2312" w:eastAsia="仿宋_GB2312" w:cs="仿宋_GB2312"/>
          <w:color w:val="auto"/>
          <w:sz w:val="32"/>
          <w:szCs w:val="32"/>
          <w:u w:val="none"/>
        </w:rPr>
        <w:t>情况“黑名单”制度。建</w:t>
      </w:r>
      <w:r>
        <w:rPr>
          <w:rFonts w:hint="default" w:ascii="Times New Roman" w:hAnsi="Times New Roman" w:eastAsia="仿宋_GB2312" w:cs="Times New Roman"/>
          <w:color w:val="auto"/>
          <w:sz w:val="32"/>
          <w:szCs w:val="32"/>
          <w:u w:val="none"/>
        </w:rPr>
        <w:t>立健全涵盖定型、生产、注册登记、使用、报废等全生命周期移动源达标排放及监管体系。加强机动车排放监管能力建设，建立机动车全防全控监管机制。加强多部门、跨区域联合执法，完善生态环境部门监测取证、公安交管部门实施处罚、交通运输部门监督维修的联合监管模式。建立多部门协调配合的工程机械环保监管制度，形成编码登记、排放检测、超标处罚撤场等全链条管理。</w:t>
      </w:r>
    </w:p>
    <w:p>
      <w:pPr>
        <w:pStyle w:val="5"/>
        <w:pageBreakBefore w:val="0"/>
        <w:widowControl w:val="0"/>
        <w:kinsoku/>
        <w:wordWrap/>
        <w:overflowPunct/>
        <w:topLinePunct w:val="0"/>
        <w:autoSpaceDE/>
        <w:autoSpaceDN/>
        <w:bidi w:val="0"/>
        <w:snapToGrid/>
        <w:spacing w:before="0" w:beforeLines="0" w:after="0" w:afterLines="0" w:line="540" w:lineRule="exact"/>
        <w:ind w:left="0" w:leftChars="0"/>
        <w:textAlignment w:val="auto"/>
        <w:rPr>
          <w:rFonts w:hint="default" w:ascii="Times New Roman" w:hAnsi="Times New Roman" w:eastAsia="仿宋_GB2312" w:cs="Times New Roman"/>
          <w:color w:val="auto"/>
          <w:sz w:val="32"/>
          <w:szCs w:val="32"/>
          <w:u w:val="none"/>
        </w:rPr>
      </w:pPr>
      <w:bookmarkStart w:id="39" w:name="_Toc119061588"/>
      <w:r>
        <w:rPr>
          <w:rFonts w:hint="default" w:ascii="Times New Roman" w:hAnsi="Times New Roman" w:eastAsia="仿宋_GB2312" w:cs="Times New Roman"/>
          <w:color w:val="auto"/>
          <w:sz w:val="32"/>
          <w:szCs w:val="32"/>
          <w:u w:val="none"/>
        </w:rPr>
        <w:t>五、优化协同治理机制</w:t>
      </w:r>
      <w:bookmarkEnd w:id="39"/>
      <w:r>
        <w:rPr>
          <w:rFonts w:hint="default" w:ascii="Times New Roman" w:hAnsi="Times New Roman" w:eastAsia="仿宋_GB2312" w:cs="Times New Roman"/>
          <w:color w:val="auto"/>
          <w:sz w:val="32"/>
          <w:szCs w:val="32"/>
          <w:u w:val="none"/>
        </w:rPr>
        <w:t xml:space="preserve"> </w:t>
      </w:r>
    </w:p>
    <w:p>
      <w:pPr>
        <w:pageBreakBefore w:val="0"/>
        <w:widowControl w:val="0"/>
        <w:kinsoku/>
        <w:wordWrap/>
        <w:overflowPunct/>
        <w:topLinePunct w:val="0"/>
        <w:autoSpaceDE/>
        <w:autoSpaceDN/>
        <w:bidi w:val="0"/>
        <w:snapToGrid/>
        <w:spacing w:line="54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落实区域大气环境质量达标管理，实施空气质量分类管理、分区施策。按照行业管理属性，对空气质量已经达标的行业、企业，巩固现有达标成果，建立覆盖全区域全行业的大气污染物排放监管信息平台，实现大气污染物排放</w:t>
      </w:r>
      <w:r>
        <w:rPr>
          <w:rFonts w:hint="eastAsia" w:ascii="Times New Roman" w:hAnsi="Times New Roman" w:eastAsia="仿宋_GB2312" w:cs="Times New Roman"/>
          <w:color w:val="auto"/>
          <w:sz w:val="32"/>
          <w:szCs w:val="32"/>
          <w:highlight w:val="none"/>
          <w:u w:val="none"/>
          <w:lang w:eastAsia="zh-CN"/>
        </w:rPr>
        <w:t>实时</w:t>
      </w:r>
      <w:r>
        <w:rPr>
          <w:rFonts w:hint="default" w:ascii="Times New Roman" w:hAnsi="Times New Roman" w:eastAsia="仿宋_GB2312" w:cs="Times New Roman"/>
          <w:color w:val="auto"/>
          <w:sz w:val="32"/>
          <w:szCs w:val="32"/>
          <w:highlight w:val="none"/>
          <w:u w:val="none"/>
        </w:rPr>
        <w:t>监</w:t>
      </w:r>
      <w:r>
        <w:rPr>
          <w:rFonts w:hint="default" w:ascii="Times New Roman" w:hAnsi="Times New Roman" w:eastAsia="仿宋_GB2312" w:cs="Times New Roman"/>
          <w:color w:val="auto"/>
          <w:sz w:val="32"/>
          <w:szCs w:val="32"/>
          <w:u w:val="none"/>
        </w:rPr>
        <w:t xml:space="preserve">管。对尚未稳定达标的行业、企业，结合碳达峰目标，修订达标规划，同步助力实施各类大气污染治理项目，实现减污降碳协同发力，确保环境空气质量持续改善。 </w:t>
      </w:r>
    </w:p>
    <w:p>
      <w:pPr>
        <w:pageBreakBefore w:val="0"/>
        <w:widowControl w:val="0"/>
        <w:kinsoku/>
        <w:wordWrap/>
        <w:overflowPunct/>
        <w:topLinePunct w:val="0"/>
        <w:autoSpaceDE/>
        <w:autoSpaceDN/>
        <w:bidi w:val="0"/>
        <w:snapToGrid/>
        <w:spacing w:line="54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建立覆盖所有固定污染源的排污许可证制度，实施排污许</w:t>
      </w:r>
      <w:r>
        <w:rPr>
          <w:rFonts w:hint="eastAsia" w:ascii="仿宋_GB2312" w:hAnsi="仿宋_GB2312" w:eastAsia="仿宋_GB2312" w:cs="仿宋_GB2312"/>
          <w:color w:val="auto"/>
          <w:sz w:val="32"/>
          <w:szCs w:val="32"/>
          <w:u w:val="none"/>
        </w:rPr>
        <w:t>可“一证式”管理</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利用自治区</w:t>
      </w:r>
      <w:r>
        <w:rPr>
          <w:rFonts w:hint="default" w:ascii="Times New Roman" w:hAnsi="Times New Roman" w:eastAsia="仿宋_GB2312" w:cs="Times New Roman"/>
          <w:color w:val="auto"/>
          <w:sz w:val="32"/>
          <w:szCs w:val="32"/>
          <w:u w:val="none"/>
        </w:rPr>
        <w:t>排污许可信息平台，完成覆盖全区所有固定污染源的排污许可证核发。完善以环境质量改善为核心的排污许可限值核定方法，将环评中污染物排放控制、特殊时段禁止或者限制污染物排放、企事业单位污染物排放量削减要求，以及排污权分配交易情况等载入排污许可证。加强排污许可的事中事后监管以及排污许可证内容的核查，加强对违法行为的监督执法。</w:t>
      </w:r>
    </w:p>
    <w:tbl>
      <w:tblPr>
        <w:tblStyle w:val="23"/>
        <w:tblpPr w:leftFromText="180" w:rightFromText="180" w:vertAnchor="text" w:horzAnchor="page" w:tblpX="1699" w:tblpY="587"/>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96" w:type="dxa"/>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rPr>
              <w:t>专栏2 红寺</w:t>
            </w:r>
            <w:r>
              <w:rPr>
                <w:rFonts w:hint="eastAsia" w:ascii="仿宋_GB2312" w:hAnsi="仿宋_GB2312" w:eastAsia="仿宋_GB2312" w:cs="仿宋_GB2312"/>
                <w:b/>
                <w:bCs/>
                <w:color w:val="auto"/>
                <w:sz w:val="32"/>
                <w:szCs w:val="32"/>
                <w:u w:val="none"/>
              </w:rPr>
              <w:t>堡区“十四五”环境空气质</w:t>
            </w:r>
            <w:r>
              <w:rPr>
                <w:rFonts w:hint="default" w:ascii="Times New Roman" w:hAnsi="Times New Roman" w:eastAsia="仿宋_GB2312" w:cs="Times New Roman"/>
                <w:b/>
                <w:bCs/>
                <w:color w:val="auto"/>
                <w:sz w:val="32"/>
                <w:szCs w:val="32"/>
                <w:u w:val="none"/>
              </w:rPr>
              <w:t>量改善及应对气候变化工程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96" w:type="dxa"/>
          </w:tcPr>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w:t>
            </w:r>
            <w:r>
              <w:rPr>
                <w:rFonts w:hint="eastAsia" w:ascii="仿宋_GB2312" w:hAnsi="仿宋_GB2312" w:eastAsia="仿宋_GB2312" w:cs="仿宋_GB2312"/>
                <w:color w:val="auto"/>
                <w:sz w:val="32"/>
                <w:szCs w:val="32"/>
                <w:u w:val="none"/>
              </w:rPr>
              <w:t>实施“四尘”污染综合整治工程：引进地岩热供暖技术，推进红寺堡区乡镇</w:t>
            </w:r>
            <w:r>
              <w:rPr>
                <w:rFonts w:hint="default" w:ascii="Times New Roman" w:hAnsi="Times New Roman" w:eastAsia="仿宋_GB2312" w:cs="Times New Roman"/>
                <w:color w:val="auto"/>
                <w:sz w:val="32"/>
                <w:szCs w:val="32"/>
                <w:u w:val="none"/>
              </w:rPr>
              <w:t>、村部、卫生院清洁取暖项目；</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2、实施挥发性有机物综合治理工程：实施重点行业挥发性有机物“一厂一策” 综合治理工程，加快重点企业升级改造；</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3、碳减排示范工程：在化工、水泥、钢铁等行业中实施碳捕集、利用与封存一体化示范工程；</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4、多污染物协同控制项目：建立大气多污染物协同控制与环境质量响应机制；研究建立污染溯源模式，实现本地污染的多尺度、多维度溯源分析；</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5、空气质量监测站点建设及更新改造：更新已到使用年限的监测设备设施，开展基础维护；更新常规指标监测仪器，增加温室气体监测仪器设备，根据实际增加特征指标监测仪器设备，建设一体化远程质控系统。</w:t>
            </w:r>
          </w:p>
        </w:tc>
      </w:tr>
    </w:tbl>
    <w:p>
      <w:pPr>
        <w:pStyle w:val="4"/>
        <w:keepNext/>
        <w:keepLines/>
        <w:pageBreakBefore w:val="0"/>
        <w:widowControl w:val="0"/>
        <w:kinsoku/>
        <w:wordWrap/>
        <w:overflowPunct/>
        <w:topLinePunct w:val="0"/>
        <w:autoSpaceDE/>
        <w:autoSpaceDN/>
        <w:bidi w:val="0"/>
        <w:adjustRightInd/>
        <w:snapToGrid/>
        <w:spacing w:before="0" w:after="160" w:afterLines="50" w:line="560" w:lineRule="exact"/>
        <w:ind w:left="0" w:leftChars="0"/>
        <w:jc w:val="center"/>
        <w:textAlignment w:val="auto"/>
        <w:rPr>
          <w:rFonts w:hint="default" w:ascii="Times New Roman" w:hAnsi="Times New Roman" w:eastAsia="仿宋_GB2312" w:cs="Times New Roman"/>
          <w:color w:val="auto"/>
          <w:sz w:val="32"/>
          <w:szCs w:val="32"/>
          <w:u w:val="none"/>
        </w:rPr>
      </w:pPr>
      <w:bookmarkStart w:id="40" w:name="_Toc119061589"/>
      <w:r>
        <w:rPr>
          <w:rFonts w:hint="default" w:ascii="Times New Roman" w:hAnsi="Times New Roman" w:eastAsia="楷体_GB2312" w:cs="Times New Roman"/>
          <w:color w:val="auto"/>
          <w:sz w:val="32"/>
          <w:szCs w:val="32"/>
          <w:u w:val="none"/>
          <w:lang w:val="en-US" w:eastAsia="zh-CN"/>
        </w:rPr>
        <w:t>第三节 系统治理、稳步提升水环境质量</w:t>
      </w:r>
      <w:bookmarkEnd w:id="40"/>
      <w:bookmarkStart w:id="41" w:name="_Toc119061590"/>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一、以流域治理理念统筹水环境管理</w:t>
      </w:r>
      <w:bookmarkEnd w:id="41"/>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（一）建立流域治理统筹机制</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坚持问题导向，面对流域山水林田湖草沙综合治理与生态修复、流域水沙调控与长治久安、流域水资源节约集约利用、流域高质量发展、流域智慧管理与决策等重大战略问题，按照习近平总书记</w:t>
      </w:r>
      <w:r>
        <w:rPr>
          <w:rFonts w:hint="eastAsia" w:ascii="仿宋_GB2312" w:hAnsi="仿宋_GB2312" w:eastAsia="仿宋_GB2312" w:cs="仿宋_GB2312"/>
          <w:color w:val="auto"/>
          <w:sz w:val="32"/>
          <w:szCs w:val="32"/>
          <w:u w:val="none"/>
        </w:rPr>
        <w:t>“表象在黄河，根子在流域”的科学论断，</w:t>
      </w:r>
      <w:r>
        <w:rPr>
          <w:rFonts w:hint="default" w:ascii="Times New Roman" w:hAnsi="Times New Roman" w:eastAsia="仿宋_GB2312" w:cs="Times New Roman"/>
          <w:color w:val="auto"/>
          <w:sz w:val="32"/>
          <w:szCs w:val="32"/>
          <w:u w:val="none"/>
        </w:rPr>
        <w:t>探索建立点线面相结合的全流域治理体系。以流域治理理念统筹流域内各类管理和建设资源，形成跨部门、跨行业、跨地区的水环境管理格局。科学划分水环境保护管控单元，将管控单元作为源头治理、系统治理、综合治理的空间载体。依托管控单元和跨界控制断面，逐级明确行政责任主体，明确各级政府水环境保护责任，明确国控、区控断面水质目标，逐一排查，依法制定限期达标方案。</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（二）实施流域系统治理</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系统谋划布局重大流域治理工程，全面夯实水环境保护基础。科学推进罗山水源涵养区、苦水河、红柳沟、清水河生态缓冲带保护与建设，大力实施水污染综合治理工程，强化污染源源头治理，促进流域水环境质量提升。加强流域上下游各级政府部门、各类企事业机构、各类产业行业协调联动。</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构建全流域污染源管理信息监管系统，依托排污许可管理职能，实施</w:t>
      </w:r>
      <w:r>
        <w:rPr>
          <w:rFonts w:hint="eastAsia" w:ascii="仿宋_GB2312" w:hAnsi="仿宋_GB2312" w:eastAsia="仿宋_GB2312" w:cs="仿宋_GB2312"/>
          <w:color w:val="auto"/>
          <w:sz w:val="32"/>
          <w:szCs w:val="32"/>
          <w:u w:val="none"/>
        </w:rPr>
        <w:t>“水用户-污染源-排污管线-排污口-水体”</w:t>
      </w:r>
      <w:r>
        <w:rPr>
          <w:rFonts w:hint="default" w:ascii="Times New Roman" w:hAnsi="Times New Roman" w:eastAsia="仿宋_GB2312" w:cs="Times New Roman"/>
          <w:color w:val="auto"/>
          <w:sz w:val="32"/>
          <w:szCs w:val="32"/>
          <w:u w:val="none"/>
        </w:rPr>
        <w:t>全过程管理，强化污染源解析，追溯并落实治污责任。持续削减化学需氧量和氨氮等主要水污染物排放总量。对水质超标的水功能区，提出更严格的污染物排放总量削减要求，严格控制新设、改设或者扩大排污口。</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针对罗山水源涵养区生态建设需求，谋划布局沿罗山生态带的水源涵养区保护和建设项目，针对苦水河水土流失和水污染问题，有序推进苦水河流域生态缓冲带保护与建设重大项目，针对红柳沟流域水土流失和水环境保护需求，谋划实施红柳沟流域治理重大项目，针对清水河流域水土流失和水污染问题，谋划实施清水河流域红寺堡片区流域治理重大工程项目。</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kern w:val="2"/>
          <w:sz w:val="32"/>
          <w:szCs w:val="32"/>
          <w:u w:val="none"/>
          <w:lang w:val="en-US" w:eastAsia="zh-CN" w:bidi="ar-SA"/>
        </w:rPr>
      </w:pPr>
      <w:bookmarkStart w:id="42" w:name="_Toc119061591"/>
      <w:r>
        <w:rPr>
          <w:rFonts w:hint="default" w:ascii="Times New Roman" w:hAnsi="Times New Roman" w:eastAsia="仿宋_GB2312" w:cs="Times New Roman"/>
          <w:b/>
          <w:bCs/>
          <w:color w:val="auto"/>
          <w:kern w:val="2"/>
          <w:sz w:val="32"/>
          <w:szCs w:val="32"/>
          <w:u w:val="none"/>
          <w:lang w:val="en-US" w:eastAsia="zh-CN" w:bidi="ar-SA"/>
        </w:rPr>
        <w:t>二、以源头管控方式推动水污染防治</w:t>
      </w:r>
      <w:bookmarkEnd w:id="42"/>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（一）严格管控工业源</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开展工业废水污染源全面达标排放评估整治，杜绝工业企业通过市政管网违法排污。加大工业园区监督管理，继续推进工业园区污水处理设施及配套管网建设，针对</w:t>
      </w:r>
      <w:r>
        <w:rPr>
          <w:rFonts w:hint="default" w:ascii="Times New Roman" w:hAnsi="Times New Roman" w:eastAsia="仿宋_GB2312" w:cs="Times New Roman"/>
          <w:color w:val="auto"/>
          <w:sz w:val="32"/>
          <w:szCs w:val="32"/>
          <w:u w:val="none"/>
          <w:lang w:eastAsia="zh-CN"/>
        </w:rPr>
        <w:t>工业园区</w:t>
      </w:r>
      <w:r>
        <w:rPr>
          <w:rFonts w:hint="default" w:ascii="Times New Roman" w:hAnsi="Times New Roman" w:eastAsia="仿宋_GB2312" w:cs="Times New Roman"/>
          <w:color w:val="auto"/>
          <w:sz w:val="32"/>
          <w:szCs w:val="32"/>
          <w:u w:val="none"/>
        </w:rPr>
        <w:t>开展排水含盐量治理专项行动，落实三类中间体项目废水脱盐处理措施，加强杂盐产量与废水排放量之间关联性的监管，防治企业以水带盐排放。到2025年，工业园区废水实现全收集、全处理、全达标。加强工业园区环境风险防范。实施技术、工艺、设备等生态化、循环化改造，按要求设置生态隔离带，建设相应的</w:t>
      </w:r>
      <w:r>
        <w:rPr>
          <w:rFonts w:hint="default" w:ascii="Times New Roman" w:hAnsi="Times New Roman" w:eastAsia="仿宋_GB2312" w:cs="Times New Roman"/>
          <w:color w:val="auto"/>
          <w:w w:val="95"/>
          <w:sz w:val="32"/>
          <w:szCs w:val="32"/>
          <w:u w:val="none"/>
        </w:rPr>
        <w:t>防护工程，开展设施、队伍、物资一体化环境风险防控体系建</w:t>
      </w:r>
      <w:r>
        <w:rPr>
          <w:rFonts w:hint="default" w:ascii="Times New Roman" w:hAnsi="Times New Roman" w:eastAsia="仿宋_GB2312" w:cs="Times New Roman"/>
          <w:color w:val="auto"/>
          <w:sz w:val="32"/>
          <w:szCs w:val="32"/>
          <w:u w:val="none"/>
        </w:rPr>
        <w:t>设。</w:t>
      </w:r>
    </w:p>
    <w:p>
      <w:pPr>
        <w:pageBreakBefore w:val="0"/>
        <w:numPr>
          <w:ilvl w:val="0"/>
          <w:numId w:val="1"/>
        </w:numPr>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kern w:val="2"/>
          <w:sz w:val="32"/>
          <w:szCs w:val="32"/>
          <w:u w:val="none"/>
          <w:lang w:val="en-US" w:eastAsia="zh-CN" w:bidi="ar-SA"/>
        </w:rPr>
      </w:pPr>
      <w:r>
        <w:rPr>
          <w:rFonts w:hint="default" w:ascii="Times New Roman" w:hAnsi="Times New Roman" w:eastAsia="仿宋_GB2312" w:cs="Times New Roman"/>
          <w:b/>
          <w:bCs/>
          <w:color w:val="auto"/>
          <w:kern w:val="2"/>
          <w:sz w:val="32"/>
          <w:szCs w:val="32"/>
          <w:u w:val="none"/>
          <w:lang w:val="en-US" w:eastAsia="zh-CN" w:bidi="ar-SA"/>
        </w:rPr>
        <w:t>全面提升城镇生活源处理质效</w:t>
      </w:r>
    </w:p>
    <w:p>
      <w:pPr>
        <w:pageBreakBefore w:val="0"/>
        <w:numPr>
          <w:ilvl w:val="0"/>
          <w:numId w:val="0"/>
        </w:numPr>
        <w:kinsoku/>
        <w:wordWrap/>
        <w:overflowPunct/>
        <w:topLinePunct w:val="0"/>
        <w:autoSpaceDE/>
        <w:autoSpaceDN/>
        <w:bidi w:val="0"/>
        <w:snapToGrid/>
        <w:spacing w:line="560" w:lineRule="exact"/>
        <w:ind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完善老旧城区、城乡</w:t>
      </w:r>
      <w:r>
        <w:rPr>
          <w:rFonts w:hint="default" w:ascii="Times New Roman" w:hAnsi="Times New Roman" w:eastAsia="仿宋_GB2312" w:cs="Times New Roman"/>
          <w:color w:val="auto"/>
          <w:sz w:val="32"/>
          <w:szCs w:val="32"/>
          <w:u w:val="none"/>
          <w:lang w:eastAsia="zh-CN"/>
        </w:rPr>
        <w:t>接合</w:t>
      </w:r>
      <w:r>
        <w:rPr>
          <w:rFonts w:hint="default" w:ascii="Times New Roman" w:hAnsi="Times New Roman" w:eastAsia="仿宋_GB2312" w:cs="Times New Roman"/>
          <w:color w:val="auto"/>
          <w:sz w:val="32"/>
          <w:szCs w:val="32"/>
          <w:u w:val="none"/>
        </w:rPr>
        <w:t>部和</w:t>
      </w:r>
      <w:r>
        <w:rPr>
          <w:rFonts w:hint="default" w:ascii="Times New Roman" w:hAnsi="Times New Roman" w:eastAsia="仿宋_GB2312" w:cs="Times New Roman"/>
          <w:color w:val="auto"/>
          <w:sz w:val="32"/>
          <w:szCs w:val="32"/>
          <w:u w:val="none"/>
          <w:lang w:eastAsia="zh-CN"/>
        </w:rPr>
        <w:t>生态移民村</w:t>
      </w:r>
      <w:r>
        <w:rPr>
          <w:rFonts w:hint="default" w:ascii="Times New Roman" w:hAnsi="Times New Roman" w:eastAsia="仿宋_GB2312" w:cs="Times New Roman"/>
          <w:color w:val="auto"/>
          <w:sz w:val="32"/>
          <w:szCs w:val="32"/>
          <w:u w:val="none"/>
        </w:rPr>
        <w:t>的生活污水收集管网，加快消除收集管网空白区。加强污水处理厂运行管理，切实提升处理能力，重点解决满负荷或超负荷运行问题。对进水浓度明显偏低的污水处理厂</w:t>
      </w:r>
      <w:r>
        <w:rPr>
          <w:rFonts w:hint="default" w:ascii="Times New Roman" w:hAnsi="Times New Roman" w:eastAsia="仿宋_GB2312" w:cs="Times New Roman"/>
          <w:color w:val="auto"/>
          <w:sz w:val="32"/>
          <w:szCs w:val="32"/>
          <w:u w:val="none"/>
          <w:lang w:eastAsia="zh-CN"/>
        </w:rPr>
        <w:t>（站）</w:t>
      </w:r>
      <w:r>
        <w:rPr>
          <w:rFonts w:hint="default" w:ascii="Times New Roman" w:hAnsi="Times New Roman" w:eastAsia="仿宋_GB2312" w:cs="Times New Roman"/>
          <w:color w:val="auto"/>
          <w:sz w:val="32"/>
          <w:szCs w:val="32"/>
          <w:u w:val="none"/>
        </w:rPr>
        <w:t>开展收水范围内管网排查，实施管网混错接改造、管网更新、破损修复等工程，全面提升现有设施效能。进一步加大雨污合流管网改造，消除合流制管网溢流污染。到2025年，城市建成区基本实</w:t>
      </w:r>
      <w:r>
        <w:rPr>
          <w:rFonts w:hint="eastAsia" w:ascii="仿宋_GB2312" w:hAnsi="仿宋_GB2312" w:eastAsia="仿宋_GB2312" w:cs="仿宋_GB2312"/>
          <w:color w:val="auto"/>
          <w:sz w:val="32"/>
          <w:szCs w:val="32"/>
          <w:u w:val="none"/>
        </w:rPr>
        <w:t>现污水“零直排”。</w:t>
      </w:r>
      <w:r>
        <w:rPr>
          <w:rFonts w:hint="default" w:ascii="Times New Roman" w:hAnsi="Times New Roman" w:eastAsia="仿宋_GB2312" w:cs="Times New Roman"/>
          <w:color w:val="auto"/>
          <w:sz w:val="32"/>
          <w:szCs w:val="32"/>
          <w:u w:val="none"/>
        </w:rPr>
        <w:t>加强污泥产生、运输及处置单位的监督管理，全面推行污水处理厂污泥内部减容减量政策，推广污泥集中焚烧无害化处理和资源化利用。到2025年，城市污泥无害化处置率达到90%。</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（三）强化农业农村源治理</w:t>
      </w:r>
    </w:p>
    <w:p>
      <w:pPr>
        <w:pageBreakBefore w:val="0"/>
        <w:kinsoku/>
        <w:wordWrap/>
        <w:overflowPunct/>
        <w:topLinePunct w:val="0"/>
        <w:autoSpaceDE/>
        <w:autoSpaceDN/>
        <w:bidi w:val="0"/>
        <w:snapToGrid/>
        <w:spacing w:line="560" w:lineRule="exact"/>
        <w:ind w:left="0" w:leftChars="0" w:firstLine="644"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推进农业面源污染防治。推进“源头减量-循环利用-过程拦截-末端治理”全链条污染防治。优化种植结构，完善农业产业准入负面清单制度。推进灌区现代化建设，开展规模化种植业污染防治试点。推进农药化肥减量增效，推广有机肥。开展农业面源污染治理和监督指导试点，划分农业面源污染优先治理区域，探索开展农业面源污染调查监测评估工作。推进秸秆全量化综合利用，落实秸秆还田离田支持政策，强化秸秆禁烧巡查管控。鼓励开展农用残膜回收绿色补偿制度，加强农用残膜和农药包装废弃物回收利用。</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加强畜禽养殖污染防治。依法编制实施畜禽养殖污染防治规划，推动种养结合和粪污综合利用，规范畜禽养殖禁养区管理。加大病死畜禽无害化处理设施建设力度。持续推动规模化养殖场建设粪污处理设施，加强规模以下养殖户畜禽粪污防治。建立养分平衡、精准还田技术体系，对粪肥质量和施用农田土壤环境定期开展检测和评估。严格畜禽养殖环境监管，严厉打击变相排污等违法行为，推动粪污就地就近安全利用。</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推进农村生活污水治理。落实县域农村生活污水治理专项规划，推进农村生活污水治理，优先解决水源保护区、乡镇政府所在地、中心村、城乡</w:t>
      </w:r>
      <w:r>
        <w:rPr>
          <w:rFonts w:hint="eastAsia" w:ascii="Times New Roman" w:hAnsi="Times New Roman" w:eastAsia="仿宋_GB2312" w:cs="Times New Roman"/>
          <w:color w:val="auto"/>
          <w:sz w:val="32"/>
          <w:szCs w:val="32"/>
          <w:u w:val="none"/>
          <w:lang w:eastAsia="zh-CN"/>
        </w:rPr>
        <w:t>接</w:t>
      </w:r>
      <w:r>
        <w:rPr>
          <w:rFonts w:hint="default" w:ascii="Times New Roman" w:hAnsi="Times New Roman" w:eastAsia="仿宋_GB2312" w:cs="Times New Roman"/>
          <w:color w:val="auto"/>
          <w:sz w:val="32"/>
          <w:szCs w:val="32"/>
          <w:u w:val="none"/>
        </w:rPr>
        <w:t>合部、旅游风景区等区域生活污水问题。加快补齐农村生活污水处理设施建设短板，健全运行管护机制，制定出台农村生活污水处理设施管护办法。深入推进农村生活垃圾分类治理，从源头杜绝污染物通过雨水淋溶作用进入河流沟道。补齐农村生活垃圾分类收集、分类处理设施短板。严格农村生活垃圾处理终端设施管理，对达到设计库容的农村生活垃圾填埋场按相应技术标准规范封场、恢复生态，对尚有剩余库容的填埋场，应全面检查、全面整修，严格管理、规范作业。</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（四）提升饮水安全水平</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以乡镇级水源地为重点，开展水源地保护区划分与规范化建设。科学制定水源地水质监测计划，将乡镇级饮用水水源纳入日常监测，</w:t>
      </w:r>
      <w:r>
        <w:rPr>
          <w:rFonts w:hint="default" w:ascii="Times New Roman" w:hAnsi="Times New Roman" w:eastAsia="仿宋_GB2312" w:cs="Times New Roman"/>
          <w:color w:val="auto"/>
          <w:sz w:val="32"/>
          <w:szCs w:val="32"/>
          <w:u w:val="none"/>
          <w:lang w:eastAsia="zh-CN"/>
        </w:rPr>
        <w:t>改变</w:t>
      </w:r>
      <w:r>
        <w:rPr>
          <w:rFonts w:hint="default" w:ascii="Times New Roman" w:hAnsi="Times New Roman" w:eastAsia="仿宋_GB2312" w:cs="Times New Roman"/>
          <w:color w:val="auto"/>
          <w:sz w:val="32"/>
          <w:szCs w:val="32"/>
          <w:u w:val="none"/>
        </w:rPr>
        <w:t xml:space="preserve">乡镇级饮用水水源监测频次低或无监测的现状。到2025年，完成乡镇级集中式饮用水水源保护区划定与勘界定标，饮用水水源水质达标率达到100%。 </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（五）加强突发性水污染预防</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全面调查沿河（湖、沟）工业企业、工业集聚区，开展重点部位水环境污染隐患排查，以排放重金属、危险废物、持久性有机污染物和生产使用重点环境管理危险化学品的污染源为重点，适时更新重点风险源清单，逐步开展重点风险源环境和健康风险评估。根据突发水环境事件评估分析，在跨越重要地表水体的道路、桥梁等地点设置、完善应急防护措施，增强突发环境事件时的引流、拦截污染物能力，防范重大水污染事故。</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bookmarkStart w:id="43" w:name="_Toc119061592"/>
      <w:r>
        <w:rPr>
          <w:rFonts w:hint="default" w:ascii="Times New Roman" w:hAnsi="Times New Roman" w:eastAsia="仿宋_GB2312" w:cs="Times New Roman"/>
          <w:color w:val="auto"/>
          <w:sz w:val="32"/>
          <w:szCs w:val="32"/>
          <w:u w:val="none"/>
        </w:rPr>
        <w:t>三、</w:t>
      </w:r>
      <w:r>
        <w:rPr>
          <w:rFonts w:hint="default" w:ascii="Times New Roman" w:hAnsi="Times New Roman" w:eastAsia="仿宋_GB2312" w:cs="Times New Roman"/>
          <w:b/>
          <w:bCs/>
          <w:color w:val="auto"/>
          <w:kern w:val="2"/>
          <w:sz w:val="32"/>
          <w:szCs w:val="32"/>
          <w:u w:val="none"/>
          <w:lang w:val="en-US" w:eastAsia="zh-CN" w:bidi="ar-SA"/>
        </w:rPr>
        <w:t>以节水降耗机制加强水资源保护</w:t>
      </w:r>
      <w:bookmarkEnd w:id="43"/>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kern w:val="2"/>
          <w:sz w:val="32"/>
          <w:szCs w:val="32"/>
          <w:u w:val="none"/>
          <w:lang w:val="en-US" w:eastAsia="zh-CN" w:bidi="ar-SA"/>
        </w:rPr>
        <w:t>一）加快节水型社会建设</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坚持以水定城、以水定地、以水定人、以水定产、量水而行、节水为重，构建节约高效的水资源配置体系，推动节水、蓄水、用水、治水统筹发力，保障全区用水安全。加快节水型社会建设，持续推动扬黄灌区续建配套与节水改造，稳步提高农田灌溉水有效利用系数，到2025年达到0.6。全面推广普及节水器具，城镇公共供水管网漏损率控制在10%以内。推进园区企业统一供水、废水集中处理和循环利用，严控新建高耗水项目。全面实行城市绿化、降尘和建设排水报备制，把有限的水资源配置到最需要、最有效的地方。</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（二）全方位推进智慧水利建设</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提升水利信息化水平，建设全要素动态感知的水利监测体系和高速泛在的水利信息网络，提高水利智能化管理的水平和效率。持续关注跟踪黄河黑山峡河段开发进展，及早规划我区高效供水等重大水利工程建设，有力提升我区城乡发展用水保障，实现水资源、水环境、水生态大改善。</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（三）提高水资源利用效率</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加快推进现代化生态灌区试点建设</w:t>
      </w:r>
      <w:r>
        <w:rPr>
          <w:rFonts w:hint="default" w:ascii="Times New Roman" w:hAnsi="Times New Roman" w:eastAsia="仿宋_GB2312" w:cs="Times New Roman"/>
          <w:color w:val="auto"/>
          <w:sz w:val="32"/>
          <w:szCs w:val="32"/>
          <w:u w:val="none"/>
          <w:lang w:eastAsia="zh-CN"/>
        </w:rPr>
        <w:t>，争取实施</w:t>
      </w:r>
      <w:r>
        <w:rPr>
          <w:rFonts w:hint="default" w:ascii="Times New Roman" w:hAnsi="Times New Roman" w:eastAsia="仿宋_GB2312" w:cs="Times New Roman"/>
          <w:color w:val="auto"/>
          <w:sz w:val="32"/>
          <w:szCs w:val="32"/>
          <w:u w:val="none"/>
        </w:rPr>
        <w:t>红寺堡扬水续建配套与现代化改造。强化工业节水增效，鼓励工业园区实施节水技术改造，到2025年，工业用水重复利用率达到90%以上。因地制宜建设城市中水回用工程，完善中水回用政策及管网配套设施，加大红寺堡区第</w:t>
      </w:r>
      <w:r>
        <w:rPr>
          <w:rFonts w:hint="default" w:ascii="Times New Roman" w:hAnsi="Times New Roman" w:eastAsia="仿宋_GB2312" w:cs="Times New Roman"/>
          <w:color w:val="auto"/>
          <w:sz w:val="32"/>
          <w:szCs w:val="32"/>
          <w:u w:val="none"/>
          <w:lang w:eastAsia="zh-CN"/>
        </w:rPr>
        <w:t>二</w:t>
      </w:r>
      <w:r>
        <w:rPr>
          <w:rFonts w:hint="default" w:ascii="Times New Roman" w:hAnsi="Times New Roman" w:eastAsia="仿宋_GB2312" w:cs="Times New Roman"/>
          <w:color w:val="auto"/>
          <w:sz w:val="32"/>
          <w:szCs w:val="32"/>
          <w:u w:val="none"/>
        </w:rPr>
        <w:t>污水处理中水回用</w:t>
      </w:r>
      <w:r>
        <w:rPr>
          <w:rFonts w:hint="default" w:ascii="Times New Roman" w:hAnsi="Times New Roman" w:eastAsia="仿宋_GB2312" w:cs="Times New Roman"/>
          <w:color w:val="auto"/>
          <w:sz w:val="32"/>
          <w:szCs w:val="32"/>
          <w:u w:val="none"/>
          <w:lang w:eastAsia="zh-CN"/>
        </w:rPr>
        <w:t>力度</w:t>
      </w:r>
      <w:r>
        <w:rPr>
          <w:rFonts w:hint="default" w:ascii="Times New Roman" w:hAnsi="Times New Roman" w:eastAsia="仿宋_GB2312" w:cs="Times New Roman"/>
          <w:color w:val="auto"/>
          <w:sz w:val="32"/>
          <w:szCs w:val="32"/>
          <w:u w:val="none"/>
        </w:rPr>
        <w:t>。引导建设再生水调蓄设施，</w:t>
      </w:r>
      <w:r>
        <w:rPr>
          <w:rFonts w:hint="eastAsia" w:ascii="仿宋_GB2312" w:hAnsi="仿宋_GB2312" w:eastAsia="仿宋_GB2312" w:cs="仿宋_GB2312"/>
          <w:color w:val="auto"/>
          <w:sz w:val="32"/>
          <w:szCs w:val="32"/>
          <w:u w:val="none"/>
        </w:rPr>
        <w:t>构建“截、蓄、导、用”并举的区域再生水循环利用体系。</w:t>
      </w:r>
      <w:r>
        <w:rPr>
          <w:rFonts w:hint="eastAsia" w:ascii="仿宋_GB2312" w:hAnsi="仿宋_GB2312" w:eastAsia="仿宋_GB2312" w:cs="仿宋_GB2312"/>
          <w:color w:val="auto"/>
          <w:sz w:val="32"/>
          <w:szCs w:val="32"/>
          <w:u w:val="none"/>
          <w:lang w:eastAsia="zh-CN"/>
        </w:rPr>
        <w:t>争取</w:t>
      </w:r>
      <w:r>
        <w:rPr>
          <w:rFonts w:hint="eastAsia" w:ascii="仿宋_GB2312" w:hAnsi="仿宋_GB2312" w:eastAsia="仿宋_GB2312" w:cs="仿宋_GB2312"/>
          <w:color w:val="auto"/>
          <w:sz w:val="32"/>
          <w:szCs w:val="32"/>
          <w:u w:val="none"/>
        </w:rPr>
        <w:t>建设人工湿地尾水净化工程和水资源</w:t>
      </w:r>
      <w:r>
        <w:rPr>
          <w:rFonts w:hint="default" w:ascii="Times New Roman" w:hAnsi="Times New Roman" w:eastAsia="仿宋_GB2312" w:cs="Times New Roman"/>
          <w:color w:val="auto"/>
          <w:sz w:val="32"/>
          <w:szCs w:val="32"/>
          <w:u w:val="none"/>
        </w:rPr>
        <w:t>调蓄工程，将净化后的尾水用于生态补水。持续完善再生水利用体系，争取到2025年，再生水利用率达到50%。</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bookmarkStart w:id="44" w:name="_Toc119061593"/>
      <w:r>
        <w:rPr>
          <w:rFonts w:hint="default" w:ascii="Times New Roman" w:hAnsi="Times New Roman" w:eastAsia="仿宋_GB2312" w:cs="Times New Roman"/>
          <w:color w:val="auto"/>
          <w:sz w:val="32"/>
          <w:szCs w:val="32"/>
          <w:u w:val="none"/>
        </w:rPr>
        <w:t>四、以生态建设格局引领水生态修复</w:t>
      </w:r>
      <w:bookmarkEnd w:id="44"/>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（一）提升水源涵养能力</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生态保护红线内的重要水源涵养区严格按生态保护红线进行管理，生态保护红线外的重要水源涵养区依法制定准入条件，严格保护具有重要水源涵养功能的自然植被，限制或禁止各种损害生态系统水源涵养功能的经济社会活动和生产方式，确保重要水源涵养区面积不减少、性质不改变、功能不降低。</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开展重要水源涵养区基本状况、生态状况、人类活动本底情况和其他相关基础信息调查，建立重要水源涵养功能区基础信息台账。建立水源涵养监测预警机制，</w:t>
      </w:r>
      <w:r>
        <w:rPr>
          <w:rFonts w:hint="default" w:ascii="Times New Roman" w:hAnsi="Times New Roman" w:eastAsia="仿宋_GB2312" w:cs="Times New Roman"/>
          <w:color w:val="auto"/>
          <w:sz w:val="32"/>
          <w:szCs w:val="32"/>
          <w:u w:val="none"/>
          <w:lang w:eastAsia="zh-CN"/>
        </w:rPr>
        <w:t>按照规定</w:t>
      </w:r>
      <w:r>
        <w:rPr>
          <w:rFonts w:hint="default" w:ascii="Times New Roman" w:hAnsi="Times New Roman" w:eastAsia="仿宋_GB2312" w:cs="Times New Roman"/>
          <w:color w:val="auto"/>
          <w:sz w:val="32"/>
          <w:szCs w:val="32"/>
          <w:u w:val="none"/>
        </w:rPr>
        <w:t>评估重要水源涵养区面积、性质、功能变化情况，并定期向社会公布。建立健全生态保护补偿长效机制和多渠道增加生态建设投入机制，采取资金补助、技术扶持等措施，加强对重要水源涵养区保护补偿。</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（二）实施生态缓冲带保护</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按照生态优先、自然修复为主的原则，对河湖缓冲带进行生态修复，加强生态缓冲带拦截污染、净化水体，提升生态系统完整性等功能。实施苦水河、红柳沟、清水河等重点河湖岸线生态缓冲带修复工程，推进水土流失治理、污染治理、水源涵养、生物平衡、生态经济，综合治理水质量变差、水生态受损、水资源减少、水循环受阻、河湖岸</w:t>
      </w:r>
      <w:r>
        <w:rPr>
          <w:rFonts w:hint="default" w:ascii="Times New Roman" w:hAnsi="Times New Roman" w:eastAsia="仿宋_GB2312" w:cs="Times New Roman"/>
          <w:color w:val="auto"/>
          <w:sz w:val="32"/>
          <w:szCs w:val="32"/>
          <w:highlight w:val="none"/>
          <w:u w:val="none"/>
        </w:rPr>
        <w:t>线破坏</w:t>
      </w:r>
      <w:r>
        <w:rPr>
          <w:rFonts w:hint="eastAsia" w:ascii="Times New Roman" w:hAnsi="Times New Roman" w:eastAsia="仿宋_GB2312" w:cs="Times New Roman"/>
          <w:color w:val="auto"/>
          <w:sz w:val="32"/>
          <w:szCs w:val="32"/>
          <w:highlight w:val="none"/>
          <w:u w:val="none"/>
          <w:lang w:eastAsia="zh-CN"/>
        </w:rPr>
        <w:t>等</w:t>
      </w:r>
      <w:r>
        <w:rPr>
          <w:rFonts w:hint="default" w:ascii="Times New Roman" w:hAnsi="Times New Roman" w:eastAsia="仿宋_GB2312" w:cs="Times New Roman"/>
          <w:color w:val="auto"/>
          <w:sz w:val="32"/>
          <w:szCs w:val="32"/>
          <w:highlight w:val="none"/>
          <w:u w:val="none"/>
        </w:rPr>
        <w:t>问题，</w:t>
      </w:r>
      <w:r>
        <w:rPr>
          <w:rFonts w:hint="default" w:ascii="Times New Roman" w:hAnsi="Times New Roman" w:eastAsia="仿宋_GB2312" w:cs="Times New Roman"/>
          <w:color w:val="auto"/>
          <w:sz w:val="32"/>
          <w:szCs w:val="32"/>
          <w:u w:val="none"/>
        </w:rPr>
        <w:t>改善全流域生态环境系统。</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（三）加大湿地恢复建设力度</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采取封育保护、生态补水、生物栖息地恢复重建等措施，加强自然湿地保护和修复，确保湿地生物多样性不降低，生态服务功能逐年增加。因地制宜推进污水处理厂尾水人工湿地建设，鼓励在河流支流建设河口型湿地。落实水资源、水生态和水环境监测评价制度，对苦水河、清水河、红柳沟等干支流等重要河湖开展水生态环境评价。</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（四）消除城市黑臭水体隐患</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持续巩固提升城市建成区黑臭水体治理成果，努力实现长治久清。全面排查城市建成区黑臭水体发生隐患，定期开展水质监测，制定黑臭水体防治方案并定期向社会公开。</w:t>
      </w:r>
    </w:p>
    <w:tbl>
      <w:tblPr>
        <w:tblStyle w:val="23"/>
        <w:tblpPr w:leftFromText="180" w:rightFromText="180" w:vertAnchor="text" w:horzAnchor="page" w:tblpX="1922" w:tblpY="676"/>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96" w:type="dxa"/>
          </w:tcPr>
          <w:p>
            <w:pPr>
              <w:pageBreakBefore w:val="0"/>
              <w:kinsoku/>
              <w:wordWrap/>
              <w:overflowPunct/>
              <w:topLinePunct w:val="0"/>
              <w:autoSpaceDE/>
              <w:autoSpaceDN/>
              <w:bidi w:val="0"/>
              <w:snapToGrid/>
              <w:spacing w:line="560" w:lineRule="exact"/>
              <w:ind w:left="0" w:leftChars="0" w:firstLine="644" w:firstLineChars="20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rPr>
              <w:t>专栏3 红寺堡</w:t>
            </w:r>
            <w:r>
              <w:rPr>
                <w:rFonts w:hint="eastAsia" w:ascii="仿宋_GB2312" w:hAnsi="仿宋_GB2312" w:eastAsia="仿宋_GB2312" w:cs="仿宋_GB2312"/>
                <w:b/>
                <w:bCs/>
                <w:color w:val="auto"/>
                <w:sz w:val="32"/>
                <w:szCs w:val="32"/>
                <w:u w:val="none"/>
              </w:rPr>
              <w:t>区“十四五”水</w:t>
            </w:r>
            <w:r>
              <w:rPr>
                <w:rFonts w:hint="default" w:ascii="Times New Roman" w:hAnsi="Times New Roman" w:eastAsia="仿宋_GB2312" w:cs="Times New Roman"/>
                <w:b/>
                <w:bCs/>
                <w:color w:val="auto"/>
                <w:sz w:val="32"/>
                <w:szCs w:val="32"/>
                <w:u w:val="none"/>
              </w:rPr>
              <w:t>环境质量提升行动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96" w:type="dxa"/>
          </w:tcPr>
          <w:p>
            <w:pPr>
              <w:pageBreakBefore w:val="0"/>
              <w:kinsoku/>
              <w:wordWrap/>
              <w:overflowPunct/>
              <w:topLinePunct w:val="0"/>
              <w:autoSpaceDE/>
              <w:autoSpaceDN/>
              <w:bidi w:val="0"/>
              <w:snapToGrid/>
              <w:spacing w:line="560" w:lineRule="exact"/>
              <w:ind w:left="0" w:leftChars="0" w:firstLine="644"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1、饮用水水源地整治工程：完成乡镇级水源地规范化建设，开展水源地本底超标考核扣除认定工作</w:t>
            </w:r>
            <w:r>
              <w:rPr>
                <w:rFonts w:hint="eastAsia" w:ascii="Times New Roman" w:hAnsi="Times New Roman" w:eastAsia="仿宋_GB2312" w:cs="Times New Roman"/>
                <w:color w:val="auto"/>
                <w:sz w:val="32"/>
                <w:szCs w:val="32"/>
                <w:u w:val="none"/>
                <w:lang w:eastAsia="zh-CN"/>
              </w:rPr>
              <w:t>。</w:t>
            </w:r>
          </w:p>
          <w:p>
            <w:pPr>
              <w:pageBreakBefore w:val="0"/>
              <w:kinsoku/>
              <w:wordWrap/>
              <w:overflowPunct/>
              <w:topLinePunct w:val="0"/>
              <w:autoSpaceDE/>
              <w:autoSpaceDN/>
              <w:bidi w:val="0"/>
              <w:snapToGrid/>
              <w:spacing w:line="560" w:lineRule="exact"/>
              <w:ind w:left="0" w:leftChars="0" w:firstLine="644"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2、完善再生水循环利用体系：红寺堡建成区污水处理厂人工湿地尾水净化工程</w:t>
            </w:r>
            <w:r>
              <w:rPr>
                <w:rFonts w:hint="eastAsia" w:ascii="Times New Roman" w:hAnsi="Times New Roman" w:eastAsia="仿宋_GB2312" w:cs="Times New Roman"/>
                <w:color w:val="auto"/>
                <w:sz w:val="32"/>
                <w:szCs w:val="32"/>
                <w:u w:val="none"/>
                <w:lang w:eastAsia="zh-CN"/>
              </w:rPr>
              <w:t>。</w:t>
            </w:r>
          </w:p>
          <w:p>
            <w:pPr>
              <w:pageBreakBefore w:val="0"/>
              <w:kinsoku/>
              <w:wordWrap/>
              <w:overflowPunct/>
              <w:topLinePunct w:val="0"/>
              <w:autoSpaceDE/>
              <w:autoSpaceDN/>
              <w:bidi w:val="0"/>
              <w:snapToGrid/>
              <w:spacing w:line="560" w:lineRule="exact"/>
              <w:ind w:left="0" w:leftChars="0" w:firstLine="644"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3、河湖缓冲带治理工程：开展入河排污口规范化整治；划定苦水河、红柳沟、清水河等河湖岸线，在三个流域有序推进河湖缓冲带建设</w:t>
            </w:r>
            <w:r>
              <w:rPr>
                <w:rFonts w:hint="eastAsia" w:ascii="Times New Roman" w:hAnsi="Times New Roman" w:eastAsia="仿宋_GB2312" w:cs="Times New Roman"/>
                <w:color w:val="auto"/>
                <w:sz w:val="32"/>
                <w:szCs w:val="32"/>
                <w:u w:val="none"/>
                <w:lang w:eastAsia="zh-CN"/>
              </w:rPr>
              <w:t>。</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4、水源涵养工程：实施红寺堡区苦水河流域治理项目</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 xml:space="preserve"> </w:t>
            </w:r>
          </w:p>
          <w:p>
            <w:pPr>
              <w:pageBreakBefore w:val="0"/>
              <w:kinsoku/>
              <w:wordWrap/>
              <w:overflowPunct/>
              <w:topLinePunct w:val="0"/>
              <w:autoSpaceDE/>
              <w:autoSpaceDN/>
              <w:bidi w:val="0"/>
              <w:snapToGrid/>
              <w:spacing w:line="560" w:lineRule="exact"/>
              <w:ind w:left="0" w:leftChars="0" w:firstLine="644"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5、岸线保护：实施红寺堡扬水工程更新改造和病险水库除险加固、库坝连通工程</w:t>
            </w:r>
            <w:r>
              <w:rPr>
                <w:rFonts w:hint="eastAsia" w:ascii="Times New Roman" w:hAnsi="Times New Roman" w:eastAsia="仿宋_GB2312" w:cs="Times New Roman"/>
                <w:color w:val="auto"/>
                <w:sz w:val="32"/>
                <w:szCs w:val="32"/>
                <w:u w:val="none"/>
                <w:lang w:eastAsia="zh-CN"/>
              </w:rPr>
              <w:t>。</w:t>
            </w:r>
          </w:p>
          <w:p>
            <w:pPr>
              <w:pageBreakBefore w:val="0"/>
              <w:kinsoku/>
              <w:wordWrap/>
              <w:overflowPunct/>
              <w:topLinePunct w:val="0"/>
              <w:autoSpaceDE/>
              <w:autoSpaceDN/>
              <w:bidi w:val="0"/>
              <w:snapToGrid/>
              <w:spacing w:line="560" w:lineRule="exact"/>
              <w:ind w:left="0" w:leftChars="0" w:firstLine="644"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6、农村生活污水治理项目：继续推进5个乡镇农村生活污水治理项目</w:t>
            </w:r>
            <w:r>
              <w:rPr>
                <w:rFonts w:hint="eastAsia" w:ascii="Times New Roman" w:hAnsi="Times New Roman" w:eastAsia="仿宋_GB2312" w:cs="Times New Roman"/>
                <w:color w:val="auto"/>
                <w:sz w:val="32"/>
                <w:szCs w:val="32"/>
                <w:u w:val="none"/>
                <w:lang w:eastAsia="zh-CN"/>
              </w:rPr>
              <w:t>。</w:t>
            </w:r>
          </w:p>
          <w:p>
            <w:pPr>
              <w:pageBreakBefore w:val="0"/>
              <w:kinsoku/>
              <w:wordWrap/>
              <w:overflowPunct/>
              <w:topLinePunct w:val="0"/>
              <w:autoSpaceDE/>
              <w:autoSpaceDN/>
              <w:bidi w:val="0"/>
              <w:snapToGrid/>
              <w:spacing w:line="560" w:lineRule="exact"/>
              <w:ind w:left="0" w:leftChars="0" w:firstLine="644"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7、农村环境整治项目：完善农村生活垃圾分类治理设施建设，</w:t>
            </w:r>
            <w:r>
              <w:rPr>
                <w:rFonts w:hint="default" w:ascii="Times New Roman" w:hAnsi="Times New Roman" w:eastAsia="仿宋_GB2312" w:cs="Times New Roman"/>
                <w:color w:val="auto"/>
                <w:sz w:val="32"/>
                <w:szCs w:val="32"/>
                <w:u w:val="none"/>
                <w:lang w:eastAsia="zh-CN"/>
              </w:rPr>
              <w:t>争取</w:t>
            </w:r>
            <w:r>
              <w:rPr>
                <w:rFonts w:hint="default" w:ascii="Times New Roman" w:hAnsi="Times New Roman" w:eastAsia="仿宋_GB2312" w:cs="Times New Roman"/>
                <w:color w:val="auto"/>
                <w:sz w:val="32"/>
                <w:szCs w:val="32"/>
                <w:u w:val="none"/>
              </w:rPr>
              <w:t>建设小型分布式农村生活垃圾焚烧设施，探索建立城乡建筑垃圾资源化再生利用模式</w:t>
            </w:r>
            <w:r>
              <w:rPr>
                <w:rFonts w:hint="eastAsia" w:ascii="Times New Roman" w:hAnsi="Times New Roman" w:eastAsia="仿宋_GB2312" w:cs="Times New Roman"/>
                <w:color w:val="auto"/>
                <w:sz w:val="32"/>
                <w:szCs w:val="32"/>
                <w:u w:val="none"/>
                <w:lang w:eastAsia="zh-CN"/>
              </w:rPr>
              <w:t>。</w:t>
            </w:r>
          </w:p>
          <w:p>
            <w:pPr>
              <w:pageBreakBefore w:val="0"/>
              <w:kinsoku/>
              <w:wordWrap/>
              <w:overflowPunct/>
              <w:topLinePunct w:val="0"/>
              <w:autoSpaceDE/>
              <w:autoSpaceDN/>
              <w:bidi w:val="0"/>
              <w:snapToGrid/>
              <w:spacing w:line="560" w:lineRule="exact"/>
              <w:ind w:left="0" w:leftChars="0" w:firstLine="644"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8、畜禽养殖污染防治：建成覆盖全区的畜禽粪污无害化处理和资源化利用体系</w:t>
            </w:r>
            <w:r>
              <w:rPr>
                <w:rFonts w:hint="eastAsia" w:ascii="Times New Roman" w:hAnsi="Times New Roman" w:eastAsia="仿宋_GB2312" w:cs="Times New Roman"/>
                <w:color w:val="auto"/>
                <w:sz w:val="32"/>
                <w:szCs w:val="32"/>
                <w:u w:val="none"/>
                <w:lang w:eastAsia="zh-CN"/>
              </w:rPr>
              <w:t>。</w:t>
            </w:r>
          </w:p>
        </w:tc>
      </w:tr>
    </w:tbl>
    <w:p>
      <w:pPr>
        <w:pStyle w:val="4"/>
        <w:keepNext/>
        <w:keepLines/>
        <w:pageBreakBefore w:val="0"/>
        <w:widowControl w:val="0"/>
        <w:kinsoku/>
        <w:wordWrap/>
        <w:overflowPunct/>
        <w:topLinePunct w:val="0"/>
        <w:autoSpaceDE/>
        <w:autoSpaceDN/>
        <w:bidi w:val="0"/>
        <w:adjustRightInd/>
        <w:snapToGrid/>
        <w:spacing w:before="0" w:after="160" w:afterLines="50" w:line="560" w:lineRule="exact"/>
        <w:ind w:left="0" w:leftChars="0"/>
        <w:jc w:val="center"/>
        <w:textAlignment w:val="auto"/>
        <w:rPr>
          <w:rFonts w:hint="default" w:ascii="Times New Roman" w:hAnsi="Times New Roman" w:eastAsia="仿宋_GB2312" w:cs="Times New Roman"/>
          <w:color w:val="auto"/>
          <w:sz w:val="32"/>
          <w:szCs w:val="32"/>
          <w:u w:val="none"/>
        </w:rPr>
      </w:pPr>
      <w:bookmarkStart w:id="45" w:name="_Toc119061594"/>
      <w:r>
        <w:rPr>
          <w:rFonts w:hint="default" w:ascii="Times New Roman" w:hAnsi="Times New Roman" w:eastAsia="楷体_GB2312" w:cs="Times New Roman"/>
          <w:color w:val="auto"/>
          <w:sz w:val="32"/>
          <w:szCs w:val="32"/>
          <w:u w:val="none"/>
          <w:lang w:val="en-US" w:eastAsia="zh-CN"/>
        </w:rPr>
        <w:t>第四节 防治结合、保障土壤和地下水安全</w:t>
      </w:r>
      <w:bookmarkEnd w:id="45"/>
      <w:bookmarkStart w:id="46" w:name="_Toc119061595"/>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一、加强土壤和地下水污染防控</w:t>
      </w:r>
      <w:bookmarkEnd w:id="46"/>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（一）强化空间布局管控</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将土壤和地下水环境保护纳入国土空间规划，根据土壤污染状况和风险合理规划土地用途。根据土壤环境承载能力，合理确定区域功能定位和建设项目空间布局。永久基本农田禁止规划建设可能造成土壤污染的建设项目。禁止在水源保护区、居民区、学校、医疗和养老机构等周边地区新建有色金属冶炼、焦化等重污染行业企业。</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（二）强化污染源头防控</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严格控制重金属污染，强化耕地周边重金属重点行业企业排查整治，将涉镉等重金属行业企业纳入重点监管单位名录，全部安装污染物自动监测设备，并与红寺堡区生态环境局数据平台联网。新（改、扩）建建设项目涉及有毒有害物质可能造成土壤污染的，要加强土壤环境影响评价内容，开展土壤环境现状调查，提出并落实土壤和地下水污染防治要求。土壤污染重点监管单位排污许可证全部载明土壤污染防治要求。全面推进绿色矿山建设，开展废弃矿山综合整治和生态修复，严防矿产资源开发污染土壤。</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（三）强化新增污染管控</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动态更新土壤环境重点监管企业名单，探索建立地下水重点污染源清单。鼓励土壤污染重点监管单位因地制宜实施管道化密闭化改造、重点区域防腐防渗改造以及物料、污水管线架空建设和改造。定期对土壤污染重点监管单位和地下水重点污染源周边土壤、地下水开展监督性监测。督促企业（含园区）落实土壤和地下水污染预防各项制度，定期开展土壤和地下水污染隐患排查和监测。</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bookmarkStart w:id="47" w:name="_Toc119061596"/>
      <w:r>
        <w:rPr>
          <w:rFonts w:hint="default" w:ascii="Times New Roman" w:hAnsi="Times New Roman" w:eastAsia="仿宋_GB2312" w:cs="Times New Roman"/>
          <w:color w:val="auto"/>
          <w:sz w:val="32"/>
          <w:szCs w:val="32"/>
          <w:u w:val="none"/>
        </w:rPr>
        <w:t>二、推进土壤安全利用</w:t>
      </w:r>
      <w:bookmarkEnd w:id="47"/>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（一）加强农用地分类管理</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充分运用农用地污染详查成果和农用地土壤环境质量划定成果，动态调整耕地土壤环境质量类别。坚持最严格的耕地保护制度，严禁在优先保护类耕地集中区域新建污染土壤的行业企业，现有污染行业企业要加快新技术、新工艺提标改造，确保耕地面积不减少、质量不下降。加强耕地土壤与农产品协同监测，及时掌握土壤和农产品质量动态。根据土壤污染状况和农产品超标情况，制定实施受污染耕地安全利用方案，推进受污染耕地安全利用。</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（二）加强建设用地准入管理</w:t>
      </w:r>
    </w:p>
    <w:p>
      <w:pPr>
        <w:pageBreakBefore w:val="0"/>
        <w:kinsoku/>
        <w:wordWrap/>
        <w:overflowPunct/>
        <w:topLinePunct w:val="0"/>
        <w:autoSpaceDE/>
        <w:autoSpaceDN/>
        <w:bidi w:val="0"/>
        <w:snapToGrid/>
        <w:spacing w:line="560" w:lineRule="exact"/>
        <w:ind w:left="0" w:leftChars="0" w:firstLine="644" w:firstLineChars="200"/>
        <w:textAlignment w:val="auto"/>
        <w:rPr>
          <w:rFonts w:hint="eastAsia" w:ascii="仿宋_GB2312" w:hAnsi="仿宋_GB2312" w:eastAsia="仿宋_GB2312" w:cs="仿宋_GB2312"/>
          <w:color w:val="auto"/>
          <w:sz w:val="32"/>
          <w:szCs w:val="32"/>
          <w:u w:val="none"/>
        </w:rPr>
      </w:pPr>
      <w:r>
        <w:rPr>
          <w:rFonts w:hint="default" w:ascii="Times New Roman" w:hAnsi="Times New Roman" w:eastAsia="仿宋_GB2312" w:cs="Times New Roman"/>
          <w:color w:val="auto"/>
          <w:sz w:val="32"/>
          <w:szCs w:val="32"/>
          <w:u w:val="none"/>
        </w:rPr>
        <w:t>将建设用地土壤环境管理要求纳入城镇规划和供地管理，建设用地开发利用必须符合土壤环境质量要求。开展用途变更地块（变更为住宅、公共管理与公共服务用地的地块）、腾退工矿企业用地土壤污染状况调查和风险评估。</w:t>
      </w:r>
      <w:r>
        <w:rPr>
          <w:rFonts w:hint="eastAsia" w:ascii="仿宋_GB2312" w:hAnsi="仿宋_GB2312" w:eastAsia="仿宋_GB2312" w:cs="仿宋_GB2312"/>
          <w:color w:val="auto"/>
          <w:sz w:val="32"/>
          <w:szCs w:val="32"/>
          <w:u w:val="none"/>
        </w:rPr>
        <w:t>严格污染地块用途管制，确保“净土收储”“净土供应”“净土开发”。对列入年度建设用地供应计划的地块，提前开展土壤污染状况调查。</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（三）加强建设用地风险管控和治理修复</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加强土壤环境监测和风险评估，根据重点行业企业用地调查成果，动态更新建设用地土壤污染风险管控和修复名录，实行分级管控，制定优先管控、超标地块和高风险企业名单，落实相应管控措施。对暂不开发的受污染地块实施污染风险管控，防止污染扩散。探索在</w:t>
      </w:r>
      <w:r>
        <w:rPr>
          <w:rFonts w:hint="eastAsia" w:ascii="Times New Roman" w:hAnsi="Times New Roman" w:eastAsia="仿宋_GB2312" w:cs="Times New Roman"/>
          <w:color w:val="auto"/>
          <w:sz w:val="32"/>
          <w:szCs w:val="32"/>
          <w:u w:val="none"/>
          <w:lang w:eastAsia="zh-CN"/>
        </w:rPr>
        <w:t>生</w:t>
      </w:r>
      <w:r>
        <w:rPr>
          <w:rFonts w:hint="default" w:ascii="Times New Roman" w:hAnsi="Times New Roman" w:eastAsia="仿宋_GB2312" w:cs="Times New Roman"/>
          <w:color w:val="auto"/>
          <w:sz w:val="32"/>
          <w:szCs w:val="32"/>
          <w:u w:val="none"/>
        </w:rPr>
        <w:t>产企业边生产边管控的土壤污染风险管控模式。健全风险管控、修复活动地块后期管理机制，探索污染</w:t>
      </w:r>
      <w:r>
        <w:rPr>
          <w:rFonts w:hint="eastAsia" w:ascii="仿宋_GB2312" w:hAnsi="仿宋_GB2312" w:eastAsia="仿宋_GB2312" w:cs="仿宋_GB2312"/>
          <w:color w:val="auto"/>
          <w:sz w:val="32"/>
          <w:szCs w:val="32"/>
          <w:u w:val="none"/>
        </w:rPr>
        <w:t>地块“治理修复+开发建设”模式，严</w:t>
      </w:r>
      <w:r>
        <w:rPr>
          <w:rFonts w:hint="default" w:ascii="Times New Roman" w:hAnsi="Times New Roman" w:eastAsia="仿宋_GB2312" w:cs="Times New Roman"/>
          <w:color w:val="auto"/>
          <w:sz w:val="32"/>
          <w:szCs w:val="32"/>
          <w:u w:val="none"/>
        </w:rPr>
        <w:t>防修复过程二次污染。</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bookmarkStart w:id="48" w:name="_Toc119061597"/>
      <w:r>
        <w:rPr>
          <w:rFonts w:hint="default" w:ascii="Times New Roman" w:hAnsi="Times New Roman" w:eastAsia="仿宋_GB2312" w:cs="Times New Roman"/>
          <w:color w:val="auto"/>
          <w:sz w:val="32"/>
          <w:szCs w:val="32"/>
          <w:u w:val="none"/>
        </w:rPr>
        <w:t>三、严格地下水污染风险管控</w:t>
      </w:r>
      <w:bookmarkEnd w:id="48"/>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（一）开展地下水环境状况调查评估</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以饮用水水源保护为核心，开展地下水型饮用水水源补给区及供水单位周边区域环境状况和污染风险调查评估，科学划定地下水污染防治重点区。对化学品生产企业、工业集聚区、危险废物处置场、垃圾填埋场等对地下水产生影响的重点防控区域，开展地下水环境状况调查评估。到2025年底，完成工业园区、重点危险废物处置场、重点垃圾填埋场、重点矿山开采区地下水环境状况调查评估。</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（二）强化地下水环境风险管控</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加强地下水污染源头防渗工作，推进化工类工业聚集区、危险废物处置场和生活垃圾填埋场等地下水污染风险管控。建立地下水污染防治部门联动机制，联合开展污染分区管控、执法监管等工作。建立区域监管和地下水型饮用水水源、重点污染源监控相结合的地下水监测网，加强部门数据共享，建设全区地下水环境监测信息平台，增强地下水环境监管能力，提升地下水环境管理水平。</w:t>
      </w:r>
    </w:p>
    <w:tbl>
      <w:tblPr>
        <w:tblStyle w:val="2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0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00" w:type="pct"/>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rPr>
              <w:t>专栏4 红寺堡区“十四五”土壤及地下水环境质量改善工程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00" w:type="pct"/>
          </w:tcPr>
          <w:p>
            <w:pPr>
              <w:pageBreakBefore w:val="0"/>
              <w:kinsoku/>
              <w:wordWrap/>
              <w:overflowPunct/>
              <w:topLinePunct w:val="0"/>
              <w:autoSpaceDE/>
              <w:autoSpaceDN/>
              <w:bidi w:val="0"/>
              <w:snapToGrid/>
              <w:spacing w:line="560" w:lineRule="exact"/>
              <w:ind w:left="0" w:leftChars="0" w:firstLine="644"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1、土壤污染防治工程：全面推行测土配方施肥，加快推广水肥一体化技术和有机肥应用，示范推广高效、低毒、低残留农药。</w:t>
            </w:r>
          </w:p>
          <w:p>
            <w:pPr>
              <w:pageBreakBefore w:val="0"/>
              <w:kinsoku/>
              <w:wordWrap/>
              <w:overflowPunct/>
              <w:topLinePunct w:val="0"/>
              <w:autoSpaceDE/>
              <w:autoSpaceDN/>
              <w:bidi w:val="0"/>
              <w:snapToGrid/>
              <w:spacing w:line="560" w:lineRule="exact"/>
              <w:ind w:left="0" w:leftChars="0" w:firstLine="644"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2、地下水污染源头预防工程：红寺堡区危险废物处置场、垃圾填埋场、 矿山开采区地下水环境状况调查评估。</w:t>
            </w:r>
          </w:p>
          <w:p>
            <w:pPr>
              <w:pageBreakBefore w:val="0"/>
              <w:kinsoku/>
              <w:wordWrap/>
              <w:overflowPunct/>
              <w:topLinePunct w:val="0"/>
              <w:autoSpaceDE/>
              <w:autoSpaceDN/>
              <w:bidi w:val="0"/>
              <w:snapToGrid/>
              <w:spacing w:line="560" w:lineRule="exact"/>
              <w:ind w:left="0" w:leftChars="0" w:firstLine="644"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3、实施农村人居环境整治提升五年行动：卫生厕所改造工程；农用残膜和农药包装废弃物回收利用工程；农用残膜和农药包装废弃物回收站（点）建设工程。</w:t>
            </w:r>
          </w:p>
        </w:tc>
      </w:tr>
    </w:tbl>
    <w:p>
      <w:pPr>
        <w:pStyle w:val="4"/>
        <w:pageBreakBefore w:val="0"/>
        <w:kinsoku/>
        <w:wordWrap/>
        <w:overflowPunct/>
        <w:topLinePunct w:val="0"/>
        <w:autoSpaceDE/>
        <w:autoSpaceDN/>
        <w:bidi w:val="0"/>
        <w:snapToGrid/>
        <w:spacing w:before="0" w:after="0" w:line="560" w:lineRule="exact"/>
        <w:ind w:left="0" w:leftChars="0"/>
        <w:jc w:val="center"/>
        <w:textAlignment w:val="auto"/>
        <w:rPr>
          <w:rFonts w:hint="default" w:ascii="Times New Roman" w:hAnsi="Times New Roman" w:eastAsia="楷体_GB2312" w:cs="Times New Roman"/>
          <w:color w:val="auto"/>
          <w:sz w:val="32"/>
          <w:szCs w:val="32"/>
          <w:u w:val="none"/>
          <w:lang w:val="en-US" w:eastAsia="zh-CN"/>
        </w:rPr>
      </w:pPr>
      <w:bookmarkStart w:id="49" w:name="_Toc119061598"/>
    </w:p>
    <w:p>
      <w:pPr>
        <w:pStyle w:val="4"/>
        <w:keepNext/>
        <w:keepLines/>
        <w:pageBreakBefore w:val="0"/>
        <w:widowControl w:val="0"/>
        <w:kinsoku/>
        <w:wordWrap/>
        <w:overflowPunct/>
        <w:topLinePunct w:val="0"/>
        <w:autoSpaceDE/>
        <w:autoSpaceDN/>
        <w:bidi w:val="0"/>
        <w:adjustRightInd/>
        <w:snapToGrid/>
        <w:spacing w:before="0" w:after="160" w:afterLines="50"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楷体_GB2312" w:cs="Times New Roman"/>
          <w:color w:val="auto"/>
          <w:sz w:val="32"/>
          <w:szCs w:val="32"/>
          <w:u w:val="none"/>
          <w:lang w:val="en-US" w:eastAsia="zh-CN"/>
        </w:rPr>
        <w:t>第五节 系统修复、维护生态系统稳定</w:t>
      </w:r>
      <w:bookmarkEnd w:id="49"/>
      <w:bookmarkStart w:id="50" w:name="_Toc119061599"/>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一、筑牢生态安全屏障</w:t>
      </w:r>
      <w:bookmarkEnd w:id="50"/>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（一）加强生态保护建设</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eastAsia" w:ascii="仿宋_GB2312" w:hAnsi="仿宋_GB2312" w:eastAsia="仿宋_GB2312" w:cs="仿宋_GB2312"/>
          <w:color w:val="auto"/>
          <w:sz w:val="32"/>
          <w:szCs w:val="32"/>
          <w:u w:val="none"/>
        </w:rPr>
        <w:t>按照“因水定绿、宜林则林、宜灌则灌、宜草则草”的原</w:t>
      </w:r>
      <w:r>
        <w:rPr>
          <w:rFonts w:hint="default" w:ascii="Times New Roman" w:hAnsi="Times New Roman" w:eastAsia="仿宋_GB2312" w:cs="Times New Roman"/>
          <w:color w:val="auto"/>
          <w:sz w:val="32"/>
          <w:szCs w:val="32"/>
          <w:u w:val="none"/>
        </w:rPr>
        <w:t>则，统筹推进山水林田湖草沙系统治理。加大生态空间保护力度，开展区域生态安全评估，制定实施对应的生态环境保护方案。以国家重点生态功能区、生态保护红线、国家级自然保护地等为重点，实施重要生态系统保护和修复重大工程，重点推进水源涵养建设、水土流失治理和沙化土地封育保护。全面加强天然林保护，开展大规模国土绿化行动，继续实施封山禁牧。</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（二）完善自然保护地体系</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明确自然保护地功能定位，科学划定自然保护地类型，加快整合优化各类自然保护地。突出抓好罗山生态功能区生态保护修复工程，重点开展天然林保护、荒漠化植被自然演替修复和人工灌木林改造提升，加大主要沟道及周边区域退化土地生态修复力度。加强湿地生态系统建设，有序开展生物栖息地恢复和重建工作。严格管控自然保护地范围内非生态活动，稳妥推进核心区内居民、耕地、矿权有序退出，全面禁伐、禁采、禁火、禁猎。</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（三）强化生物多样性保护</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健全生物多样性观测网络，建立指示生物观测和综合观测相结合的观测站点，完善常态化观测。将生物多样性指标纳入生态质量监测、质量评价与成效考核体系。加强国家重点保护和珍稀濒危野生动植物及其栖息地的保护修复，连通重要物种迁徙扩散生态廊道，统筹就地保护和迁地保护，构筑生物多样性保护网络。开展生物多样性本底调查，加强对野生动植物和水生生物多样性保护力度。加强野生动植物保护监督，全面禁止非法交易野生动物。加强外来入侵物种管控，持续开展自然生态系统外来入侵物种调查、监测和预警，及时更新补充外来入侵物种名录。</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（四）深化城乡绿化建设</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实施城乡绿化美化、森林资源保护、林业产业提升工程，完善苦水河、清水河、红柳沟沿岸的防护林体系。加大植树造林力度，推进高标准农田防护林网建设，推广乡土树种造林。继续开展宜林荒山荒地造林、封山育林以及重点生态脆弱区的坡耕地和严重沙化耕地的退耕地造林。加快速生丰产林和优质经济林基地建设，推动森林抚育和低效林改造，提高森林资源质量，增加森林碳汇。</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（五）加强水土流失综合治理</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优化布局河谷沟道水库、水保骨干坝、淤地坝，持续开展清水河、苦水河等中小河流域综合治理，完善水土流失综合防护体系，减少入黄泥沙量。严格保护耕地，加大退化、污染、损毁农田改良和修复力度，推行耕地轮作休耕，实施坡耕地水土流失综合治理。实施移民迁出区生态修复工程，加强迁出区封育管护和自然修复，实现迁出一片，生态恢复一片。</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bookmarkStart w:id="51" w:name="_Toc119061600"/>
      <w:r>
        <w:rPr>
          <w:rFonts w:hint="default" w:ascii="Times New Roman" w:hAnsi="Times New Roman" w:eastAsia="仿宋_GB2312" w:cs="Times New Roman"/>
          <w:color w:val="auto"/>
          <w:sz w:val="32"/>
          <w:szCs w:val="32"/>
          <w:u w:val="none"/>
        </w:rPr>
        <w:t>二、强化生态安全管理</w:t>
      </w:r>
      <w:bookmarkEnd w:id="51"/>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（一）强化生态保护执法监督</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完善生态保护红线管理制度，有序开展生态保护红线勘界立标工作。以自然保护地、生态保护红线为重点，依法统一开展生态环境保护执法，强化与自然资源、水利、林业等相关部门协同，完善执法信息移交、反馈机制。开展生态保护红线基础调查和人类活动遥感监测，及时发现、移交、查处各类生态破坏问题并监督保护修复情况。持续</w:t>
      </w:r>
      <w:r>
        <w:rPr>
          <w:rFonts w:hint="eastAsia" w:ascii="仿宋_GB2312" w:hAnsi="仿宋_GB2312" w:eastAsia="仿宋_GB2312" w:cs="仿宋_GB2312"/>
          <w:color w:val="auto"/>
          <w:sz w:val="32"/>
          <w:szCs w:val="32"/>
          <w:u w:val="none"/>
        </w:rPr>
        <w:t>开展“绿盾”自然保</w:t>
      </w:r>
      <w:r>
        <w:rPr>
          <w:rFonts w:hint="default" w:ascii="Times New Roman" w:hAnsi="Times New Roman" w:eastAsia="仿宋_GB2312" w:cs="Times New Roman"/>
          <w:color w:val="auto"/>
          <w:sz w:val="32"/>
          <w:szCs w:val="32"/>
          <w:u w:val="none"/>
        </w:rPr>
        <w:t>护地强化监督。</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（二）开展生态状况调查评估</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全面开展生态保护红线、自然保护地、县域重点生态功能区评估，原则上每五年开展一次。重点生态功能区按要求定时开展生态状况遥感调查评估和人类活动遥感监测评估。加强生态干扰高风险的重要生态空间、与人民群众生产生活密切相关的热点敏感地区人类活动遥感监测评估。定期发布生态质量监测评价报告。</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（三）开展重要生态系统保护修复工程实施成效评估</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定期组织开展生态保护修复工程实施成效自查评估，督促工程实施主体在实施修复过程中，开展生态质量、环境质量变化情况监测。加强监测评估成果综合应用，将重要生态系统保护和修复重大工程区域生态功能提升效果，作为优化生态保护修复治理专项资金配置的重要依据。</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（四）保障生态产品供给</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eastAsia" w:ascii="仿宋_GB2312" w:hAnsi="仿宋_GB2312" w:eastAsia="仿宋_GB2312" w:cs="仿宋_GB2312"/>
          <w:color w:val="auto"/>
          <w:sz w:val="32"/>
          <w:szCs w:val="32"/>
          <w:u w:val="none"/>
        </w:rPr>
        <w:t>积极发展“生态</w:t>
      </w:r>
      <w:r>
        <w:rPr>
          <w:rFonts w:hint="eastAsia" w:ascii="Times New Roman" w:hAnsi="Times New Roman" w:eastAsia="仿宋_GB2312" w:cs="Times New Roman"/>
          <w:color w:val="auto"/>
          <w:sz w:val="32"/>
          <w:szCs w:val="32"/>
          <w:u w:val="none"/>
        </w:rPr>
        <w:t>＋</w:t>
      </w:r>
      <w:r>
        <w:rPr>
          <w:rFonts w:hint="eastAsia" w:ascii="仿宋_GB2312" w:hAnsi="仿宋_GB2312" w:eastAsia="仿宋_GB2312" w:cs="仿宋_GB2312"/>
          <w:color w:val="auto"/>
          <w:sz w:val="32"/>
          <w:szCs w:val="32"/>
          <w:u w:val="none"/>
        </w:rPr>
        <w:t>”模式，推进特色林果</w:t>
      </w:r>
      <w:r>
        <w:rPr>
          <w:rFonts w:hint="default" w:ascii="Times New Roman" w:hAnsi="Times New Roman" w:eastAsia="仿宋_GB2312" w:cs="Times New Roman"/>
          <w:color w:val="auto"/>
          <w:sz w:val="32"/>
          <w:szCs w:val="32"/>
          <w:u w:val="none"/>
        </w:rPr>
        <w:t>产业与旅游、教育、文化、康养等产业深度融合，拓展林业产业链。加大自然保护地、生态体验地的公共服务设施建设力度，开发和提供优质生态服务产品。</w:t>
      </w: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96" w:type="dxa"/>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rPr>
              <w:t>专栏5 红寺堡区“十四五”生态保护与修复重大工程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96" w:type="dxa"/>
          </w:tcPr>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1、自然生态修复工程：小甜水河河源区生态修复项目；红寺堡区三河（苦水河、清水河、红柳沟）一山（罗山）生态保护和修复项目。</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罗山生态修复重点：自然保护区外围地区以固沙、造林、保荒为重点，实施区域分级管理，土地严重退化区域提高植被覆盖度，中度退化区域围栏禁牧，轻度退化区域实施围栏封育，科学开展退化草原生态保护修复。</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xml:space="preserve">3、生物多样性保护工程：完善和提升自然保护区资源管护、科研监测、应急防灾等设施体系。 </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4、水土保持示范工程：实施红寺堡区清水河、苦水河干流流域水生态修复治理项目；红柳沟水土保持综合治理项目。</w:t>
            </w:r>
          </w:p>
        </w:tc>
      </w:tr>
    </w:tbl>
    <w:p>
      <w:pPr>
        <w:pStyle w:val="4"/>
        <w:pageBreakBefore w:val="0"/>
        <w:kinsoku/>
        <w:wordWrap/>
        <w:overflowPunct/>
        <w:topLinePunct w:val="0"/>
        <w:autoSpaceDE/>
        <w:autoSpaceDN/>
        <w:bidi w:val="0"/>
        <w:snapToGrid/>
        <w:spacing w:before="0" w:after="0" w:line="560" w:lineRule="exact"/>
        <w:ind w:left="0" w:leftChars="0"/>
        <w:jc w:val="center"/>
        <w:textAlignment w:val="auto"/>
        <w:rPr>
          <w:rFonts w:hint="default" w:ascii="Times New Roman" w:hAnsi="Times New Roman" w:eastAsia="楷体_GB2312" w:cs="Times New Roman"/>
          <w:color w:val="auto"/>
          <w:sz w:val="32"/>
          <w:szCs w:val="32"/>
          <w:u w:val="none"/>
          <w:lang w:val="en-US" w:eastAsia="zh-CN"/>
        </w:rPr>
      </w:pPr>
      <w:bookmarkStart w:id="52" w:name="_Toc119061601"/>
    </w:p>
    <w:p>
      <w:pPr>
        <w:pStyle w:val="4"/>
        <w:keepNext/>
        <w:keepLines/>
        <w:pageBreakBefore w:val="0"/>
        <w:widowControl w:val="0"/>
        <w:kinsoku/>
        <w:wordWrap/>
        <w:overflowPunct/>
        <w:topLinePunct w:val="0"/>
        <w:autoSpaceDE/>
        <w:autoSpaceDN/>
        <w:bidi w:val="0"/>
        <w:adjustRightInd/>
        <w:snapToGrid/>
        <w:spacing w:before="0" w:after="160" w:afterLines="50"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楷体_GB2312" w:cs="Times New Roman"/>
          <w:color w:val="auto"/>
          <w:sz w:val="32"/>
          <w:szCs w:val="32"/>
          <w:u w:val="none"/>
          <w:lang w:val="en-US" w:eastAsia="zh-CN"/>
        </w:rPr>
        <w:t>第六节 化解风险、守牢环境安全底线</w:t>
      </w:r>
      <w:bookmarkEnd w:id="52"/>
      <w:bookmarkStart w:id="53" w:name="_Toc119061602"/>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一、完善环境风险防控体系</w:t>
      </w:r>
      <w:bookmarkEnd w:id="53"/>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（一）健全应急响应机制</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健全突发环境事件应急预案体系，加强区域、园区、企业应急预案编制备案工作，及时开展突发环境事件政府应急预案修编，加强预案之间的衔接。划定高风险防控区域，确定环境风险受体清单，</w:t>
      </w:r>
      <w:r>
        <w:rPr>
          <w:rFonts w:hint="eastAsia" w:ascii="仿宋_GB2312" w:hAnsi="仿宋_GB2312" w:eastAsia="仿宋_GB2312" w:cs="仿宋_GB2312"/>
          <w:color w:val="auto"/>
          <w:sz w:val="32"/>
          <w:szCs w:val="32"/>
          <w:u w:val="none"/>
        </w:rPr>
        <w:t>推进“风险单元-企业-园区-流域/区域”四级环境</w:t>
      </w:r>
      <w:r>
        <w:rPr>
          <w:rFonts w:hint="default" w:ascii="Times New Roman" w:hAnsi="Times New Roman" w:eastAsia="仿宋_GB2312" w:cs="Times New Roman"/>
          <w:color w:val="auto"/>
          <w:sz w:val="32"/>
          <w:szCs w:val="32"/>
          <w:u w:val="none"/>
        </w:rPr>
        <w:t>风险防控体系建设，推进生态环境风险防控工作的网格化管理。</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（二）强化重点风险管控</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组织开展环境风险源摸底排查，加强涉危涉重企业、化工园区、集中式饮用水水源地及重点流域环境风险调查评估，建立完善重大环境风险名录，动态更新环境风险源清单，实施分类分级风险管控。加强跨区域、跨部门应急协调联动机制建设，强化应急数据资源共享，提高联合协调行动和快速处置能力，实现统一调度、单位联动、快速响应、高效处置。</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（四）提升应急救援能力</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做好应急物资储备，从环境应急管理的实际需求出发，加强环境应急物资筛选与评估，建立健全环境应急物资装备管理机制，构建覆盖全区的环境保护应急物资储备网络，进一步完善“政府主导、部门联动、环保支撑、社会救援”的突发环境事件应急处置及救援机制，提升区域应急保障能力。</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bookmarkStart w:id="54" w:name="_Toc119061603"/>
      <w:r>
        <w:rPr>
          <w:rFonts w:hint="default" w:ascii="Times New Roman" w:hAnsi="Times New Roman" w:eastAsia="仿宋_GB2312" w:cs="Times New Roman"/>
          <w:color w:val="auto"/>
          <w:sz w:val="32"/>
          <w:szCs w:val="32"/>
          <w:u w:val="none"/>
        </w:rPr>
        <w:t>二、加强重点领域环境风险防控</w:t>
      </w:r>
      <w:bookmarkEnd w:id="54"/>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（一）加强危险废物管控</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持续推进危险废物规范化环境管理，加强危险废物环境执法检查，督促企业落实相关法律法规和标准规范要求</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严格控制贮存、运输、处置等各环节风险。持续开展打击危险废物环境违法犯罪行为，强化事中事后监管，组织开展重点行业涉危险废物企业环评文件技术校核，开展相关副产品、疑似危险废物鉴别。开展工业园区危险废物集中收集贮存试点，鼓励危险废物经营单位建设区域性收集网络和贮存设施。</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（二）加强医疗废物管控</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全面摸清医疗废物处置设施建设情况，鼓励建设医疗废物移动处置设施和预处理设施，</w:t>
      </w:r>
      <w:r>
        <w:rPr>
          <w:rFonts w:hint="default" w:ascii="Times New Roman" w:hAnsi="Times New Roman" w:eastAsia="仿宋_GB2312" w:cs="Times New Roman"/>
          <w:color w:val="auto"/>
          <w:sz w:val="32"/>
          <w:szCs w:val="32"/>
          <w:u w:val="none"/>
          <w:lang w:eastAsia="zh-CN"/>
        </w:rPr>
        <w:t>推动</w:t>
      </w:r>
      <w:r>
        <w:rPr>
          <w:rFonts w:hint="default" w:ascii="Times New Roman" w:hAnsi="Times New Roman" w:eastAsia="仿宋_GB2312" w:cs="Times New Roman"/>
          <w:color w:val="auto"/>
          <w:sz w:val="32"/>
          <w:szCs w:val="32"/>
          <w:u w:val="none"/>
        </w:rPr>
        <w:t>医疗废物收集、转运、处置</w:t>
      </w:r>
      <w:r>
        <w:rPr>
          <w:rFonts w:hint="default" w:ascii="Times New Roman" w:hAnsi="Times New Roman" w:eastAsia="仿宋_GB2312" w:cs="Times New Roman"/>
          <w:color w:val="auto"/>
          <w:sz w:val="32"/>
          <w:szCs w:val="32"/>
          <w:u w:val="none"/>
          <w:lang w:eastAsia="zh-CN"/>
        </w:rPr>
        <w:t>规范化</w:t>
      </w:r>
      <w:r>
        <w:rPr>
          <w:rFonts w:hint="default" w:ascii="Times New Roman" w:hAnsi="Times New Roman" w:eastAsia="仿宋_GB2312" w:cs="Times New Roman"/>
          <w:color w:val="auto"/>
          <w:sz w:val="32"/>
          <w:szCs w:val="32"/>
          <w:u w:val="none"/>
        </w:rPr>
        <w:t>。建立医疗废物协同应急处置机制，强化医疗废物处置全过程监管，细化管理制度，落实应急处置措施，疫情废物做到源头分类、应收尽收、日产日清，切实做好新冠肺炎疫情防控保障工作。</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（三）加强危险化学品管控</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严格危险化学品建设项目环境准入，系统开展化学品危害筛查和风险评估，鼓励环境安全替代品、替代工艺的研发和推广，推动涉及有毒有害危险化学品逐步退出市场。深入开展道路运输安全专项整治行动，危险化学品运输车辆应符合国家安全技术条件，对穿越饮用水水源地等环境敏感目标的，采取切实可行的措施，防范交通事故引发次生环境污染事件。</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（四）加强有毒有害物质管控</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全面落实《产业结构调整指导目录》中有毒有害化学物质淘汰和限制措施，强化绿色替代品和替代技术推广应用。对使用有毒有害化学物质或在生产过程中排放新污染物的企业，全面实施强制性清洁生产审核。加强新型污染物环境风险管控。开展典型内分泌干扰物、抗生素、全氟化合物、微塑料等新污染物生产使用状况调查、监测和风险评估。</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bookmarkStart w:id="55" w:name="_Toc119061604"/>
      <w:r>
        <w:rPr>
          <w:rFonts w:hint="default" w:ascii="Times New Roman" w:hAnsi="Times New Roman" w:eastAsia="仿宋_GB2312" w:cs="Times New Roman"/>
          <w:color w:val="auto"/>
          <w:sz w:val="32"/>
          <w:szCs w:val="32"/>
          <w:u w:val="none"/>
        </w:rPr>
        <w:t>三、强化固体废物污染防治</w:t>
      </w:r>
      <w:bookmarkEnd w:id="55"/>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（一）强化工业固废处置</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完善固体废物综合管理机制，健全固体废物信息化监管体系，科学推进固体废物处置设施规划和建设。持续开展“清废行动”，加强对各类工业固废违规堆放点的排查和清理。加强源头减量和资源化利用，完善工业固体废</w:t>
      </w:r>
      <w:r>
        <w:rPr>
          <w:rFonts w:hint="default" w:ascii="Times New Roman" w:hAnsi="Times New Roman" w:eastAsia="仿宋_GB2312" w:cs="Times New Roman"/>
          <w:color w:val="auto"/>
          <w:sz w:val="32"/>
          <w:szCs w:val="32"/>
          <w:highlight w:val="none"/>
          <w:u w:val="none"/>
        </w:rPr>
        <w:t>物资源</w:t>
      </w:r>
      <w:r>
        <w:rPr>
          <w:rFonts w:hint="eastAsia" w:ascii="Times New Roman" w:hAnsi="Times New Roman" w:eastAsia="仿宋_GB2312" w:cs="Times New Roman"/>
          <w:color w:val="auto"/>
          <w:sz w:val="32"/>
          <w:szCs w:val="32"/>
          <w:highlight w:val="none"/>
          <w:u w:val="none"/>
          <w:lang w:eastAsia="zh-CN"/>
        </w:rPr>
        <w:t>化</w:t>
      </w:r>
      <w:r>
        <w:rPr>
          <w:rFonts w:hint="default" w:ascii="Times New Roman" w:hAnsi="Times New Roman" w:eastAsia="仿宋_GB2312" w:cs="Times New Roman"/>
          <w:color w:val="auto"/>
          <w:sz w:val="32"/>
          <w:szCs w:val="32"/>
          <w:highlight w:val="none"/>
          <w:u w:val="none"/>
        </w:rPr>
        <w:t>利用优惠政</w:t>
      </w:r>
      <w:r>
        <w:rPr>
          <w:rFonts w:hint="default" w:ascii="Times New Roman" w:hAnsi="Times New Roman" w:eastAsia="仿宋_GB2312" w:cs="Times New Roman"/>
          <w:color w:val="auto"/>
          <w:sz w:val="32"/>
          <w:szCs w:val="32"/>
          <w:u w:val="none"/>
        </w:rPr>
        <w:t>策，推动粉煤灰、煤矸石、炉渣、脱硫石膏、冶炼矿渣、工业废盐等综合利用。加强建筑垃圾分类处理和回收利用，引进社会资源参与固体废弃物治理。</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（二）强化生活垃圾治理</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立和完善生活垃圾分类处理系统，形成政府推动、全民参与、城乡统筹、因地制宜的生活垃圾分类机制，加快生活垃圾分类投放、收集、运输、处理设施建设。促进生活垃圾、餐厨垃圾收运体系和再生资源回收体系融合。开展废弃塑料垃圾治理专项行动，推进农用残膜、城乡生活废弃塑料制品以及其它塑料垃圾的无害化处理和资源化利用。</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color w:val="auto"/>
          <w:sz w:val="32"/>
          <w:szCs w:val="32"/>
          <w:u w:val="none"/>
        </w:rPr>
      </w:pPr>
      <w:bookmarkStart w:id="56" w:name="_Toc119061605"/>
      <w:r>
        <w:rPr>
          <w:rFonts w:hint="default" w:ascii="Times New Roman" w:hAnsi="Times New Roman" w:eastAsia="仿宋_GB2312" w:cs="Times New Roman"/>
          <w:color w:val="auto"/>
          <w:sz w:val="32"/>
          <w:szCs w:val="32"/>
          <w:u w:val="none"/>
        </w:rPr>
        <w:t>四、强化核与辐射安全监管</w:t>
      </w:r>
      <w:bookmarkEnd w:id="56"/>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（一）提升辐射安全监管水平</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严格辐射类建设项目环评审批，加强放射性同位素与射线装置安全许可管理，完善高风险移动源在线监控系统使用，健全放射源运输、移动作业、废旧金属回收熔炼等环节辐射安全管理制度。加强辐射管理理论与技术培训，不断提升辐射源监管、监测与执法能力建设。开展</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5G电磁辐射科普宣传月</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活动，积极引导公众正确认识电磁辐射对环境和人体的影响。</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（二）加强放射源安全监管</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全面核实放射源使用情况，重点监督检查核技术运用范围，准确掌握在用放射源和射线装置使用情况，加强对矿产资源开发、医院、停产非正常生产企业等使用放射源监管。进一步提升放射性废物处理处置能力，加快放射性废物处理处置。及时收贮废旧放射源，确保废旧放射源和放射性废物100%安全及时收贮，严防放射性污染事故发生，确保核与辐射环境安全和公众健康。加大对电磁辐射污染防治的监督检查力度，确保选址符合国土空间规划，设置明显标识，定期监测并公开信息。</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（三）强化辐射事故应急响应</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修订完善辐射事故应急预案，组织开展辐射事故应急演练，健全部门应急协调处置联动工作机制，完善应急指挥系统。加强辐射事故应急能力建设，完善抢险救援设施设备及物资储备，加快补齐辐射应急监测能力短板，强化生态环境部门辐射事故应急指挥、应急响应、应急技术支撑能力建设。</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（四）推进城市声环境保护</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划定并落实城市声环境功能区，强化声环境功能区管理，优化完善城市区域、道路交通及功能区声环境监测网络。逐步在噪声敏感建筑物集中区域配套建设隔声屏障，严格实施禁鸣、限行、限速等措施。加强施工噪声管理，推进对建筑施工进行实时监督。推进工业企业噪声纳入排污许可管理，严厉查处工业企业噪声排放超标扰民行为。加强对文化娱乐、商业经营中社会生活噪声热点问题日常监管和集中整治，有效降低商业噪声投诉率。倡导各地制定公共场所文明公约、社区噪声控制规约，鼓励创建宁静社区等宁静休息空间。</w:t>
      </w: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96" w:type="dxa"/>
          </w:tcPr>
          <w:p>
            <w:pPr>
              <w:pageBreakBefore w:val="0"/>
              <w:kinsoku/>
              <w:wordWrap/>
              <w:overflowPunct/>
              <w:topLinePunct w:val="0"/>
              <w:autoSpaceDE/>
              <w:autoSpaceDN/>
              <w:bidi w:val="0"/>
              <w:snapToGrid/>
              <w:spacing w:line="560" w:lineRule="exact"/>
              <w:ind w:left="0" w:leftChars="0"/>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rPr>
              <w:t xml:space="preserve">专栏6 </w:t>
            </w:r>
            <w:r>
              <w:rPr>
                <w:rFonts w:hint="eastAsia" w:ascii="仿宋_GB2312" w:hAnsi="仿宋_GB2312" w:eastAsia="仿宋_GB2312" w:cs="仿宋_GB2312"/>
                <w:b/>
                <w:bCs/>
                <w:color w:val="auto"/>
                <w:sz w:val="32"/>
                <w:szCs w:val="32"/>
                <w:u w:val="none"/>
              </w:rPr>
              <w:t>红寺堡区“十四五”环境风险防控工程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96" w:type="dxa"/>
          </w:tcPr>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1、饮用水水源地保护：实施饮用水水源地预警体系建设，推进饮用水水源地保护区规范化建设。</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2、重金属污染防控工程：开展有色、电镀、铅蓄电池制造等行业问题排查整治。</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3、固体废物污染防治工程：红寺堡区农药包装废弃物回收处理项目；红寺堡区建筑垃圾处置和资源化利用项目；红寺堡区农村小型分布式垃圾焚烧站点建设项目。</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4、声环境保护：红寺堡区城市声环境功能区划分项目。</w:t>
            </w:r>
          </w:p>
        </w:tc>
      </w:tr>
    </w:tbl>
    <w:p>
      <w:pPr>
        <w:pStyle w:val="4"/>
        <w:pageBreakBefore w:val="0"/>
        <w:kinsoku/>
        <w:wordWrap/>
        <w:overflowPunct/>
        <w:topLinePunct w:val="0"/>
        <w:autoSpaceDE/>
        <w:autoSpaceDN/>
        <w:bidi w:val="0"/>
        <w:snapToGrid/>
        <w:spacing w:before="0" w:after="0" w:line="560" w:lineRule="exact"/>
        <w:ind w:left="0" w:leftChars="0"/>
        <w:jc w:val="center"/>
        <w:textAlignment w:val="auto"/>
        <w:rPr>
          <w:rFonts w:hint="default" w:ascii="Times New Roman" w:hAnsi="Times New Roman" w:eastAsia="楷体_GB2312" w:cs="Times New Roman"/>
          <w:color w:val="auto"/>
          <w:sz w:val="32"/>
          <w:szCs w:val="32"/>
          <w:u w:val="none"/>
        </w:rPr>
      </w:pPr>
      <w:bookmarkStart w:id="57" w:name="_Toc119061606"/>
    </w:p>
    <w:p>
      <w:pPr>
        <w:pStyle w:val="4"/>
        <w:keepNext/>
        <w:keepLines/>
        <w:pageBreakBefore w:val="0"/>
        <w:widowControl w:val="0"/>
        <w:kinsoku/>
        <w:wordWrap/>
        <w:overflowPunct/>
        <w:topLinePunct w:val="0"/>
        <w:autoSpaceDE/>
        <w:autoSpaceDN/>
        <w:bidi w:val="0"/>
        <w:adjustRightInd/>
        <w:snapToGrid/>
        <w:spacing w:before="0" w:after="160" w:afterLines="50" w:line="560" w:lineRule="exact"/>
        <w:ind w:left="0" w:leftChars="0"/>
        <w:jc w:val="center"/>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楷体_GB2312" w:cs="Times New Roman"/>
          <w:color w:val="auto"/>
          <w:sz w:val="32"/>
          <w:szCs w:val="32"/>
          <w:u w:val="none"/>
        </w:rPr>
        <w:t>第七节 推进生态环境治理体系和治理能力现代化</w:t>
      </w:r>
      <w:bookmarkEnd w:id="57"/>
      <w:bookmarkStart w:id="58" w:name="_Toc119061607"/>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一、健全生态环境责任体系</w:t>
      </w:r>
      <w:bookmarkEnd w:id="58"/>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（一）落实党委政府领导责任</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严格贯彻落实生态</w:t>
      </w:r>
      <w:r>
        <w:rPr>
          <w:rFonts w:hint="eastAsia" w:ascii="仿宋_GB2312" w:hAnsi="仿宋_GB2312" w:eastAsia="仿宋_GB2312" w:cs="仿宋_GB2312"/>
          <w:color w:val="auto"/>
          <w:sz w:val="32"/>
          <w:szCs w:val="32"/>
          <w:u w:val="none"/>
        </w:rPr>
        <w:t>环保“党政同责、一岗双责”制度，</w:t>
      </w:r>
      <w:r>
        <w:rPr>
          <w:rFonts w:hint="default" w:ascii="Times New Roman" w:hAnsi="Times New Roman" w:eastAsia="仿宋_GB2312" w:cs="Times New Roman"/>
          <w:color w:val="auto"/>
          <w:sz w:val="32"/>
          <w:szCs w:val="32"/>
          <w:u w:val="none"/>
        </w:rPr>
        <w:t>统筹做好环境监管、资金安排、宣传教育等工作，推动落实生态环境保护目标，以支撑全区目标完成。深化生态环境保护督察，坚决落实中央、自治区生态环境保护督察反馈问题的整改。</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（二）压实行业部门主管责任</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坚持“管发展必须管环保、管生产必须管环保、管行业必须管环保”，进一步压实区属各部门生态环境保护责任，落实《党委和政府及有关部门生态环境保护责任》，严格执行领导干部自然资源资产离任审计、生态环境损害责任终身追究等制度，完善生态环境保护监督与人大法律监督、政协民主监督衔接配合机制，督促各职能部门做好生态环境保护工作，进一步完善齐抓共管、各负其责的生态环保工作格局。</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（三）明确环境治理企业主体责任</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加强企业环境治理责任监管制度建设，督促企业强化源头防控，大力开展技术创新，加大清洁生产推行力度，依法依规淘汰落后生产工艺技术，积极践行绿色生产方式，减少污染排放，主动防控环境风险。</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（四）推进生态环境保护督察</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严格落实《自治区生态环境保护督察工作实施办法》，建立健全中央和自治区生态环境保护督察反馈问题整改落实机制，切实加强生态环境保护督察整改工作，坚决杜绝虚假整改、敷衍整改、表面整改，确保整改质量与成效，并举一反三加强防范。综合运用巡查回访、公开曝光、通报约谈、严肃问责等手段，推动整改落实。</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b/>
          <w:bCs/>
          <w:color w:val="auto"/>
          <w:sz w:val="32"/>
          <w:szCs w:val="32"/>
          <w:u w:val="none"/>
        </w:rPr>
      </w:pPr>
      <w:bookmarkStart w:id="59" w:name="_Toc119061608"/>
      <w:r>
        <w:rPr>
          <w:rFonts w:hint="default" w:ascii="Times New Roman" w:hAnsi="Times New Roman" w:eastAsia="仿宋_GB2312" w:cs="Times New Roman"/>
          <w:b/>
          <w:bCs/>
          <w:color w:val="auto"/>
          <w:sz w:val="32"/>
          <w:szCs w:val="32"/>
          <w:u w:val="none"/>
        </w:rPr>
        <w:t>二、健全生态环境监管体系</w:t>
      </w:r>
      <w:bookmarkEnd w:id="59"/>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（一）健全生态环境监测体系</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认真落实《</w:t>
      </w:r>
      <w:r>
        <w:rPr>
          <w:rFonts w:hint="eastAsia" w:ascii="仿宋_GB2312" w:hAnsi="仿宋_GB2312" w:eastAsia="仿宋_GB2312" w:cs="仿宋_GB2312"/>
          <w:color w:val="auto"/>
          <w:sz w:val="32"/>
          <w:szCs w:val="32"/>
          <w:u w:val="none"/>
        </w:rPr>
        <w:t>“十四五”国家空气、地表水环境质量监测网设置方案》，按照自治区工作安排</w:t>
      </w:r>
      <w:r>
        <w:rPr>
          <w:rFonts w:hint="default" w:ascii="Times New Roman" w:hAnsi="Times New Roman" w:eastAsia="仿宋_GB2312" w:cs="Times New Roman"/>
          <w:color w:val="auto"/>
          <w:sz w:val="32"/>
          <w:szCs w:val="32"/>
          <w:u w:val="none"/>
        </w:rPr>
        <w:t>，深化大气、地表水、地下水、土壤等环境质量监测体系建设，加快建立覆盖固定污染源、移动源、入河（湖）排污口的污染源监测网络。加大监测投入力度，加强基础仪器装备能力建设，提升现场采样分析和实验室检测能力。加强电磁环境监测，开展公众活动范围电磁环境监测和城市电磁环境调查监测。加强现场执法监测仪器配置，提高废气、废水、土壤等现场采样和快速检测能力。</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（二）健全生态环境执法体系</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深化生态环境综合执法改革，推动生态环境机构监测监察执法垂直管理制度改革全面落地见效，</w:t>
      </w:r>
      <w:r>
        <w:rPr>
          <w:rFonts w:hint="default" w:ascii="Times New Roman" w:hAnsi="Times New Roman" w:eastAsia="仿宋_GB2312" w:cs="Times New Roman"/>
          <w:color w:val="auto"/>
          <w:sz w:val="32"/>
          <w:szCs w:val="32"/>
          <w:u w:val="none"/>
          <w:lang w:eastAsia="zh-CN"/>
        </w:rPr>
        <w:t>落实</w:t>
      </w:r>
      <w:r>
        <w:rPr>
          <w:rFonts w:hint="default" w:ascii="Times New Roman" w:hAnsi="Times New Roman" w:eastAsia="仿宋_GB2312" w:cs="Times New Roman"/>
          <w:color w:val="auto"/>
          <w:sz w:val="32"/>
          <w:szCs w:val="32"/>
          <w:u w:val="none"/>
        </w:rPr>
        <w:t>县（区）</w:t>
      </w:r>
      <w:r>
        <w:rPr>
          <w:rFonts w:hint="eastAsia" w:ascii="仿宋_GB2312" w:hAnsi="仿宋_GB2312" w:eastAsia="仿宋_GB2312" w:cs="仿宋_GB2312"/>
          <w:color w:val="auto"/>
          <w:sz w:val="32"/>
          <w:szCs w:val="32"/>
          <w:u w:val="none"/>
        </w:rPr>
        <w:t>级“局队站合一”运行方式。严格落实执法公示、全过程记录和重</w:t>
      </w:r>
      <w:r>
        <w:rPr>
          <w:rFonts w:hint="default" w:ascii="Times New Roman" w:hAnsi="Times New Roman" w:eastAsia="仿宋_GB2312" w:cs="Times New Roman"/>
          <w:color w:val="auto"/>
          <w:sz w:val="32"/>
          <w:szCs w:val="32"/>
          <w:u w:val="none"/>
        </w:rPr>
        <w:t>大执法决定法制审核制度。建立实施监督执法正面清单制度，推动差异化监管，加强区域交叉</w:t>
      </w:r>
      <w:r>
        <w:rPr>
          <w:rFonts w:hint="eastAsia" w:ascii="仿宋_GB2312" w:hAnsi="仿宋_GB2312" w:eastAsia="仿宋_GB2312" w:cs="仿宋_GB2312"/>
          <w:color w:val="auto"/>
          <w:sz w:val="32"/>
          <w:szCs w:val="32"/>
          <w:u w:val="none"/>
        </w:rPr>
        <w:t>、“双随机、一公开”监管执法</w:t>
      </w:r>
      <w:r>
        <w:rPr>
          <w:rFonts w:hint="default" w:ascii="Times New Roman" w:hAnsi="Times New Roman" w:eastAsia="仿宋_GB2312" w:cs="Times New Roman"/>
          <w:color w:val="auto"/>
          <w:sz w:val="32"/>
          <w:szCs w:val="32"/>
          <w:u w:val="none"/>
        </w:rPr>
        <w:t>，大力拓展非现场监管手段，探索第三方辅助执法机制，采取包容审慎监管，进一步规范行政处罚自由裁量权。依法严厉查处违法犯罪行为，加大破坏生态环境案件起诉力度，加强检察机关提起生态环境公益诉讼工作。</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（三）推进环境治理信息公开</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深化企业环境信息强制性公开制度改革，推动排污企业通过互联网等途径依法公开项目环评、主要污染物名称、排放方式、执行标准以及污染防治设施建设和运行等情况，并对信息真实性负责。鼓励引导企业自愿公开有利于生态保护、污染防治、履行主体责任的其他相关信息。</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（四）健全生态环境信用体系</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完善企业环保信用评价制度，在行政审批、融资授信、资质评定、市场监管</w:t>
      </w:r>
      <w:r>
        <w:rPr>
          <w:rFonts w:hint="eastAsia" w:ascii="仿宋_GB2312" w:hAnsi="仿宋_GB2312" w:eastAsia="仿宋_GB2312" w:cs="仿宋_GB2312"/>
          <w:color w:val="auto"/>
          <w:sz w:val="32"/>
          <w:szCs w:val="32"/>
          <w:u w:val="none"/>
        </w:rPr>
        <w:t>等领域设置“信用门槛”。建立排污企</w:t>
      </w:r>
      <w:r>
        <w:rPr>
          <w:rFonts w:hint="default" w:ascii="Times New Roman" w:hAnsi="Times New Roman" w:eastAsia="仿宋_GB2312" w:cs="Times New Roman"/>
          <w:color w:val="auto"/>
          <w:sz w:val="32"/>
          <w:szCs w:val="32"/>
          <w:u w:val="none"/>
        </w:rPr>
        <w:t>业黑名单制度，将环境违法企业依法依规纳入失信联合惩戒对象名单，将其违法信息记入信用记录，并按照国家有关规定纳入全国信用信息共享平台，依法向社会公开。推动实现重点排污单位环境信用评价全覆盖。</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b/>
          <w:bCs/>
          <w:color w:val="auto"/>
          <w:sz w:val="32"/>
          <w:szCs w:val="32"/>
          <w:u w:val="none"/>
        </w:rPr>
      </w:pPr>
      <w:bookmarkStart w:id="60" w:name="_Toc119061609"/>
      <w:r>
        <w:rPr>
          <w:rFonts w:hint="default" w:ascii="Times New Roman" w:hAnsi="Times New Roman" w:eastAsia="仿宋_GB2312" w:cs="Times New Roman"/>
          <w:b/>
          <w:bCs/>
          <w:color w:val="auto"/>
          <w:sz w:val="32"/>
          <w:szCs w:val="32"/>
          <w:u w:val="none"/>
        </w:rPr>
        <w:t>三、健全生态环境市场体系</w:t>
      </w:r>
      <w:bookmarkEnd w:id="60"/>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（一）规范环保市场秩序</w:t>
      </w:r>
    </w:p>
    <w:p>
      <w:pPr>
        <w:pageBreakBefore w:val="0"/>
        <w:kinsoku/>
        <w:wordWrap/>
        <w:overflowPunct/>
        <w:topLinePunct w:val="0"/>
        <w:autoSpaceDE/>
        <w:autoSpaceDN/>
        <w:bidi w:val="0"/>
        <w:snapToGrid/>
        <w:spacing w:line="560" w:lineRule="exact"/>
        <w:ind w:left="0" w:leftChars="0" w:firstLine="644"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持续深化“放管服”改革，优化营商环境，落实公平竞争审查制度，引导各类资本规范参与环境治理投资、建设、运行，减少恶性竞争，防止恶意低价中标，加快形成公开透明、规范有序的环境治理市场环境。鼓励支持环境治理整体解决方案、园区污染防治第三方治理示范等创新发展。探索建立第三方污染治理效果评估制度，健全惩戒退出机制。</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（二）完善价格收费机制</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eastAsia" w:ascii="仿宋_GB2312" w:hAnsi="仿宋_GB2312" w:eastAsia="仿宋_GB2312" w:cs="仿宋_GB2312"/>
          <w:color w:val="auto"/>
          <w:sz w:val="32"/>
          <w:szCs w:val="32"/>
          <w:u w:val="none"/>
        </w:rPr>
        <w:t>严格落实“谁污染、谁付费”政策导向</w:t>
      </w:r>
      <w:r>
        <w:rPr>
          <w:rFonts w:hint="default" w:ascii="Times New Roman" w:hAnsi="Times New Roman" w:eastAsia="仿宋_GB2312" w:cs="Times New Roman"/>
          <w:color w:val="auto"/>
          <w:sz w:val="32"/>
          <w:szCs w:val="32"/>
          <w:u w:val="none"/>
        </w:rPr>
        <w:t>，建立健全污染者付费机制，落实垃圾处理收费政策和差别化电价政策，完善环保行业用电支持政策，推动形成有利于绿色发展的价格机制。探索在具备污水集中处理条件的建制镇开征污水处理费，探索建立农村生活污水垃圾治理收费制度。加快能源环境市场交易机制建设，建立能源交易信息平台，全面实施排污权有偿使用和交易。</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（三）加大财税政策支持</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全面落实国家有关节能、节水、环保、资源综合利用等税收优惠政策。健全财政投入与生态环境质量和主要污染物排放</w:t>
      </w:r>
      <w:r>
        <w:rPr>
          <w:rFonts w:hint="default" w:ascii="Times New Roman" w:hAnsi="Times New Roman" w:eastAsia="仿宋_GB2312" w:cs="Times New Roman"/>
          <w:color w:val="auto"/>
          <w:sz w:val="32"/>
          <w:szCs w:val="32"/>
          <w:highlight w:val="none"/>
          <w:u w:val="none"/>
        </w:rPr>
        <w:t>总量挂钩奖惩</w:t>
      </w:r>
      <w:r>
        <w:rPr>
          <w:rFonts w:hint="default" w:ascii="Times New Roman" w:hAnsi="Times New Roman" w:eastAsia="仿宋_GB2312" w:cs="Times New Roman"/>
          <w:color w:val="auto"/>
          <w:sz w:val="32"/>
          <w:szCs w:val="32"/>
          <w:u w:val="none"/>
        </w:rPr>
        <w:t>机制，加快完善市场化、多元化的生态补偿机制。建立稳定的环境治理县区级财政资金投入机制，完善财政支持方式和资金管理办法，鼓励支持符合条件的企业发行绿色债券，落实企业技术改造升级扶持奖励政策。</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（四）大力发展绿色金融</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鼓励和支持金融机构丰富绿色金融产品，创新绿色金融服务，大力发展绿色信贷，配套出台贴息政策，构建激励绿色发展的金融体系。鼓励探索开展排污权交易抵（质）押融资、重大环保装备融资租赁等创新业务。推动符合条件的节能环保企业进入多层次资本市场直接融资。在环境高风险领域研究建立环境污染强制责任保险制度。健全自然资源资产产权制度，推动自然资源资产有偿使用，促进资源要素市场化配置。</w:t>
      </w:r>
    </w:p>
    <w:p>
      <w:pPr>
        <w:pStyle w:val="5"/>
        <w:pageBreakBefore w:val="0"/>
        <w:kinsoku/>
        <w:wordWrap/>
        <w:overflowPunct/>
        <w:topLinePunct w:val="0"/>
        <w:autoSpaceDE/>
        <w:autoSpaceDN/>
        <w:bidi w:val="0"/>
        <w:snapToGrid/>
        <w:spacing w:before="0" w:beforeLines="0" w:after="0" w:afterLines="0" w:line="560" w:lineRule="exact"/>
        <w:ind w:left="0" w:leftChars="0"/>
        <w:textAlignment w:val="auto"/>
        <w:rPr>
          <w:rFonts w:hint="default" w:ascii="Times New Roman" w:hAnsi="Times New Roman" w:eastAsia="仿宋_GB2312" w:cs="Times New Roman"/>
          <w:b/>
          <w:bCs/>
          <w:color w:val="auto"/>
          <w:sz w:val="32"/>
          <w:szCs w:val="32"/>
          <w:u w:val="none"/>
        </w:rPr>
      </w:pPr>
      <w:bookmarkStart w:id="61" w:name="_Toc119061610"/>
      <w:r>
        <w:rPr>
          <w:rFonts w:hint="default" w:ascii="Times New Roman" w:hAnsi="Times New Roman" w:eastAsia="仿宋_GB2312" w:cs="Times New Roman"/>
          <w:b/>
          <w:bCs/>
          <w:color w:val="auto"/>
          <w:sz w:val="32"/>
          <w:szCs w:val="32"/>
          <w:u w:val="none"/>
        </w:rPr>
        <w:t>四、健全环境保护全民行动体系</w:t>
      </w:r>
      <w:bookmarkEnd w:id="61"/>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（一）广泛开展宣传教育</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在各类学校、各级党校、干部培训班开展生态文明教育教学活动。利用“六五”环境日等重要时间节点，广泛开展宣传教育活动，引导全社会提高生态文明意识，形成人人关心重视环保、人人共建生态文明的良好氛围。</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（二）发挥社会团体作用</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工会、共青团、妇联等群团组织要积极动员广大职工、青年、妇女主动参与生态环境保护。行业协会、商会等要切实发挥桥梁纽带作用，促进行业自律。加强对社会组织的管理和指导，积极推进能力建设，充分发挥环保志愿者积极作用。</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（三）畅通公众参与渠道</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健全环境决策公众参与机制，完善举报反馈机制，落实有奖举报制度，鼓励引导新闻媒体对各类破坏生态环境问题进行曝光。支持具备资格的环保组织依法开展生态环境公益诉讼等活动。</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（四）推动践行绿色生活方式</w:t>
      </w:r>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黑体" w:cs="Times New Roman"/>
          <w:b w:val="0"/>
          <w:bCs w:val="0"/>
          <w:color w:val="auto"/>
          <w:kern w:val="2"/>
          <w:sz w:val="32"/>
          <w:szCs w:val="32"/>
          <w:u w:val="none"/>
          <w:lang w:val="en-US" w:eastAsia="zh-CN" w:bidi="ar-SA"/>
        </w:rPr>
      </w:pPr>
      <w:r>
        <w:rPr>
          <w:rFonts w:hint="default" w:ascii="Times New Roman" w:hAnsi="Times New Roman" w:eastAsia="仿宋_GB2312" w:cs="Times New Roman"/>
          <w:color w:val="auto"/>
          <w:sz w:val="32"/>
          <w:szCs w:val="32"/>
          <w:u w:val="none"/>
        </w:rPr>
        <w:t>组织开展绿色示范创建活动，大力推进绿色家庭、绿色社区建设，推广使用节能、节水、环保、再生等绿色产品，引导公民自觉履行环境保护责任，践行绿色低碳的生活方式，鼓励绿色出行、绿色消费。</w:t>
      </w:r>
      <w:bookmarkStart w:id="62" w:name="_Toc119061611"/>
    </w:p>
    <w:p>
      <w:pPr>
        <w:pStyle w:val="4"/>
        <w:keepNext/>
        <w:keepLines/>
        <w:pageBreakBefore w:val="0"/>
        <w:widowControl w:val="0"/>
        <w:kinsoku/>
        <w:wordWrap/>
        <w:overflowPunct/>
        <w:topLinePunct w:val="0"/>
        <w:autoSpaceDE/>
        <w:autoSpaceDN/>
        <w:bidi w:val="0"/>
        <w:adjustRightInd/>
        <w:snapToGrid/>
        <w:spacing w:before="318" w:beforeLines="100" w:after="160" w:afterLines="50" w:line="560" w:lineRule="exact"/>
        <w:ind w:left="0" w:leftChars="0"/>
        <w:jc w:val="center"/>
        <w:textAlignment w:val="auto"/>
        <w:rPr>
          <w:rFonts w:hint="default" w:ascii="Times New Roman" w:hAnsi="Times New Roman" w:eastAsia="楷体_GB2312" w:cs="Times New Roman"/>
          <w:b/>
          <w:bCs/>
          <w:color w:val="auto"/>
          <w:kern w:val="2"/>
          <w:sz w:val="32"/>
          <w:szCs w:val="32"/>
          <w:u w:val="none"/>
          <w:lang w:val="en-US" w:eastAsia="zh-CN" w:bidi="ar-SA"/>
        </w:rPr>
      </w:pPr>
      <w:r>
        <w:rPr>
          <w:rFonts w:hint="default" w:ascii="Times New Roman" w:hAnsi="Times New Roman" w:eastAsia="黑体" w:cs="Times New Roman"/>
          <w:b w:val="0"/>
          <w:bCs w:val="0"/>
          <w:color w:val="auto"/>
          <w:kern w:val="2"/>
          <w:sz w:val="32"/>
          <w:szCs w:val="32"/>
          <w:u w:val="none"/>
          <w:lang w:val="en-US" w:eastAsia="zh-CN" w:bidi="ar-SA"/>
        </w:rPr>
        <w:t>第四章 保障措施</w:t>
      </w:r>
      <w:bookmarkEnd w:id="62"/>
      <w:bookmarkStart w:id="63" w:name="_Toc119061612"/>
    </w:p>
    <w:p>
      <w:pPr>
        <w:pStyle w:val="4"/>
        <w:keepNext/>
        <w:keepLines/>
        <w:pageBreakBefore w:val="0"/>
        <w:widowControl w:val="0"/>
        <w:kinsoku/>
        <w:wordWrap/>
        <w:overflowPunct/>
        <w:topLinePunct w:val="0"/>
        <w:autoSpaceDE/>
        <w:autoSpaceDN/>
        <w:bidi w:val="0"/>
        <w:adjustRightInd/>
        <w:snapToGrid/>
        <w:spacing w:before="0" w:after="160" w:afterLines="50" w:line="560" w:lineRule="exact"/>
        <w:ind w:left="0" w:leftChars="0"/>
        <w:jc w:val="center"/>
        <w:textAlignment w:val="auto"/>
        <w:rPr>
          <w:rFonts w:hint="default" w:ascii="Times New Roman" w:hAnsi="Times New Roman" w:eastAsia="楷体_GB2312" w:cs="Times New Roman"/>
          <w:b/>
          <w:bCs/>
          <w:color w:val="auto"/>
          <w:kern w:val="2"/>
          <w:sz w:val="32"/>
          <w:szCs w:val="32"/>
          <w:u w:val="none"/>
          <w:lang w:val="en-US" w:eastAsia="zh-CN" w:bidi="ar-SA"/>
        </w:rPr>
      </w:pPr>
      <w:r>
        <w:rPr>
          <w:rFonts w:hint="default" w:ascii="Times New Roman" w:hAnsi="Times New Roman" w:eastAsia="楷体_GB2312" w:cs="Times New Roman"/>
          <w:b/>
          <w:bCs/>
          <w:color w:val="auto"/>
          <w:kern w:val="2"/>
          <w:sz w:val="32"/>
          <w:szCs w:val="32"/>
          <w:u w:val="none"/>
          <w:lang w:val="en-US" w:eastAsia="zh-CN" w:bidi="ar-SA"/>
        </w:rPr>
        <w:t>第一节 强化组织领导</w:t>
      </w:r>
      <w:bookmarkEnd w:id="63"/>
    </w:p>
    <w:p>
      <w:pPr>
        <w:keepNext w:val="0"/>
        <w:keepLines w:val="0"/>
        <w:pageBreakBefore w:val="0"/>
        <w:widowControl w:val="0"/>
        <w:kinsoku/>
        <w:wordWrap/>
        <w:overflowPunct/>
        <w:topLinePunct w:val="0"/>
        <w:autoSpaceDE/>
        <w:autoSpaceDN/>
        <w:bidi w:val="0"/>
        <w:adjustRightInd/>
        <w:snapToGrid/>
        <w:spacing w:after="160" w:afterLines="50" w:line="560" w:lineRule="exact"/>
        <w:ind w:firstLine="644" w:firstLineChars="200"/>
        <w:textAlignment w:val="auto"/>
        <w:rPr>
          <w:rFonts w:hint="default"/>
        </w:rPr>
      </w:pPr>
      <w:r>
        <w:rPr>
          <w:rFonts w:hint="eastAsia" w:ascii="Times New Roman" w:hAnsi="Times New Roman" w:eastAsia="仿宋_GB2312" w:cs="Times New Roman"/>
          <w:color w:val="auto"/>
          <w:sz w:val="32"/>
          <w:szCs w:val="32"/>
          <w:u w:val="none"/>
          <w:lang w:eastAsia="zh-CN"/>
        </w:rPr>
        <w:t>各乡（镇、街道）、各部门（单位）</w:t>
      </w:r>
      <w:r>
        <w:rPr>
          <w:rFonts w:hint="default" w:ascii="Times New Roman" w:hAnsi="Times New Roman" w:eastAsia="仿宋_GB2312" w:cs="Times New Roman"/>
          <w:color w:val="auto"/>
          <w:sz w:val="32"/>
          <w:szCs w:val="32"/>
          <w:u w:val="none"/>
        </w:rPr>
        <w:t>要充分认识生态环境保护工作的重要性、紧迫性、艰巨性，严格落实生态环境保护“党政同责、一岗双责”，把生态环境保护目标、任务、措施和重点工程纳入国民经济和社会发展规划，全力推动落地见效。相关职能部门要按照本规划确定的任务，制定实施方案，细化落实举措，各司其职、各尽其责，密切配合、协同联动，共同推动规划目标任务落实，共同抓好生态环境大保护。</w:t>
      </w:r>
    </w:p>
    <w:p>
      <w:pPr>
        <w:pStyle w:val="4"/>
        <w:keepNext/>
        <w:keepLines/>
        <w:pageBreakBefore w:val="0"/>
        <w:widowControl w:val="0"/>
        <w:kinsoku/>
        <w:wordWrap/>
        <w:overflowPunct/>
        <w:topLinePunct w:val="0"/>
        <w:autoSpaceDE/>
        <w:autoSpaceDN/>
        <w:bidi w:val="0"/>
        <w:adjustRightInd/>
        <w:snapToGrid/>
        <w:spacing w:before="0" w:after="160" w:afterLines="50" w:line="560" w:lineRule="exact"/>
        <w:ind w:left="0" w:leftChars="0"/>
        <w:jc w:val="center"/>
        <w:textAlignment w:val="auto"/>
        <w:rPr>
          <w:rFonts w:hint="default" w:ascii="Times New Roman" w:hAnsi="Times New Roman" w:eastAsia="楷体_GB2312" w:cs="Times New Roman"/>
          <w:b/>
          <w:bCs/>
          <w:color w:val="auto"/>
          <w:kern w:val="2"/>
          <w:sz w:val="32"/>
          <w:szCs w:val="32"/>
          <w:u w:val="none"/>
          <w:lang w:val="en-US" w:eastAsia="zh-CN" w:bidi="ar-SA"/>
        </w:rPr>
      </w:pPr>
      <w:bookmarkStart w:id="64" w:name="_Toc119061613"/>
      <w:r>
        <w:rPr>
          <w:rFonts w:hint="default" w:ascii="Times New Roman" w:hAnsi="Times New Roman" w:eastAsia="楷体_GB2312" w:cs="Times New Roman"/>
          <w:b/>
          <w:bCs/>
          <w:color w:val="auto"/>
          <w:kern w:val="2"/>
          <w:sz w:val="32"/>
          <w:szCs w:val="32"/>
          <w:u w:val="none"/>
          <w:lang w:val="en-US" w:eastAsia="zh-CN" w:bidi="ar-SA"/>
        </w:rPr>
        <w:t>第二节 强化资金投入</w:t>
      </w:r>
      <w:bookmarkEnd w:id="64"/>
    </w:p>
    <w:p>
      <w:pPr>
        <w:keepNext w:val="0"/>
        <w:keepLines w:val="0"/>
        <w:pageBreakBefore w:val="0"/>
        <w:widowControl w:val="0"/>
        <w:kinsoku/>
        <w:wordWrap/>
        <w:overflowPunct/>
        <w:topLinePunct w:val="0"/>
        <w:autoSpaceDE/>
        <w:autoSpaceDN/>
        <w:bidi w:val="0"/>
        <w:adjustRightInd/>
        <w:snapToGrid/>
        <w:spacing w:after="160" w:afterLines="50" w:line="560" w:lineRule="exact"/>
        <w:ind w:left="0" w:leftChars="0" w:firstLine="644" w:firstLineChars="200"/>
        <w:textAlignment w:val="auto"/>
        <w:rPr>
          <w:rFonts w:hint="default" w:ascii="Times New Roman" w:hAnsi="Times New Roman" w:eastAsia="楷体_GB2312" w:cs="Times New Roman"/>
          <w:b/>
          <w:bCs/>
          <w:color w:val="auto"/>
          <w:kern w:val="2"/>
          <w:sz w:val="32"/>
          <w:szCs w:val="32"/>
          <w:u w:val="none"/>
          <w:lang w:val="en-US" w:eastAsia="zh-CN" w:bidi="ar-SA"/>
        </w:rPr>
      </w:pPr>
      <w:r>
        <w:rPr>
          <w:rFonts w:hint="default" w:ascii="Times New Roman" w:hAnsi="Times New Roman" w:eastAsia="仿宋_GB2312" w:cs="Times New Roman"/>
          <w:color w:val="auto"/>
          <w:sz w:val="32"/>
          <w:szCs w:val="32"/>
          <w:u w:val="none"/>
        </w:rPr>
        <w:t>进一步健全生态环境保护投入保障机制，加快形成财政资金、金融资金、社会资金多元投入格局，切实加大投入保障力度。准确把握国家相关资金投入政策导向，科学谋划生态环境保护项目，争取更多项目进入国家、</w:t>
      </w:r>
      <w:r>
        <w:rPr>
          <w:rFonts w:hint="eastAsia" w:ascii="仿宋_GB2312" w:hAnsi="仿宋_GB2312" w:eastAsia="仿宋_GB2312" w:cs="仿宋_GB2312"/>
          <w:color w:val="auto"/>
          <w:sz w:val="32"/>
          <w:szCs w:val="32"/>
          <w:u w:val="none"/>
        </w:rPr>
        <w:t>自治区“十四五”生态环境保护项目库，最大限度争取国家、自治区专项资金支持。运用土地、规划、金融、价</w:t>
      </w:r>
      <w:r>
        <w:rPr>
          <w:rFonts w:hint="eastAsia" w:ascii="仿宋_GB2312" w:hAnsi="仿宋_GB2312" w:eastAsia="仿宋_GB2312" w:cs="仿宋_GB2312"/>
          <w:color w:val="auto"/>
          <w:sz w:val="32"/>
          <w:szCs w:val="32"/>
          <w:highlight w:val="none"/>
          <w:u w:val="none"/>
        </w:rPr>
        <w:t>格</w:t>
      </w:r>
      <w:r>
        <w:rPr>
          <w:rFonts w:hint="eastAsia" w:ascii="仿宋_GB2312" w:hAnsi="仿宋_GB2312" w:eastAsia="仿宋_GB2312" w:cs="仿宋_GB2312"/>
          <w:color w:val="auto"/>
          <w:sz w:val="32"/>
          <w:szCs w:val="32"/>
          <w:highlight w:val="none"/>
          <w:u w:val="none"/>
          <w:lang w:eastAsia="zh-CN"/>
        </w:rPr>
        <w:t>等</w:t>
      </w:r>
      <w:r>
        <w:rPr>
          <w:rFonts w:hint="eastAsia" w:ascii="仿宋_GB2312" w:hAnsi="仿宋_GB2312" w:eastAsia="仿宋_GB2312" w:cs="仿宋_GB2312"/>
          <w:color w:val="auto"/>
          <w:sz w:val="32"/>
          <w:szCs w:val="32"/>
          <w:u w:val="none"/>
        </w:rPr>
        <w:t>多种政策，充分调动企业积极性，鼓励引导社会资本参与生态环境保护项目建设。</w:t>
      </w:r>
      <w:bookmarkStart w:id="65" w:name="_Toc119061614"/>
    </w:p>
    <w:p>
      <w:pPr>
        <w:pStyle w:val="4"/>
        <w:keepNext/>
        <w:keepLines/>
        <w:pageBreakBefore w:val="0"/>
        <w:widowControl w:val="0"/>
        <w:kinsoku/>
        <w:wordWrap/>
        <w:overflowPunct/>
        <w:topLinePunct w:val="0"/>
        <w:autoSpaceDE/>
        <w:autoSpaceDN/>
        <w:bidi w:val="0"/>
        <w:adjustRightInd/>
        <w:snapToGrid/>
        <w:spacing w:before="0" w:after="160" w:afterLines="50" w:line="560" w:lineRule="exact"/>
        <w:ind w:left="0" w:leftChars="0"/>
        <w:jc w:val="center"/>
        <w:textAlignment w:val="auto"/>
        <w:rPr>
          <w:rFonts w:hint="default" w:ascii="Times New Roman" w:hAnsi="Times New Roman" w:eastAsia="楷体_GB2312" w:cs="Times New Roman"/>
          <w:b/>
          <w:bCs/>
          <w:color w:val="auto"/>
          <w:kern w:val="2"/>
          <w:sz w:val="32"/>
          <w:szCs w:val="32"/>
          <w:u w:val="none"/>
          <w:lang w:val="en-US" w:eastAsia="zh-CN" w:bidi="ar-SA"/>
        </w:rPr>
      </w:pPr>
      <w:r>
        <w:rPr>
          <w:rFonts w:hint="default" w:ascii="Times New Roman" w:hAnsi="Times New Roman" w:eastAsia="楷体_GB2312" w:cs="Times New Roman"/>
          <w:b/>
          <w:bCs/>
          <w:color w:val="auto"/>
          <w:kern w:val="2"/>
          <w:sz w:val="32"/>
          <w:szCs w:val="32"/>
          <w:u w:val="none"/>
          <w:lang w:val="en-US" w:eastAsia="zh-CN" w:bidi="ar-SA"/>
        </w:rPr>
        <w:t>第三节 强化人才保障</w:t>
      </w:r>
      <w:bookmarkEnd w:id="65"/>
    </w:p>
    <w:p>
      <w:pPr>
        <w:keepNext w:val="0"/>
        <w:keepLines w:val="0"/>
        <w:pageBreakBefore w:val="0"/>
        <w:widowControl w:val="0"/>
        <w:kinsoku/>
        <w:wordWrap/>
        <w:overflowPunct/>
        <w:topLinePunct w:val="0"/>
        <w:autoSpaceDE/>
        <w:autoSpaceDN/>
        <w:bidi w:val="0"/>
        <w:adjustRightInd/>
        <w:snapToGrid/>
        <w:spacing w:after="160" w:afterLines="50" w:line="560" w:lineRule="exact"/>
        <w:ind w:left="0" w:leftChars="0" w:firstLine="644" w:firstLineChars="200"/>
        <w:textAlignment w:val="auto"/>
        <w:rPr>
          <w:rFonts w:hint="default"/>
        </w:rPr>
      </w:pPr>
      <w:r>
        <w:rPr>
          <w:rFonts w:hint="default" w:ascii="Times New Roman" w:hAnsi="Times New Roman" w:eastAsia="仿宋_GB2312" w:cs="Times New Roman"/>
          <w:color w:val="auto"/>
          <w:sz w:val="32"/>
          <w:szCs w:val="32"/>
          <w:u w:val="none"/>
        </w:rPr>
        <w:t>持续壮大生态环境领域高层次人才队伍，</w:t>
      </w:r>
      <w:r>
        <w:rPr>
          <w:rFonts w:hint="eastAsia" w:ascii="仿宋_GB2312" w:hAnsi="仿宋_GB2312" w:eastAsia="仿宋_GB2312" w:cs="仿宋_GB2312"/>
          <w:color w:val="auto"/>
          <w:sz w:val="32"/>
          <w:szCs w:val="32"/>
          <w:u w:val="none"/>
        </w:rPr>
        <w:t>构建“引育留用管”全链条人才政策体系。强化生态环境领域专业人才梯队建设以及专业人才储备培养，加强应对气候变化、固废和化学品</w:t>
      </w:r>
      <w:r>
        <w:rPr>
          <w:rFonts w:hint="default" w:ascii="Times New Roman" w:hAnsi="Times New Roman" w:eastAsia="仿宋_GB2312" w:cs="Times New Roman"/>
          <w:color w:val="auto"/>
          <w:sz w:val="32"/>
          <w:szCs w:val="32"/>
          <w:u w:val="none"/>
        </w:rPr>
        <w:t>环境管理、土壤环境监管等急紧缺领域人才引进培养。强化生态环境相关法律法规和业务知识教育培训，积极开展环境监测专业技术人员大比武、生态环境保护执法人员大练兵等活动，加强系统内干部队伍交流，锻造新时代生态环保</w:t>
      </w:r>
      <w:r>
        <w:rPr>
          <w:rFonts w:hint="eastAsia" w:ascii="仿宋_GB2312" w:hAnsi="仿宋_GB2312" w:eastAsia="仿宋_GB2312" w:cs="仿宋_GB2312"/>
          <w:color w:val="auto"/>
          <w:sz w:val="32"/>
          <w:szCs w:val="32"/>
          <w:u w:val="none"/>
        </w:rPr>
        <w:t>“铁军”。</w:t>
      </w:r>
    </w:p>
    <w:p>
      <w:pPr>
        <w:pStyle w:val="4"/>
        <w:keepNext/>
        <w:keepLines/>
        <w:pageBreakBefore w:val="0"/>
        <w:widowControl w:val="0"/>
        <w:kinsoku/>
        <w:wordWrap/>
        <w:overflowPunct/>
        <w:topLinePunct w:val="0"/>
        <w:autoSpaceDE/>
        <w:autoSpaceDN/>
        <w:bidi w:val="0"/>
        <w:adjustRightInd/>
        <w:snapToGrid/>
        <w:spacing w:before="0" w:after="160" w:afterLines="50" w:line="560" w:lineRule="exact"/>
        <w:ind w:left="0" w:leftChars="0"/>
        <w:jc w:val="center"/>
        <w:textAlignment w:val="auto"/>
        <w:rPr>
          <w:rFonts w:hint="default" w:ascii="Times New Roman" w:hAnsi="Times New Roman" w:eastAsia="楷体_GB2312" w:cs="Times New Roman"/>
          <w:b/>
          <w:bCs/>
          <w:color w:val="auto"/>
          <w:kern w:val="2"/>
          <w:sz w:val="32"/>
          <w:szCs w:val="32"/>
          <w:u w:val="none"/>
          <w:lang w:val="en-US" w:eastAsia="zh-CN" w:bidi="ar-SA"/>
        </w:rPr>
      </w:pPr>
      <w:bookmarkStart w:id="66" w:name="_Toc119061615"/>
      <w:r>
        <w:rPr>
          <w:rFonts w:hint="default" w:ascii="Times New Roman" w:hAnsi="Times New Roman" w:eastAsia="楷体_GB2312" w:cs="Times New Roman"/>
          <w:b/>
          <w:bCs/>
          <w:color w:val="auto"/>
          <w:kern w:val="2"/>
          <w:sz w:val="32"/>
          <w:szCs w:val="32"/>
          <w:u w:val="none"/>
          <w:lang w:val="en-US" w:eastAsia="zh-CN" w:bidi="ar-SA"/>
        </w:rPr>
        <w:t>第四节 强化评估考核</w:t>
      </w:r>
      <w:bookmarkEnd w:id="66"/>
    </w:p>
    <w:p>
      <w:pPr>
        <w:pageBreakBefore w:val="0"/>
        <w:kinsoku/>
        <w:wordWrap/>
        <w:overflowPunct/>
        <w:topLinePunct w:val="0"/>
        <w:autoSpaceDE/>
        <w:autoSpaceDN/>
        <w:bidi w:val="0"/>
        <w:snapToGrid/>
        <w:spacing w:line="560" w:lineRule="exact"/>
        <w:ind w:left="0" w:leftChars="0" w:firstLine="64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立规划实施评估考核监督机制，围绕规划目标指标、重点任务、重大工程进展情况，对规划实施情况进行全方位评估总结。在2023年中和2025年底，分别对规划执行情况进行中期评估和终期考核，评估考核结果向自治区政府及自治区生态环境厅报告，并向社会公开。依法向人大常委会报告规划实施情况，自觉接受人大监督；加强社会团体和新闻媒体宣传监督作用，充分利用报纸、电视、网络、社交平台和数字媒介等，畅通公共监督渠道，形成全社会关心规划、自觉参与和监督规划实施的良好氛围。</w:t>
      </w:r>
    </w:p>
    <w:p>
      <w:pPr>
        <w:pStyle w:val="4"/>
        <w:pageBreakBefore w:val="0"/>
        <w:kinsoku/>
        <w:wordWrap/>
        <w:overflowPunct/>
        <w:topLinePunct w:val="0"/>
        <w:autoSpaceDE/>
        <w:autoSpaceDN/>
        <w:bidi w:val="0"/>
        <w:snapToGrid/>
        <w:spacing w:before="0" w:after="0" w:line="560" w:lineRule="exact"/>
        <w:ind w:left="0" w:leftChars="0" w:firstLine="644" w:firstLineChars="200"/>
        <w:jc w:val="left"/>
        <w:textAlignment w:val="auto"/>
        <w:rPr>
          <w:rFonts w:hint="default" w:ascii="Times New Roman" w:hAnsi="Times New Roman" w:eastAsia="仿宋_GB2312" w:cs="Times New Roman"/>
          <w:b w:val="0"/>
          <w:bCs w:val="0"/>
          <w:color w:val="auto"/>
          <w:kern w:val="2"/>
          <w:sz w:val="32"/>
          <w:szCs w:val="32"/>
          <w:u w:val="none"/>
          <w:lang w:val="en-US" w:eastAsia="zh-CN" w:bidi="ar-SA"/>
        </w:rPr>
      </w:pPr>
    </w:p>
    <w:sectPr>
      <w:footerReference r:id="rId7" w:type="default"/>
      <w:pgSz w:w="11906" w:h="16838"/>
      <w:pgMar w:top="2098" w:right="1474" w:bottom="1984" w:left="1587" w:header="851" w:footer="992" w:gutter="0"/>
      <w:pgNumType w:fmt="numberInDash"/>
      <w:cols w:space="425" w:num="1"/>
      <w:docGrid w:type="linesAndChar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2010600030101010101"/>
    <w:charset w:val="7A"/>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 w:name="等线 Light">
    <w:altName w:val="汉仪中宋简"/>
    <w:panose1 w:val="02010600030101010101"/>
    <w:charset w:val="86"/>
    <w:family w:val="auto"/>
    <w:pitch w:val="default"/>
    <w:sig w:usb0="00000000" w:usb1="00000000" w:usb2="00000016" w:usb3="00000000" w:csb0="0004000F"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Book Antiqua">
    <w:altName w:val="Noto Sans Syriac Eastern"/>
    <w:panose1 w:val="02040602050305030304"/>
    <w:charset w:val="00"/>
    <w:family w:val="roman"/>
    <w:pitch w:val="default"/>
    <w:sig w:usb0="00000000" w:usb1="00000000" w:usb2="00000000" w:usb3="00000000" w:csb0="0000009F"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Light">
    <w:altName w:val="文泉驿微米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Book Antiqua" w:hAnsi="Book Antiqua"/>
        <w:b/>
        <w:bCs/>
        <w:sz w:val="21"/>
        <w:szCs w:val="21"/>
      </w:rP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Book Antiqua" w:hAnsi="Book Antiqua"/>
        <w:b/>
        <w:bCs/>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64484848"/>
                            <w:docPartObj>
                              <w:docPartGallery w:val="autotext"/>
                            </w:docPartObj>
                          </w:sdtPr>
                          <w:sdtEndPr>
                            <w:rPr>
                              <w:rFonts w:ascii="Book Antiqua" w:hAnsi="Book Antiqua"/>
                              <w:b/>
                              <w:bCs/>
                              <w:sz w:val="21"/>
                              <w:szCs w:val="21"/>
                            </w:rPr>
                          </w:sdtEndPr>
                          <w:sdtContent>
                            <w:p>
                              <w:pPr>
                                <w:pStyle w:val="14"/>
                                <w:jc w:val="center"/>
                                <w:rPr>
                                  <w:rFonts w:ascii="Book Antiqua" w:hAnsi="Book Antiqua"/>
                                  <w:b/>
                                  <w:bCs/>
                                  <w:sz w:val="21"/>
                                  <w:szCs w:val="21"/>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PAGE   \* MERGEFORMAT</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lang w:val="zh-CN"/>
                                </w:rPr>
                                <w:t>2</w:t>
                              </w:r>
                              <w:r>
                                <w:rPr>
                                  <w:rFonts w:hint="eastAsia" w:ascii="宋体" w:hAnsi="宋体" w:eastAsia="宋体" w:cs="宋体"/>
                                  <w:b w:val="0"/>
                                  <w:bCs w:val="0"/>
                                  <w:sz w:val="28"/>
                                  <w:szCs w:val="28"/>
                                </w:rPr>
                                <w:fldChar w:fldCharType="end"/>
                              </w:r>
                            </w:p>
                          </w:sdtContent>
                        </w:sdt>
                        <w:p>
                          <w:pPr>
                            <w:pStyle w:val="9"/>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sdt>
                    <w:sdtPr>
                      <w:id w:val="1764484848"/>
                      <w:docPartObj>
                        <w:docPartGallery w:val="autotext"/>
                      </w:docPartObj>
                    </w:sdtPr>
                    <w:sdtEndPr>
                      <w:rPr>
                        <w:rFonts w:ascii="Book Antiqua" w:hAnsi="Book Antiqua"/>
                        <w:b/>
                        <w:bCs/>
                        <w:sz w:val="21"/>
                        <w:szCs w:val="21"/>
                      </w:rPr>
                    </w:sdtEndPr>
                    <w:sdtContent>
                      <w:p>
                        <w:pPr>
                          <w:pStyle w:val="14"/>
                          <w:jc w:val="center"/>
                          <w:rPr>
                            <w:rFonts w:ascii="Book Antiqua" w:hAnsi="Book Antiqua"/>
                            <w:b/>
                            <w:bCs/>
                            <w:sz w:val="21"/>
                            <w:szCs w:val="21"/>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PAGE   \* MERGEFORMAT</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lang w:val="zh-CN"/>
                          </w:rPr>
                          <w:t>2</w:t>
                        </w:r>
                        <w:r>
                          <w:rPr>
                            <w:rFonts w:hint="eastAsia" w:ascii="宋体" w:hAnsi="宋体" w:eastAsia="宋体" w:cs="宋体"/>
                            <w:b w:val="0"/>
                            <w:bCs w:val="0"/>
                            <w:sz w:val="28"/>
                            <w:szCs w:val="28"/>
                          </w:rPr>
                          <w:fldChar w:fldCharType="end"/>
                        </w:r>
                      </w:p>
                    </w:sdtContent>
                  </w:sdt>
                  <w:p>
                    <w:pPr>
                      <w:pStyle w:val="9"/>
                    </w:pPr>
                  </w:p>
                </w:txbxContent>
              </v:textbox>
            </v:shape>
          </w:pict>
        </mc:Fallback>
      </mc:AlternateContent>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Book Antiqua" w:hAnsi="Book Antiqua"/>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51156354"/>
                            <w:docPartObj>
                              <w:docPartGallery w:val="autotext"/>
                            </w:docPartObj>
                          </w:sdtPr>
                          <w:sdtEndPr>
                            <w:rPr>
                              <w:rFonts w:ascii="Book Antiqua" w:hAnsi="Book Antiqua"/>
                              <w:sz w:val="21"/>
                              <w:szCs w:val="21"/>
                            </w:rPr>
                          </w:sdtEndPr>
                          <w:sdtContent>
                            <w:p>
                              <w:pPr>
                                <w:pStyle w:val="14"/>
                                <w:jc w:val="center"/>
                                <w:rPr>
                                  <w:rFonts w:ascii="Book Antiqua" w:hAnsi="Book Antiqua"/>
                                  <w:sz w:val="21"/>
                                  <w:szCs w:val="21"/>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pPr>
                            <w:pStyle w:val="9"/>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sdt>
                    <w:sdtPr>
                      <w:id w:val="-1951156354"/>
                      <w:docPartObj>
                        <w:docPartGallery w:val="autotext"/>
                      </w:docPartObj>
                    </w:sdtPr>
                    <w:sdtEndPr>
                      <w:rPr>
                        <w:rFonts w:ascii="Book Antiqua" w:hAnsi="Book Antiqua"/>
                        <w:sz w:val="21"/>
                        <w:szCs w:val="21"/>
                      </w:rPr>
                    </w:sdtEndPr>
                    <w:sdtContent>
                      <w:p>
                        <w:pPr>
                          <w:pStyle w:val="14"/>
                          <w:jc w:val="center"/>
                          <w:rPr>
                            <w:rFonts w:ascii="Book Antiqua" w:hAnsi="Book Antiqua"/>
                            <w:sz w:val="21"/>
                            <w:szCs w:val="21"/>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pPr>
                      <w:pStyle w:val="9"/>
                    </w:pPr>
                  </w:p>
                </w:txbxContent>
              </v:textbox>
            </v:shape>
          </w:pict>
        </mc:Fallback>
      </mc:AlternateConten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BA7315"/>
    <w:multiLevelType w:val="singleLevel"/>
    <w:tmpl w:val="6BBA731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ocumentProtection w:enforcement="0"/>
  <w:defaultTabStop w:val="426"/>
  <w:drawingGridHorizontalSpacing w:val="213"/>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78"/>
    <w:rsid w:val="00011B65"/>
    <w:rsid w:val="00036D3F"/>
    <w:rsid w:val="00056CBD"/>
    <w:rsid w:val="000624A1"/>
    <w:rsid w:val="00062D87"/>
    <w:rsid w:val="00076760"/>
    <w:rsid w:val="0008666B"/>
    <w:rsid w:val="00090E57"/>
    <w:rsid w:val="000B0ADB"/>
    <w:rsid w:val="000B3B89"/>
    <w:rsid w:val="000F1D1E"/>
    <w:rsid w:val="000F20B9"/>
    <w:rsid w:val="00115479"/>
    <w:rsid w:val="001159B8"/>
    <w:rsid w:val="0018133B"/>
    <w:rsid w:val="001875F7"/>
    <w:rsid w:val="00195973"/>
    <w:rsid w:val="001A59DD"/>
    <w:rsid w:val="001D0BCB"/>
    <w:rsid w:val="001E4F34"/>
    <w:rsid w:val="001E4F52"/>
    <w:rsid w:val="001E6712"/>
    <w:rsid w:val="001E7976"/>
    <w:rsid w:val="001F19C4"/>
    <w:rsid w:val="001F2301"/>
    <w:rsid w:val="002122BC"/>
    <w:rsid w:val="002131A1"/>
    <w:rsid w:val="00223103"/>
    <w:rsid w:val="0022663D"/>
    <w:rsid w:val="00236486"/>
    <w:rsid w:val="002518D9"/>
    <w:rsid w:val="00262392"/>
    <w:rsid w:val="00280A3C"/>
    <w:rsid w:val="0028178B"/>
    <w:rsid w:val="00287D8C"/>
    <w:rsid w:val="002A63A2"/>
    <w:rsid w:val="002B0323"/>
    <w:rsid w:val="002B1765"/>
    <w:rsid w:val="002B2029"/>
    <w:rsid w:val="002E10D4"/>
    <w:rsid w:val="003148CF"/>
    <w:rsid w:val="003150B1"/>
    <w:rsid w:val="00317BA9"/>
    <w:rsid w:val="003215F0"/>
    <w:rsid w:val="00326365"/>
    <w:rsid w:val="00351F61"/>
    <w:rsid w:val="003578CA"/>
    <w:rsid w:val="00367612"/>
    <w:rsid w:val="00372520"/>
    <w:rsid w:val="003943AC"/>
    <w:rsid w:val="003D6AED"/>
    <w:rsid w:val="004052B3"/>
    <w:rsid w:val="00405932"/>
    <w:rsid w:val="004137E0"/>
    <w:rsid w:val="0041681B"/>
    <w:rsid w:val="004535F4"/>
    <w:rsid w:val="004561A9"/>
    <w:rsid w:val="00456D99"/>
    <w:rsid w:val="00470232"/>
    <w:rsid w:val="00494958"/>
    <w:rsid w:val="00496441"/>
    <w:rsid w:val="004A17EE"/>
    <w:rsid w:val="004C2035"/>
    <w:rsid w:val="004C247F"/>
    <w:rsid w:val="004C72D7"/>
    <w:rsid w:val="004D42DC"/>
    <w:rsid w:val="004E53AC"/>
    <w:rsid w:val="004F6B1A"/>
    <w:rsid w:val="005039F9"/>
    <w:rsid w:val="0051404F"/>
    <w:rsid w:val="00522B41"/>
    <w:rsid w:val="00522C8A"/>
    <w:rsid w:val="0053222F"/>
    <w:rsid w:val="00547CE6"/>
    <w:rsid w:val="0056240C"/>
    <w:rsid w:val="0056465D"/>
    <w:rsid w:val="00577CB4"/>
    <w:rsid w:val="00583D06"/>
    <w:rsid w:val="00585267"/>
    <w:rsid w:val="005C5B15"/>
    <w:rsid w:val="005E3281"/>
    <w:rsid w:val="005E5362"/>
    <w:rsid w:val="005E5B2F"/>
    <w:rsid w:val="00606522"/>
    <w:rsid w:val="006309EE"/>
    <w:rsid w:val="00682B10"/>
    <w:rsid w:val="00684AF4"/>
    <w:rsid w:val="00686A32"/>
    <w:rsid w:val="00691F79"/>
    <w:rsid w:val="00693946"/>
    <w:rsid w:val="006B6C2E"/>
    <w:rsid w:val="006B7B26"/>
    <w:rsid w:val="006C472A"/>
    <w:rsid w:val="006D0185"/>
    <w:rsid w:val="006F1392"/>
    <w:rsid w:val="00713FFD"/>
    <w:rsid w:val="007262FD"/>
    <w:rsid w:val="0074516B"/>
    <w:rsid w:val="00751FB7"/>
    <w:rsid w:val="00752744"/>
    <w:rsid w:val="00755A7F"/>
    <w:rsid w:val="007753BC"/>
    <w:rsid w:val="00775618"/>
    <w:rsid w:val="007A31B1"/>
    <w:rsid w:val="007A5928"/>
    <w:rsid w:val="007A6A8A"/>
    <w:rsid w:val="007B1988"/>
    <w:rsid w:val="007C4594"/>
    <w:rsid w:val="007D4588"/>
    <w:rsid w:val="007D5CE6"/>
    <w:rsid w:val="007D679A"/>
    <w:rsid w:val="007E62AE"/>
    <w:rsid w:val="00803FBB"/>
    <w:rsid w:val="00812B12"/>
    <w:rsid w:val="008267E2"/>
    <w:rsid w:val="008309C8"/>
    <w:rsid w:val="008330D5"/>
    <w:rsid w:val="00842D75"/>
    <w:rsid w:val="00846B50"/>
    <w:rsid w:val="00854423"/>
    <w:rsid w:val="008576E8"/>
    <w:rsid w:val="00870E15"/>
    <w:rsid w:val="00872700"/>
    <w:rsid w:val="00877138"/>
    <w:rsid w:val="00891BA8"/>
    <w:rsid w:val="00892DDD"/>
    <w:rsid w:val="008A0FC4"/>
    <w:rsid w:val="008A215C"/>
    <w:rsid w:val="008A711A"/>
    <w:rsid w:val="008B2698"/>
    <w:rsid w:val="008E3D0D"/>
    <w:rsid w:val="00907E80"/>
    <w:rsid w:val="0092472B"/>
    <w:rsid w:val="009263E8"/>
    <w:rsid w:val="00934CBC"/>
    <w:rsid w:val="009418E6"/>
    <w:rsid w:val="00985014"/>
    <w:rsid w:val="00986762"/>
    <w:rsid w:val="00994BC4"/>
    <w:rsid w:val="0099740E"/>
    <w:rsid w:val="009A0DCF"/>
    <w:rsid w:val="009B26C5"/>
    <w:rsid w:val="009C47D4"/>
    <w:rsid w:val="009E2535"/>
    <w:rsid w:val="00A01C60"/>
    <w:rsid w:val="00A05D45"/>
    <w:rsid w:val="00A069BB"/>
    <w:rsid w:val="00A11AC3"/>
    <w:rsid w:val="00A201F6"/>
    <w:rsid w:val="00A21A5D"/>
    <w:rsid w:val="00A57A70"/>
    <w:rsid w:val="00A75EAF"/>
    <w:rsid w:val="00AA5C63"/>
    <w:rsid w:val="00AB6037"/>
    <w:rsid w:val="00AD1DE9"/>
    <w:rsid w:val="00AD4BD8"/>
    <w:rsid w:val="00B02712"/>
    <w:rsid w:val="00B32352"/>
    <w:rsid w:val="00B33323"/>
    <w:rsid w:val="00B405EF"/>
    <w:rsid w:val="00B57C33"/>
    <w:rsid w:val="00B60F49"/>
    <w:rsid w:val="00B649EE"/>
    <w:rsid w:val="00B73D34"/>
    <w:rsid w:val="00B7772E"/>
    <w:rsid w:val="00B80551"/>
    <w:rsid w:val="00BB4ECA"/>
    <w:rsid w:val="00BB5D5B"/>
    <w:rsid w:val="00BC1477"/>
    <w:rsid w:val="00BE6DBD"/>
    <w:rsid w:val="00C04601"/>
    <w:rsid w:val="00C2065B"/>
    <w:rsid w:val="00C22D2E"/>
    <w:rsid w:val="00C415FF"/>
    <w:rsid w:val="00C429F4"/>
    <w:rsid w:val="00C52761"/>
    <w:rsid w:val="00C56F27"/>
    <w:rsid w:val="00C87CBA"/>
    <w:rsid w:val="00CA5E7C"/>
    <w:rsid w:val="00CD39AA"/>
    <w:rsid w:val="00CE0CC8"/>
    <w:rsid w:val="00CF0B90"/>
    <w:rsid w:val="00CF26F4"/>
    <w:rsid w:val="00D03F4E"/>
    <w:rsid w:val="00D161DA"/>
    <w:rsid w:val="00D25656"/>
    <w:rsid w:val="00D27403"/>
    <w:rsid w:val="00D34917"/>
    <w:rsid w:val="00D50094"/>
    <w:rsid w:val="00D60547"/>
    <w:rsid w:val="00D80E5F"/>
    <w:rsid w:val="00D81DE6"/>
    <w:rsid w:val="00D93F34"/>
    <w:rsid w:val="00DA6D12"/>
    <w:rsid w:val="00DB357B"/>
    <w:rsid w:val="00DF1413"/>
    <w:rsid w:val="00DF7F6B"/>
    <w:rsid w:val="00E04B3E"/>
    <w:rsid w:val="00E25792"/>
    <w:rsid w:val="00E626C8"/>
    <w:rsid w:val="00E66645"/>
    <w:rsid w:val="00E77028"/>
    <w:rsid w:val="00E83CEA"/>
    <w:rsid w:val="00EB5E0B"/>
    <w:rsid w:val="00ED12B2"/>
    <w:rsid w:val="00ED53D2"/>
    <w:rsid w:val="00ED6DE9"/>
    <w:rsid w:val="00EE0D78"/>
    <w:rsid w:val="00EE1247"/>
    <w:rsid w:val="00EE5DB5"/>
    <w:rsid w:val="00EF3F20"/>
    <w:rsid w:val="00F13CD5"/>
    <w:rsid w:val="00F278BE"/>
    <w:rsid w:val="00F3741E"/>
    <w:rsid w:val="00F53594"/>
    <w:rsid w:val="00F734F3"/>
    <w:rsid w:val="00F7671E"/>
    <w:rsid w:val="00F82858"/>
    <w:rsid w:val="00F9003D"/>
    <w:rsid w:val="00FA71F8"/>
    <w:rsid w:val="00FB7670"/>
    <w:rsid w:val="00FD4715"/>
    <w:rsid w:val="00FD48AC"/>
    <w:rsid w:val="00FE2194"/>
    <w:rsid w:val="00FE7DC1"/>
    <w:rsid w:val="00FE7E1C"/>
    <w:rsid w:val="155DA524"/>
    <w:rsid w:val="163946D9"/>
    <w:rsid w:val="177E5829"/>
    <w:rsid w:val="17BBE1EB"/>
    <w:rsid w:val="1FEF897C"/>
    <w:rsid w:val="277F3C58"/>
    <w:rsid w:val="2DEF16F0"/>
    <w:rsid w:val="2F6764CF"/>
    <w:rsid w:val="36EC2650"/>
    <w:rsid w:val="37A53A3C"/>
    <w:rsid w:val="3B6FEFA1"/>
    <w:rsid w:val="3B797D0C"/>
    <w:rsid w:val="3B83C996"/>
    <w:rsid w:val="3BEDC7CB"/>
    <w:rsid w:val="3CC76608"/>
    <w:rsid w:val="3DBA13C2"/>
    <w:rsid w:val="3DFEF0A0"/>
    <w:rsid w:val="3EFDF1B9"/>
    <w:rsid w:val="4FE7F6EC"/>
    <w:rsid w:val="57E62E3A"/>
    <w:rsid w:val="5EFBDA1A"/>
    <w:rsid w:val="5FB71D11"/>
    <w:rsid w:val="5FD8F29A"/>
    <w:rsid w:val="5FFAABCA"/>
    <w:rsid w:val="637D83B2"/>
    <w:rsid w:val="66EFB33A"/>
    <w:rsid w:val="6765F0DC"/>
    <w:rsid w:val="6FF79305"/>
    <w:rsid w:val="6FFDE936"/>
    <w:rsid w:val="76BDCEAD"/>
    <w:rsid w:val="793F92C8"/>
    <w:rsid w:val="79F644D6"/>
    <w:rsid w:val="7BFDE3D0"/>
    <w:rsid w:val="7C7B5346"/>
    <w:rsid w:val="7D7F3BC3"/>
    <w:rsid w:val="7DED392A"/>
    <w:rsid w:val="7DEEEB1A"/>
    <w:rsid w:val="7DFB620E"/>
    <w:rsid w:val="7DFDCDA1"/>
    <w:rsid w:val="7E6EFE60"/>
    <w:rsid w:val="7EDA2407"/>
    <w:rsid w:val="7F90DB1F"/>
    <w:rsid w:val="7FABE295"/>
    <w:rsid w:val="7FB6E029"/>
    <w:rsid w:val="7FCF7C83"/>
    <w:rsid w:val="7FF70571"/>
    <w:rsid w:val="7FFBEA8B"/>
    <w:rsid w:val="7FFDE5B9"/>
    <w:rsid w:val="8DEE7D1D"/>
    <w:rsid w:val="951DB85E"/>
    <w:rsid w:val="95EEB569"/>
    <w:rsid w:val="97FA6159"/>
    <w:rsid w:val="9BDE6465"/>
    <w:rsid w:val="9F7F2A55"/>
    <w:rsid w:val="AFF1C500"/>
    <w:rsid w:val="B1EED7B6"/>
    <w:rsid w:val="B53FF1B8"/>
    <w:rsid w:val="B5F5D465"/>
    <w:rsid w:val="B5FF0E75"/>
    <w:rsid w:val="B7732E96"/>
    <w:rsid w:val="B7F2DA29"/>
    <w:rsid w:val="B86F31C8"/>
    <w:rsid w:val="BADFABB5"/>
    <w:rsid w:val="BBDADA12"/>
    <w:rsid w:val="BCF91A10"/>
    <w:rsid w:val="BEF6E6B6"/>
    <w:rsid w:val="BEFE0806"/>
    <w:rsid w:val="BFB712A9"/>
    <w:rsid w:val="BFDD0A90"/>
    <w:rsid w:val="BFE7D848"/>
    <w:rsid w:val="BFF57F6A"/>
    <w:rsid w:val="CE5FCAC1"/>
    <w:rsid w:val="CF73EC15"/>
    <w:rsid w:val="CF99C2EE"/>
    <w:rsid w:val="CFEA39C0"/>
    <w:rsid w:val="D57F5788"/>
    <w:rsid w:val="D7FBE0BF"/>
    <w:rsid w:val="DBB656EB"/>
    <w:rsid w:val="DD9F8309"/>
    <w:rsid w:val="DDEE7DF0"/>
    <w:rsid w:val="DF57E92E"/>
    <w:rsid w:val="E5E768E4"/>
    <w:rsid w:val="E97E162F"/>
    <w:rsid w:val="EBDE42DD"/>
    <w:rsid w:val="EBE6B157"/>
    <w:rsid w:val="EF66AD01"/>
    <w:rsid w:val="EFF36129"/>
    <w:rsid w:val="F1F763DA"/>
    <w:rsid w:val="F3E77989"/>
    <w:rsid w:val="F4FE9AAE"/>
    <w:rsid w:val="F5F498FD"/>
    <w:rsid w:val="F5F743CC"/>
    <w:rsid w:val="F6F6BC90"/>
    <w:rsid w:val="F73FB17E"/>
    <w:rsid w:val="F75D4B6E"/>
    <w:rsid w:val="F76F715A"/>
    <w:rsid w:val="F7A7F360"/>
    <w:rsid w:val="F7BF7FA2"/>
    <w:rsid w:val="FB7F4790"/>
    <w:rsid w:val="FBFD3B30"/>
    <w:rsid w:val="FD7E57FC"/>
    <w:rsid w:val="FDC9C4F2"/>
    <w:rsid w:val="FDE3E289"/>
    <w:rsid w:val="FE6B8843"/>
    <w:rsid w:val="FEF67456"/>
    <w:rsid w:val="FEFBE0DD"/>
    <w:rsid w:val="FF2FACDF"/>
    <w:rsid w:val="FFD70E04"/>
    <w:rsid w:val="FFE28919"/>
    <w:rsid w:val="FFE6E982"/>
    <w:rsid w:val="FFEF9A5F"/>
    <w:rsid w:val="FFF7E999"/>
    <w:rsid w:val="FFFF0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adjustRightInd w:val="0"/>
      <w:spacing w:before="158" w:beforeLines="50" w:after="158" w:afterLines="50" w:line="360" w:lineRule="auto"/>
      <w:ind w:firstLine="568" w:firstLineChars="200"/>
      <w:jc w:val="left"/>
      <w:outlineLvl w:val="2"/>
    </w:pPr>
    <w:rPr>
      <w:rFonts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Title"/>
    <w:next w:val="1"/>
    <w:qFormat/>
    <w:uiPriority w:val="99"/>
    <w:pPr>
      <w:widowControl w:val="0"/>
      <w:jc w:val="center"/>
      <w:outlineLvl w:val="0"/>
    </w:pPr>
    <w:rPr>
      <w:rFonts w:ascii="Cambria" w:hAnsi="Cambria" w:eastAsia="宋体" w:cs="Times New Roman"/>
      <w:b/>
      <w:bCs/>
      <w:kern w:val="2"/>
      <w:sz w:val="21"/>
      <w:szCs w:val="24"/>
      <w:lang w:val="en-US" w:eastAsia="zh-CN" w:bidi="ar-SA"/>
    </w:rPr>
  </w:style>
  <w:style w:type="paragraph" w:styleId="6">
    <w:name w:val="toc 7"/>
    <w:basedOn w:val="1"/>
    <w:next w:val="1"/>
    <w:unhideWhenUsed/>
    <w:qFormat/>
    <w:uiPriority w:val="39"/>
    <w:pPr>
      <w:ind w:left="2520" w:leftChars="1200"/>
    </w:pPr>
  </w:style>
  <w:style w:type="paragraph" w:styleId="7">
    <w:name w:val="Body Text"/>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8">
    <w:name w:val="Body Text Indent"/>
    <w:basedOn w:val="1"/>
    <w:next w:val="9"/>
    <w:qFormat/>
    <w:uiPriority w:val="0"/>
    <w:pPr>
      <w:ind w:left="1083" w:leftChars="30" w:hanging="1020" w:hangingChars="425"/>
    </w:pPr>
    <w:rPr>
      <w:rFonts w:hAnsi="宋体"/>
    </w:rPr>
  </w:style>
  <w:style w:type="paragraph" w:styleId="9">
    <w:name w:val="Body Text First Indent 2"/>
    <w:basedOn w:val="1"/>
    <w:next w:val="1"/>
    <w:qFormat/>
    <w:uiPriority w:val="0"/>
    <w:pPr>
      <w:spacing w:after="120"/>
      <w:ind w:left="200" w:leftChars="200" w:firstLine="200" w:firstLineChars="200"/>
    </w:pPr>
    <w:rPr>
      <w:rFonts w:ascii="Calibri" w:hAnsi="Calibri" w:eastAsia="宋体" w:cs="Times New Roman"/>
      <w:sz w:val="21"/>
      <w:szCs w:val="21"/>
    </w:rPr>
  </w:style>
  <w:style w:type="paragraph" w:styleId="10">
    <w:name w:val="toc 5"/>
    <w:basedOn w:val="1"/>
    <w:next w:val="1"/>
    <w:unhideWhenUsed/>
    <w:qFormat/>
    <w:uiPriority w:val="39"/>
    <w:pPr>
      <w:ind w:left="1680" w:leftChars="800"/>
    </w:pPr>
  </w:style>
  <w:style w:type="paragraph" w:styleId="11">
    <w:name w:val="toc 3"/>
    <w:basedOn w:val="1"/>
    <w:next w:val="1"/>
    <w:unhideWhenUsed/>
    <w:qFormat/>
    <w:uiPriority w:val="39"/>
    <w:pPr>
      <w:ind w:left="840" w:leftChars="400"/>
    </w:pPr>
  </w:style>
  <w:style w:type="paragraph" w:styleId="12">
    <w:name w:val="toc 8"/>
    <w:basedOn w:val="1"/>
    <w:next w:val="1"/>
    <w:unhideWhenUsed/>
    <w:qFormat/>
    <w:uiPriority w:val="39"/>
    <w:pPr>
      <w:ind w:left="2940" w:leftChars="1400"/>
    </w:pPr>
  </w:style>
  <w:style w:type="paragraph" w:styleId="13">
    <w:name w:val="Balloon Text"/>
    <w:basedOn w:val="1"/>
    <w:link w:val="32"/>
    <w:semiHidden/>
    <w:unhideWhenUsed/>
    <w:qFormat/>
    <w:uiPriority w:val="99"/>
    <w:rPr>
      <w:sz w:val="18"/>
      <w:szCs w:val="18"/>
    </w:rPr>
  </w:style>
  <w:style w:type="paragraph" w:styleId="14">
    <w:name w:val="footer"/>
    <w:basedOn w:val="1"/>
    <w:link w:val="30"/>
    <w:unhideWhenUsed/>
    <w:qFormat/>
    <w:uiPriority w:val="99"/>
    <w:pPr>
      <w:tabs>
        <w:tab w:val="center" w:pos="4153"/>
        <w:tab w:val="right" w:pos="8306"/>
      </w:tabs>
      <w:snapToGrid w:val="0"/>
      <w:jc w:val="left"/>
    </w:pPr>
    <w:rPr>
      <w:sz w:val="18"/>
      <w:szCs w:val="18"/>
    </w:rPr>
  </w:style>
  <w:style w:type="paragraph" w:styleId="15">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ind w:left="1260" w:leftChars="600"/>
    </w:pPr>
  </w:style>
  <w:style w:type="paragraph" w:styleId="18">
    <w:name w:val="toc 6"/>
    <w:basedOn w:val="1"/>
    <w:next w:val="1"/>
    <w:unhideWhenUsed/>
    <w:qFormat/>
    <w:uiPriority w:val="39"/>
    <w:pPr>
      <w:ind w:left="2100" w:leftChars="1000"/>
    </w:pPr>
  </w:style>
  <w:style w:type="paragraph" w:styleId="19">
    <w:name w:val="toc 2"/>
    <w:basedOn w:val="1"/>
    <w:next w:val="1"/>
    <w:unhideWhenUsed/>
    <w:qFormat/>
    <w:uiPriority w:val="39"/>
    <w:pPr>
      <w:ind w:left="420" w:leftChars="200"/>
    </w:pPr>
  </w:style>
  <w:style w:type="paragraph" w:styleId="20">
    <w:name w:val="toc 9"/>
    <w:basedOn w:val="1"/>
    <w:next w:val="1"/>
    <w:unhideWhenUsed/>
    <w:qFormat/>
    <w:uiPriority w:val="39"/>
    <w:pPr>
      <w:ind w:left="3360" w:leftChars="1600"/>
    </w:pPr>
  </w:style>
  <w:style w:type="paragraph" w:styleId="2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basedOn w:val="24"/>
    <w:unhideWhenUsed/>
    <w:qFormat/>
    <w:uiPriority w:val="99"/>
    <w:rPr>
      <w:color w:val="0563C1" w:themeColor="hyperlink"/>
      <w:u w:val="single"/>
      <w14:textFill>
        <w14:solidFill>
          <w14:schemeClr w14:val="hlink"/>
        </w14:solidFill>
      </w14:textFill>
    </w:rPr>
  </w:style>
  <w:style w:type="character" w:customStyle="1" w:styleId="26">
    <w:name w:val="标题 1 字符"/>
    <w:basedOn w:val="24"/>
    <w:link w:val="3"/>
    <w:qFormat/>
    <w:uiPriority w:val="9"/>
    <w:rPr>
      <w:b/>
      <w:bCs/>
      <w:kern w:val="44"/>
      <w:sz w:val="44"/>
      <w:szCs w:val="44"/>
    </w:rPr>
  </w:style>
  <w:style w:type="character" w:customStyle="1" w:styleId="27">
    <w:name w:val="标题 2 字符"/>
    <w:basedOn w:val="24"/>
    <w:link w:val="4"/>
    <w:qFormat/>
    <w:uiPriority w:val="9"/>
    <w:rPr>
      <w:rFonts w:asciiTheme="majorHAnsi" w:hAnsiTheme="majorHAnsi" w:eastAsiaTheme="majorEastAsia" w:cstheme="majorBidi"/>
      <w:b/>
      <w:bCs/>
      <w:sz w:val="32"/>
      <w:szCs w:val="32"/>
    </w:rPr>
  </w:style>
  <w:style w:type="character" w:customStyle="1" w:styleId="28">
    <w:name w:val="标题 3 字符"/>
    <w:basedOn w:val="24"/>
    <w:link w:val="5"/>
    <w:qFormat/>
    <w:uiPriority w:val="9"/>
    <w:rPr>
      <w:rFonts w:eastAsia="黑体"/>
      <w:b/>
      <w:bCs/>
      <w:sz w:val="28"/>
      <w:szCs w:val="28"/>
    </w:rPr>
  </w:style>
  <w:style w:type="character" w:customStyle="1" w:styleId="29">
    <w:name w:val="页眉 字符"/>
    <w:basedOn w:val="24"/>
    <w:link w:val="15"/>
    <w:qFormat/>
    <w:uiPriority w:val="99"/>
    <w:rPr>
      <w:sz w:val="18"/>
      <w:szCs w:val="18"/>
    </w:rPr>
  </w:style>
  <w:style w:type="character" w:customStyle="1" w:styleId="30">
    <w:name w:val="页脚 字符"/>
    <w:basedOn w:val="24"/>
    <w:link w:val="14"/>
    <w:qFormat/>
    <w:uiPriority w:val="99"/>
    <w:rPr>
      <w:sz w:val="18"/>
      <w:szCs w:val="18"/>
    </w:rPr>
  </w:style>
  <w:style w:type="paragraph" w:customStyle="1" w:styleId="31">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32">
    <w:name w:val="批注框文本 字符"/>
    <w:basedOn w:val="24"/>
    <w:link w:val="13"/>
    <w:semiHidden/>
    <w:qFormat/>
    <w:uiPriority w:val="99"/>
    <w:rPr>
      <w:sz w:val="18"/>
      <w:szCs w:val="18"/>
    </w:rPr>
  </w:style>
  <w:style w:type="character" w:customStyle="1" w:styleId="33">
    <w:name w:val="NormalCharacter"/>
    <w:semiHidden/>
    <w:qFormat/>
    <w:uiPriority w:val="0"/>
  </w:style>
  <w:style w:type="character" w:customStyle="1" w:styleId="34">
    <w:name w:val="Unresolved Mention"/>
    <w:basedOn w:val="24"/>
    <w:semiHidden/>
    <w:unhideWhenUsed/>
    <w:qFormat/>
    <w:uiPriority w:val="99"/>
    <w:rPr>
      <w:color w:val="605E5C"/>
      <w:shd w:val="clear" w:color="auto" w:fill="E1DFDD"/>
    </w:rPr>
  </w:style>
  <w:style w:type="paragraph" w:styleId="35">
    <w:name w:val="List Paragraph"/>
    <w:basedOn w:val="1"/>
    <w:qFormat/>
    <w:uiPriority w:val="34"/>
    <w:pPr>
      <w:ind w:firstLine="420" w:firstLineChars="200"/>
    </w:pPr>
  </w:style>
  <w:style w:type="paragraph" w:styleId="36">
    <w:name w:val="No Spacing"/>
    <w:qFormat/>
    <w:uiPriority w:val="1"/>
    <w:pPr>
      <w:widowControl w:val="0"/>
      <w:jc w:val="both"/>
    </w:pPr>
    <w:rPr>
      <w:rFonts w:asciiTheme="minorHAnsi" w:hAnsiTheme="minorHAnsi" w:eastAsiaTheme="minorEastAsia" w:cstheme="minorBidi"/>
      <w:kern w:val="2"/>
      <w:sz w:val="21"/>
      <w:szCs w:val="21"/>
      <w:lang w:val="en-US" w:eastAsia="zh-CN" w:bidi="ar-SA"/>
    </w:rPr>
  </w:style>
  <w:style w:type="paragraph" w:customStyle="1" w:styleId="37">
    <w:name w:val="样式1"/>
    <w:basedOn w:val="5"/>
    <w:next w:val="5"/>
    <w:link w:val="38"/>
    <w:qFormat/>
    <w:uiPriority w:val="0"/>
    <w:pPr>
      <w:spacing w:before="50" w:after="50"/>
      <w:ind w:firstLine="200"/>
    </w:pPr>
  </w:style>
  <w:style w:type="character" w:customStyle="1" w:styleId="38">
    <w:name w:val="样式1 字符"/>
    <w:basedOn w:val="28"/>
    <w:link w:val="37"/>
    <w:qFormat/>
    <w:uiPriority w:val="0"/>
    <w:rPr>
      <w:rFonts w:eastAsia="黑体"/>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5261</Words>
  <Characters>29989</Characters>
  <Lines>249</Lines>
  <Paragraphs>70</Paragraphs>
  <TotalTime>16</TotalTime>
  <ScaleCrop>false</ScaleCrop>
  <LinksUpToDate>false</LinksUpToDate>
  <CharactersWithSpaces>35180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2022-11-16T04:20:00Z</dcterms:created>
  <dc:creator>HOME</dc:creator>
  <cp:lastModifiedBy>微信用户</cp:lastModifiedBy>
  <cp:lastPrinted>2023-01-18T10:47:00Z</cp:lastPrinted>
  <dcterms:modified xsi:type="dcterms:W3CDTF">2023-09-07T15:52:51Z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