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B87608">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54A2F28F">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349604BB">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0EE80B66">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120A36E0">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2E76D6C8">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70075336">
      <w:pPr>
        <w:keepNext w:val="0"/>
        <w:keepLines w:val="0"/>
        <w:pageBreakBefore w:val="0"/>
        <w:widowControl w:val="0"/>
        <w:kinsoku/>
        <w:wordWrap/>
        <w:overflowPunct w:val="0"/>
        <w:topLinePunct w:val="0"/>
        <w:autoSpaceDE w:val="0"/>
        <w:autoSpaceDN w:val="0"/>
        <w:bidi w:val="0"/>
        <w:adjustRightInd w:val="0"/>
        <w:snapToGrid w:val="0"/>
        <w:rPr>
          <w:rFonts w:hint="eastAsia" w:ascii="黑体" w:hAnsi="黑体" w:eastAsia="黑体" w:cs="黑体"/>
          <w:b/>
          <w:bCs/>
          <w:color w:val="auto"/>
          <w:sz w:val="44"/>
          <w:szCs w:val="44"/>
          <w:lang w:eastAsia="zh-CN"/>
        </w:rPr>
      </w:pPr>
      <w:bookmarkStart w:id="0" w:name="_Toc22585"/>
      <w:bookmarkStart w:id="1" w:name="_Toc24601"/>
      <w:bookmarkStart w:id="2" w:name="_Toc20133"/>
      <w:bookmarkStart w:id="3" w:name="_Toc22549"/>
      <w:r>
        <w:rPr>
          <w:rFonts w:hint="eastAsia" w:ascii="黑体" w:hAnsi="黑体" w:eastAsia="黑体" w:cs="黑体"/>
          <w:b/>
          <w:bCs/>
          <w:color w:val="auto"/>
          <w:sz w:val="44"/>
          <w:szCs w:val="44"/>
          <w:lang w:eastAsia="zh-CN"/>
        </w:rPr>
        <w:t>吴忠市红寺堡区现代水网建设规划</w:t>
      </w:r>
      <w:bookmarkEnd w:id="0"/>
      <w:bookmarkEnd w:id="1"/>
      <w:bookmarkEnd w:id="2"/>
      <w:bookmarkEnd w:id="3"/>
    </w:p>
    <w:p w14:paraId="19524478">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rPr>
          <w:rFonts w:hint="eastAsia"/>
          <w:lang w:eastAsia="zh-CN"/>
        </w:rPr>
      </w:pPr>
    </w:p>
    <w:p w14:paraId="148BC84B">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rPr>
          <w:rFonts w:hint="eastAsia"/>
          <w:lang w:eastAsia="zh-CN"/>
        </w:rPr>
      </w:pPr>
    </w:p>
    <w:p w14:paraId="366F5249">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rPr>
          <w:rFonts w:hint="eastAsia"/>
          <w:lang w:eastAsia="zh-CN"/>
        </w:rPr>
      </w:pPr>
      <w:bookmarkStart w:id="277" w:name="_GoBack"/>
      <w:bookmarkEnd w:id="277"/>
    </w:p>
    <w:p w14:paraId="0DAFDF29">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吴忠市红寺堡区水务局</w:t>
      </w:r>
    </w:p>
    <w:p w14:paraId="084FCEBD">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二〇二五年</w:t>
      </w:r>
    </w:p>
    <w:p w14:paraId="3DB5DE68">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430FA457">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364DA273">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18F34475">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49198FD0">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5447E82E">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009E26E1">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3173F1B5">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51CF0A1E">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36A7F6FF">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3E3BD74D">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6043F62E">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p w14:paraId="3D747FEE">
      <w:pPr>
        <w:keepNext w:val="0"/>
        <w:keepLines w:val="0"/>
        <w:pageBreakBefore w:val="0"/>
        <w:widowControl w:val="0"/>
        <w:kinsoku/>
        <w:wordWrap/>
        <w:overflowPunct w:val="0"/>
        <w:topLinePunct w:val="0"/>
        <w:autoSpaceDE w:val="0"/>
        <w:autoSpaceDN w:val="0"/>
        <w:bidi w:val="0"/>
        <w:adjustRightInd w:val="0"/>
        <w:snapToGrid w:val="0"/>
        <w:jc w:val="center"/>
        <w:rPr>
          <w:rFonts w:hint="default"/>
          <w:lang w:val="en-US" w:eastAsia="zh-CN"/>
        </w:rPr>
      </w:pPr>
    </w:p>
    <w:sdt>
      <w:sdtPr>
        <w:rPr>
          <w:rFonts w:hint="eastAsia" w:ascii="方正仿宋_GB2312" w:hAnsi="方正仿宋_GB2312" w:eastAsia="方正仿宋_GB2312" w:cs="方正仿宋_GB2312"/>
          <w:b/>
          <w:bCs/>
          <w:snapToGrid w:val="0"/>
          <w:color w:val="auto"/>
          <w:sz w:val="30"/>
          <w:szCs w:val="30"/>
          <w:lang w:val="en-US" w:eastAsia="en-US" w:bidi="ar-SA"/>
        </w:rPr>
        <w:id w:val="147456157"/>
        <w15:color w:val="DBDBDB"/>
        <w:docPartObj>
          <w:docPartGallery w:val="Table of Contents"/>
          <w:docPartUnique/>
        </w:docPartObj>
      </w:sdtPr>
      <w:sdtEndPr>
        <w:rPr>
          <w:rFonts w:hint="eastAsia" w:ascii="方正仿宋_GB2312" w:hAnsi="方正仿宋_GB2312" w:eastAsia="方正仿宋_GB2312" w:cs="方正仿宋_GB2312"/>
          <w:b/>
          <w:bCs/>
          <w:snapToGrid w:val="0"/>
          <w:color w:val="auto"/>
          <w:sz w:val="28"/>
          <w:szCs w:val="28"/>
          <w:lang w:val="en-US" w:eastAsia="en-US" w:bidi="ar-SA"/>
        </w:rPr>
      </w:sdtEndPr>
      <w:sdtContent>
        <w:p w14:paraId="41320F9F">
          <w:pPr>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360" w:lineRule="auto"/>
            <w:ind w:left="0" w:leftChars="0" w:right="0" w:rightChars="0" w:firstLine="0" w:firstLineChars="0"/>
            <w:jc w:val="center"/>
            <w:rPr>
              <w:rFonts w:hint="eastAsia" w:ascii="方正小标宋_GBK" w:hAnsi="方正小标宋_GBK" w:eastAsia="方正小标宋_GBK" w:cs="方正小标宋_GBK"/>
              <w:b w:val="0"/>
              <w:bCs w:val="0"/>
              <w:color w:val="auto"/>
              <w:sz w:val="36"/>
              <w:szCs w:val="36"/>
            </w:rPr>
          </w:pPr>
          <w:bookmarkStart w:id="4" w:name="_Toc14354"/>
          <w:bookmarkStart w:id="5" w:name="_Toc22096"/>
          <w:bookmarkStart w:id="6" w:name="_Toc9113"/>
          <w:bookmarkStart w:id="7" w:name="_Toc26001"/>
          <w:r>
            <w:rPr>
              <w:rFonts w:hint="eastAsia" w:ascii="方正小标宋_GBK" w:hAnsi="方正小标宋_GBK" w:eastAsia="方正小标宋_GBK" w:cs="方正小标宋_GBK"/>
              <w:b w:val="0"/>
              <w:bCs w:val="0"/>
              <w:color w:val="auto"/>
              <w:sz w:val="36"/>
              <w:szCs w:val="36"/>
            </w:rPr>
            <w:t>目</w:t>
          </w:r>
          <w:r>
            <w:rPr>
              <w:rFonts w:hint="eastAsia" w:ascii="方正小标宋_GBK" w:hAnsi="方正小标宋_GBK" w:eastAsia="方正小标宋_GBK" w:cs="方正小标宋_GBK"/>
              <w:b w:val="0"/>
              <w:bCs w:val="0"/>
              <w:color w:val="auto"/>
              <w:sz w:val="36"/>
              <w:szCs w:val="36"/>
              <w:lang w:val="en-US" w:eastAsia="zh-CN"/>
            </w:rPr>
            <w:t xml:space="preserve">    </w:t>
          </w:r>
          <w:r>
            <w:rPr>
              <w:rFonts w:hint="eastAsia" w:ascii="方正小标宋_GBK" w:hAnsi="方正小标宋_GBK" w:eastAsia="方正小标宋_GBK" w:cs="方正小标宋_GBK"/>
              <w:b w:val="0"/>
              <w:bCs w:val="0"/>
              <w:color w:val="auto"/>
              <w:sz w:val="36"/>
              <w:szCs w:val="36"/>
            </w:rPr>
            <w:t>录</w:t>
          </w:r>
        </w:p>
        <w:p w14:paraId="0CAA4F1B">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TOC \o "1-2" \h \u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_Toc18948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eastAsia="zh-CN"/>
            </w:rPr>
            <w:t>前</w:t>
          </w:r>
          <w:r>
            <w:rPr>
              <w:rFonts w:hint="eastAsia" w:ascii="仿宋_GB2312" w:hAnsi="仿宋_GB2312" w:eastAsia="仿宋_GB2312" w:cs="仿宋_GB2312"/>
              <w:b/>
              <w:bCs/>
              <w:color w:val="auto"/>
              <w:szCs w:val="30"/>
              <w:lang w:val="en-US" w:eastAsia="zh-CN"/>
            </w:rPr>
            <w:t xml:space="preserve">    </w:t>
          </w:r>
          <w:r>
            <w:rPr>
              <w:rFonts w:hint="eastAsia" w:ascii="仿宋_GB2312" w:hAnsi="仿宋_GB2312" w:eastAsia="仿宋_GB2312" w:cs="仿宋_GB2312"/>
              <w:b/>
              <w:bCs/>
              <w:color w:val="auto"/>
              <w:szCs w:val="30"/>
              <w:lang w:eastAsia="zh-CN"/>
            </w:rPr>
            <w:t>言</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_Toc18948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5</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438872F8">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_Toc21271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eastAsia="zh-CN"/>
            </w:rPr>
            <w:t>第一章</w:t>
          </w:r>
          <w:r>
            <w:rPr>
              <w:rFonts w:hint="eastAsia" w:ascii="仿宋_GB2312" w:hAnsi="仿宋_GB2312" w:eastAsia="仿宋_GB2312" w:cs="仿宋_GB2312"/>
              <w:b/>
              <w:bCs/>
              <w:color w:val="auto"/>
              <w:szCs w:val="30"/>
              <w:lang w:val="en-US" w:eastAsia="zh-CN"/>
            </w:rPr>
            <w:t xml:space="preserve">  </w:t>
          </w:r>
          <w:r>
            <w:rPr>
              <w:rFonts w:hint="eastAsia" w:ascii="仿宋_GB2312" w:hAnsi="仿宋_GB2312" w:eastAsia="仿宋_GB2312" w:cs="仿宋_GB2312"/>
              <w:b/>
              <w:bCs/>
              <w:color w:val="auto"/>
              <w:szCs w:val="30"/>
              <w:lang w:eastAsia="zh-CN"/>
            </w:rPr>
            <w:t>建设基础与面临形势</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_Toc21271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1</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0A31F9FD">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_Toc5995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val="en-US" w:eastAsia="zh-CN"/>
            </w:rPr>
            <w:t xml:space="preserve">第一节 </w:t>
          </w:r>
          <w:r>
            <w:rPr>
              <w:rFonts w:hint="eastAsia" w:ascii="仿宋_GB2312" w:hAnsi="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val="en-US" w:eastAsia="zh-CN"/>
            </w:rPr>
            <w:t>经济社会基本情况</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_Toc5995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7B68C6A3">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_Toc16823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val="en-US" w:eastAsia="zh-CN"/>
            </w:rPr>
            <w:t xml:space="preserve">第二节 </w:t>
          </w:r>
          <w:r>
            <w:rPr>
              <w:rFonts w:hint="eastAsia" w:ascii="仿宋_GB2312" w:hAnsi="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val="en-US" w:eastAsia="zh-CN"/>
            </w:rPr>
            <w:t>水情特点</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_Toc16823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478DFE4A">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_Toc23335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w:t>
          </w:r>
          <w:r>
            <w:rPr>
              <w:rFonts w:hint="eastAsia" w:ascii="仿宋_GB2312" w:hAnsi="仿宋_GB2312" w:eastAsia="仿宋_GB2312" w:cs="仿宋_GB2312"/>
              <w:b w:val="0"/>
              <w:bCs w:val="0"/>
              <w:color w:val="auto"/>
              <w:szCs w:val="30"/>
              <w:lang w:val="en-US" w:eastAsia="zh-CN"/>
            </w:rPr>
            <w:t>三</w:t>
          </w:r>
          <w:r>
            <w:rPr>
              <w:rFonts w:hint="eastAsia" w:ascii="仿宋_GB2312" w:hAnsi="仿宋_GB2312" w:eastAsia="仿宋_GB2312" w:cs="仿宋_GB2312"/>
              <w:b w:val="0"/>
              <w:bCs w:val="0"/>
              <w:color w:val="auto"/>
              <w:szCs w:val="30"/>
            </w:rPr>
            <w:t>节</w:t>
          </w:r>
          <w:r>
            <w:rPr>
              <w:rFonts w:hint="eastAsia" w:ascii="仿宋_GB2312" w:hAnsi="仿宋_GB2312" w:eastAsia="仿宋_GB2312" w:cs="仿宋_GB2312"/>
              <w:b w:val="0"/>
              <w:bCs w:val="0"/>
              <w:color w:val="auto"/>
              <w:szCs w:val="30"/>
              <w:lang w:val="en-US" w:eastAsia="zh-CN"/>
            </w:rPr>
            <w:t xml:space="preserve">  水利基础设施建设现状</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_Toc23335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4</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196E8697">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_Toc2894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四</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存在的主要问题</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_Toc2894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9</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4E1FE2B0">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_Toc29986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五</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面临形势与建设需求</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_Toc29986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11</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08786C51">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_Toc14784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eastAsia="zh-CN"/>
            </w:rPr>
            <w:t>第二章</w:t>
          </w:r>
          <w:r>
            <w:rPr>
              <w:rFonts w:hint="eastAsia" w:ascii="仿宋_GB2312" w:hAnsi="仿宋_GB2312" w:eastAsia="仿宋_GB2312" w:cs="仿宋_GB2312"/>
              <w:b/>
              <w:bCs/>
              <w:color w:val="auto"/>
              <w:szCs w:val="30"/>
              <w:lang w:val="en-US" w:eastAsia="zh-CN"/>
            </w:rPr>
            <w:t xml:space="preserve">  总体思路</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_Toc14784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13</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424914CC">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_Toc21192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第一节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eastAsia="zh-CN"/>
            </w:rPr>
            <w:t>指导思想</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_Toc21192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13</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3566DEA4">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_Toc19317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第二节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eastAsia="zh-CN"/>
            </w:rPr>
            <w:t>基本原则</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_Toc19317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13</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1A054B4B">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_Toc27854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第三节</w:t>
          </w:r>
          <w:r>
            <w:rPr>
              <w:rFonts w:hint="eastAsia" w:ascii="仿宋_GB2312" w:hAnsi="仿宋_GB2312" w:eastAsia="仿宋_GB2312" w:cs="仿宋_GB2312"/>
              <w:b w:val="0"/>
              <w:bCs w:val="0"/>
              <w:color w:val="auto"/>
              <w:szCs w:val="30"/>
              <w:lang w:val="en-US" w:eastAsia="zh-CN"/>
            </w:rPr>
            <w:t xml:space="preserve">  编制依据</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_Toc27854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14</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3D6AFE34">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_Toc8856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四</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eastAsia="zh-CN"/>
            </w:rPr>
            <w:t>规划范围与水平年</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_Toc8856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16</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58CA7238">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_Toc16361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五</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eastAsia="zh-CN"/>
            </w:rPr>
            <w:t>总体布局</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_Toc16361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16</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6152DAE1">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_Toc18262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六</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eastAsia="zh-CN"/>
            </w:rPr>
            <w:t>主要</w:t>
          </w:r>
          <w:r>
            <w:rPr>
              <w:rFonts w:hint="eastAsia" w:ascii="仿宋_GB2312" w:hAnsi="仿宋_GB2312" w:eastAsia="仿宋_GB2312" w:cs="仿宋_GB2312"/>
              <w:b w:val="0"/>
              <w:bCs w:val="0"/>
              <w:color w:val="auto"/>
              <w:szCs w:val="30"/>
              <w:lang w:val="en-US" w:eastAsia="zh-CN"/>
            </w:rPr>
            <w:t>建设</w:t>
          </w:r>
          <w:r>
            <w:rPr>
              <w:rFonts w:hint="eastAsia" w:ascii="仿宋_GB2312" w:hAnsi="仿宋_GB2312" w:eastAsia="仿宋_GB2312" w:cs="仿宋_GB2312"/>
              <w:b w:val="0"/>
              <w:bCs w:val="0"/>
              <w:color w:val="auto"/>
              <w:szCs w:val="30"/>
              <w:lang w:eastAsia="zh-CN"/>
            </w:rPr>
            <w:t>任务</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_Toc18262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17</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4211EA52">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_Toc162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七</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规划</w:t>
          </w:r>
          <w:r>
            <w:rPr>
              <w:rFonts w:hint="eastAsia" w:ascii="仿宋_GB2312" w:hAnsi="仿宋_GB2312" w:eastAsia="仿宋_GB2312" w:cs="仿宋_GB2312"/>
              <w:b w:val="0"/>
              <w:bCs w:val="0"/>
              <w:color w:val="auto"/>
              <w:szCs w:val="30"/>
              <w:lang w:eastAsia="zh-CN"/>
            </w:rPr>
            <w:t>目标</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_Toc162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18</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2872D9FA">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b/>
              <w:bCs/>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szCs w:val="30"/>
            </w:rPr>
            <w:instrText xml:space="preserve"> HYPERLINK \l _Toc23803 </w:instrText>
          </w:r>
          <w:r>
            <w:rPr>
              <w:rFonts w:hint="eastAsia" w:ascii="仿宋_GB2312" w:hAnsi="仿宋_GB2312" w:eastAsia="仿宋_GB2312" w:cs="仿宋_GB2312"/>
              <w:b/>
              <w:bCs/>
              <w:szCs w:val="30"/>
            </w:rPr>
            <w:fldChar w:fldCharType="separate"/>
          </w:r>
          <w:r>
            <w:rPr>
              <w:rFonts w:hint="eastAsia"/>
              <w:b/>
              <w:bCs/>
              <w:lang w:eastAsia="zh-CN"/>
            </w:rPr>
            <w:t>第</w:t>
          </w:r>
          <w:r>
            <w:rPr>
              <w:rFonts w:hint="eastAsia"/>
              <w:b/>
              <w:bCs/>
              <w:lang w:val="en-US" w:eastAsia="zh-CN"/>
            </w:rPr>
            <w:t>三章  水资源供需平衡分析</w:t>
          </w:r>
          <w:r>
            <w:rPr>
              <w:b/>
              <w:bCs/>
            </w:rPr>
            <w:tab/>
          </w:r>
          <w:r>
            <w:rPr>
              <w:b/>
              <w:bCs/>
            </w:rPr>
            <w:fldChar w:fldCharType="begin"/>
          </w:r>
          <w:r>
            <w:rPr>
              <w:b/>
              <w:bCs/>
            </w:rPr>
            <w:instrText xml:space="preserve"> PAGEREF _Toc23803 \h </w:instrText>
          </w:r>
          <w:r>
            <w:rPr>
              <w:b/>
              <w:bCs/>
            </w:rPr>
            <w:fldChar w:fldCharType="separate"/>
          </w:r>
          <w:r>
            <w:rPr>
              <w:b/>
              <w:bCs/>
            </w:rPr>
            <w:t>21</w:t>
          </w:r>
          <w:r>
            <w:rPr>
              <w:b/>
              <w:bCs/>
            </w:rPr>
            <w:fldChar w:fldCharType="end"/>
          </w:r>
          <w:r>
            <w:rPr>
              <w:rFonts w:hint="eastAsia" w:ascii="仿宋_GB2312" w:hAnsi="仿宋_GB2312" w:eastAsia="仿宋_GB2312" w:cs="仿宋_GB2312"/>
              <w:b/>
              <w:bCs/>
              <w:color w:val="auto"/>
              <w:szCs w:val="30"/>
            </w:rPr>
            <w:fldChar w:fldCharType="end"/>
          </w:r>
        </w:p>
        <w:p w14:paraId="7BB32E8B">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_Toc2664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val="en-US" w:eastAsia="zh-CN"/>
            </w:rPr>
            <w:t xml:space="preserve">第一节 </w:t>
          </w:r>
          <w:r>
            <w:rPr>
              <w:rFonts w:hint="eastAsia" w:ascii="仿宋_GB2312" w:hAnsi="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val="en-US" w:eastAsia="zh-CN"/>
            </w:rPr>
            <w:t>现状用水效率分析评价</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_Toc2664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21</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02BA76DF">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_Toc26918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val="en-US" w:eastAsia="zh-CN"/>
            </w:rPr>
            <w:t>第二节  水资源供需平衡分析及配置方案</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_Toc26918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24</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065771D1">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_Toc19597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val="en-US" w:eastAsia="zh-CN"/>
            </w:rPr>
            <w:t xml:space="preserve">第三节 </w:t>
          </w:r>
          <w:r>
            <w:rPr>
              <w:rFonts w:hint="eastAsia" w:ascii="仿宋_GB2312" w:hAnsi="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eastAsia="zh-CN"/>
            </w:rPr>
            <w:t>水资源优化配置确权</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_Toc19597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30</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11A17FA8">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_Toc17768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eastAsia="zh-CN"/>
            </w:rPr>
            <w:t>第</w:t>
          </w:r>
          <w:r>
            <w:rPr>
              <w:rFonts w:hint="eastAsia" w:ascii="仿宋_GB2312" w:hAnsi="仿宋_GB2312" w:eastAsia="仿宋_GB2312" w:cs="仿宋_GB2312"/>
              <w:b/>
              <w:bCs/>
              <w:color w:val="auto"/>
              <w:szCs w:val="30"/>
              <w:lang w:val="en-US" w:eastAsia="zh-CN"/>
            </w:rPr>
            <w:t>四</w:t>
          </w:r>
          <w:r>
            <w:rPr>
              <w:rFonts w:hint="eastAsia" w:ascii="仿宋_GB2312" w:hAnsi="仿宋_GB2312" w:eastAsia="仿宋_GB2312" w:cs="仿宋_GB2312"/>
              <w:b/>
              <w:bCs/>
              <w:color w:val="auto"/>
              <w:szCs w:val="30"/>
              <w:lang w:eastAsia="zh-CN"/>
            </w:rPr>
            <w:t>章</w:t>
          </w:r>
          <w:r>
            <w:rPr>
              <w:rFonts w:hint="eastAsia" w:ascii="仿宋_GB2312" w:hAnsi="仿宋_GB2312" w:eastAsia="仿宋_GB2312" w:cs="仿宋_GB2312"/>
              <w:b/>
              <w:bCs/>
              <w:color w:val="auto"/>
              <w:szCs w:val="30"/>
              <w:lang w:val="en-US" w:eastAsia="zh-CN"/>
            </w:rPr>
            <w:t xml:space="preserve">  构建防洪排涝网</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_Toc17768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32</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0B26D21A">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_Toc19411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 xml:space="preserve">第一节 </w:t>
          </w:r>
          <w:r>
            <w:rPr>
              <w:rFonts w:hint="eastAsia" w:ascii="仿宋_GB2312" w:hAnsi="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rPr>
            <w:t>建设思路</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_Toc19411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32</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15225184">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_Toc5897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二</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eastAsia="zh-CN"/>
            </w:rPr>
            <w:t>防洪</w:t>
          </w:r>
          <w:r>
            <w:rPr>
              <w:rFonts w:hint="eastAsia" w:ascii="仿宋_GB2312" w:hAnsi="仿宋_GB2312" w:eastAsia="仿宋_GB2312" w:cs="仿宋_GB2312"/>
              <w:b w:val="0"/>
              <w:bCs w:val="0"/>
              <w:color w:val="auto"/>
              <w:szCs w:val="30"/>
              <w:lang w:val="en-US" w:eastAsia="zh-CN"/>
            </w:rPr>
            <w:t>标准和</w:t>
          </w:r>
          <w:r>
            <w:rPr>
              <w:rFonts w:hint="eastAsia" w:ascii="仿宋_GB2312" w:hAnsi="仿宋_GB2312" w:eastAsia="仿宋_GB2312" w:cs="仿宋_GB2312"/>
              <w:b w:val="0"/>
              <w:bCs w:val="0"/>
              <w:color w:val="auto"/>
              <w:szCs w:val="30"/>
              <w:lang w:eastAsia="zh-CN"/>
            </w:rPr>
            <w:t>布局</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_Toc5897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32</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2A7C301F">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_Toc17841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三</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提高河道泄洪能力</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_Toc17841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32</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65158A53">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_Toc17866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w:t>
          </w:r>
          <w:r>
            <w:rPr>
              <w:rFonts w:hint="eastAsia" w:ascii="仿宋_GB2312" w:hAnsi="仿宋_GB2312" w:eastAsia="仿宋_GB2312" w:cs="仿宋_GB2312"/>
              <w:b w:val="0"/>
              <w:bCs w:val="0"/>
              <w:color w:val="auto"/>
              <w:szCs w:val="30"/>
              <w:lang w:val="en-US" w:eastAsia="zh-CN"/>
            </w:rPr>
            <w:t>四</w:t>
          </w:r>
          <w:r>
            <w:rPr>
              <w:rFonts w:hint="eastAsia" w:ascii="仿宋_GB2312" w:hAnsi="仿宋_GB2312" w:eastAsia="仿宋_GB2312" w:cs="仿宋_GB2312"/>
              <w:b w:val="0"/>
              <w:bCs w:val="0"/>
              <w:color w:val="auto"/>
              <w:szCs w:val="30"/>
            </w:rPr>
            <w:t>节 加强城市（镇）防洪排涝建设</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_Toc17866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34</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53106915">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_Toc10877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val="en-US" w:eastAsia="zh-CN"/>
            </w:rPr>
            <w:t>第五章 构建城乡供水网</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_Toc10877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37</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02A0354E">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_Toc29145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第一节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rPr>
            <w:t xml:space="preserve"> 建设思路</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_Toc29145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37</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47253384">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_Toc3608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二</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加强城镇供水体系建设</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_Toc3608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38</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669E7905">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_Toc10840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三</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eastAsia="zh-CN"/>
            </w:rPr>
            <w:t>提高再生水利用率</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_Toc10840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41</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7855EC69">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_Toc27346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w:t>
          </w:r>
          <w:r>
            <w:rPr>
              <w:rFonts w:hint="eastAsia" w:ascii="仿宋_GB2312" w:hAnsi="仿宋_GB2312" w:eastAsia="仿宋_GB2312" w:cs="仿宋_GB2312"/>
              <w:b w:val="0"/>
              <w:bCs w:val="0"/>
              <w:color w:val="auto"/>
              <w:szCs w:val="30"/>
              <w:lang w:val="en-US" w:eastAsia="zh-CN"/>
            </w:rPr>
            <w:t>四</w:t>
          </w:r>
          <w:r>
            <w:rPr>
              <w:rFonts w:hint="eastAsia" w:ascii="仿宋_GB2312" w:hAnsi="仿宋_GB2312" w:eastAsia="仿宋_GB2312" w:cs="仿宋_GB2312"/>
              <w:b w:val="0"/>
              <w:bCs w:val="0"/>
              <w:color w:val="auto"/>
              <w:szCs w:val="30"/>
            </w:rPr>
            <w:t>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rPr>
            <w:t xml:space="preserve"> </w:t>
          </w:r>
          <w:r>
            <w:rPr>
              <w:rFonts w:hint="eastAsia" w:ascii="仿宋_GB2312" w:hAnsi="仿宋_GB2312" w:eastAsia="仿宋_GB2312" w:cs="仿宋_GB2312"/>
              <w:b w:val="0"/>
              <w:bCs w:val="0"/>
              <w:color w:val="auto"/>
              <w:szCs w:val="30"/>
              <w:lang w:val="en-US" w:eastAsia="zh-CN"/>
            </w:rPr>
            <w:t>推动</w:t>
          </w:r>
          <w:r>
            <w:rPr>
              <w:rFonts w:hint="eastAsia" w:ascii="仿宋_GB2312" w:hAnsi="仿宋_GB2312" w:eastAsia="仿宋_GB2312" w:cs="仿宋_GB2312"/>
              <w:b w:val="0"/>
              <w:bCs w:val="0"/>
              <w:color w:val="auto"/>
              <w:szCs w:val="30"/>
            </w:rPr>
            <w:t>农村供水高质量发展</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_Toc27346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42</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1EF1085C">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_Toc28963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val="en-US" w:eastAsia="zh-CN"/>
            </w:rPr>
            <w:t>第六章 构建灌溉排水网</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_Toc28963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44</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6F505253">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_Toc12450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val="en-US"/>
            </w:rPr>
            <w:t xml:space="preserve">第一节 </w:t>
          </w:r>
          <w:r>
            <w:rPr>
              <w:rFonts w:hint="eastAsia" w:ascii="仿宋_GB2312" w:hAnsi="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rPr>
            <w:t>建设思路</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_Toc12450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44</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7F75E7C6">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_Toc15802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二</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推进灌溉水源工程建设</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_Toc15802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44</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005E7145">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_Toc10983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三</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推进灌区现代化建设及改造</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_Toc10983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45</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0A3BAA7A">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_Toc115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eastAsia="zh-CN"/>
            </w:rPr>
            <w:t>第</w:t>
          </w:r>
          <w:r>
            <w:rPr>
              <w:rFonts w:hint="eastAsia" w:ascii="仿宋_GB2312" w:hAnsi="仿宋_GB2312" w:eastAsia="仿宋_GB2312" w:cs="仿宋_GB2312"/>
              <w:b/>
              <w:bCs/>
              <w:color w:val="auto"/>
              <w:szCs w:val="30"/>
              <w:lang w:val="en-US" w:eastAsia="zh-CN"/>
            </w:rPr>
            <w:t>七</w:t>
          </w:r>
          <w:r>
            <w:rPr>
              <w:rFonts w:hint="eastAsia" w:ascii="仿宋_GB2312" w:hAnsi="仿宋_GB2312" w:eastAsia="仿宋_GB2312" w:cs="仿宋_GB2312"/>
              <w:b/>
              <w:bCs/>
              <w:color w:val="auto"/>
              <w:szCs w:val="30"/>
              <w:lang w:eastAsia="zh-CN"/>
            </w:rPr>
            <w:t>章</w:t>
          </w:r>
          <w:r>
            <w:rPr>
              <w:rFonts w:hint="eastAsia" w:ascii="仿宋_GB2312" w:hAnsi="仿宋_GB2312" w:eastAsia="仿宋_GB2312" w:cs="仿宋_GB2312"/>
              <w:b/>
              <w:bCs/>
              <w:color w:val="auto"/>
              <w:szCs w:val="30"/>
              <w:lang w:val="en-US" w:eastAsia="zh-CN"/>
            </w:rPr>
            <w:t xml:space="preserve">  构建河湖生态保护网</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_Toc115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49</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4C7290D5">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_Toc22850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一</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建设思路</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_Toc22850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49</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7849D79B">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_Toc28781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二</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加强水土流失综合治理</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_Toc28781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50</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44D64C02">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_Toc31830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三</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推进重点河湖生态保护修复</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_Toc31830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51</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211F81D5">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_Toc466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eastAsia="zh-CN"/>
            </w:rPr>
            <w:t>第</w:t>
          </w:r>
          <w:r>
            <w:rPr>
              <w:rFonts w:hint="eastAsia" w:ascii="仿宋_GB2312" w:hAnsi="仿宋_GB2312" w:eastAsia="仿宋_GB2312" w:cs="仿宋_GB2312"/>
              <w:b w:val="0"/>
              <w:bCs w:val="0"/>
              <w:color w:val="auto"/>
              <w:szCs w:val="30"/>
              <w:lang w:val="en-US" w:eastAsia="zh-CN"/>
            </w:rPr>
            <w:t>四</w:t>
          </w:r>
          <w:r>
            <w:rPr>
              <w:rFonts w:hint="eastAsia" w:ascii="仿宋_GB2312" w:hAnsi="仿宋_GB2312" w:eastAsia="仿宋_GB2312" w:cs="仿宋_GB2312"/>
              <w:b w:val="0"/>
              <w:bCs w:val="0"/>
              <w:color w:val="auto"/>
              <w:szCs w:val="30"/>
              <w:lang w:eastAsia="zh-CN"/>
            </w:rPr>
            <w:t>节</w:t>
          </w:r>
          <w:r>
            <w:rPr>
              <w:rFonts w:hint="eastAsia" w:ascii="仿宋_GB2312" w:hAnsi="仿宋_GB2312" w:eastAsia="仿宋_GB2312" w:cs="仿宋_GB2312"/>
              <w:b w:val="0"/>
              <w:bCs w:val="0"/>
              <w:color w:val="auto"/>
              <w:szCs w:val="30"/>
              <w:lang w:val="en-US" w:eastAsia="zh-CN"/>
            </w:rPr>
            <w:t xml:space="preserve">  </w:t>
          </w:r>
          <w:r>
            <w:rPr>
              <w:rFonts w:hint="eastAsia" w:ascii="仿宋_GB2312" w:hAnsi="仿宋_GB2312" w:eastAsia="仿宋_GB2312" w:cs="仿宋_GB2312"/>
              <w:b w:val="0"/>
              <w:bCs w:val="0"/>
              <w:color w:val="auto"/>
              <w:szCs w:val="30"/>
              <w:lang w:eastAsia="zh-CN"/>
            </w:rPr>
            <w:t>加强水文化建设</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_Toc466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55</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18B1FBFB">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_Toc23914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第</w:t>
          </w:r>
          <w:r>
            <w:rPr>
              <w:rFonts w:hint="eastAsia" w:ascii="仿宋_GB2312" w:hAnsi="仿宋_GB2312" w:eastAsia="仿宋_GB2312" w:cs="仿宋_GB2312"/>
              <w:b/>
              <w:bCs/>
              <w:color w:val="auto"/>
              <w:szCs w:val="30"/>
              <w:lang w:val="en-US" w:eastAsia="zh-CN"/>
            </w:rPr>
            <w:t>八</w:t>
          </w:r>
          <w:r>
            <w:rPr>
              <w:rFonts w:hint="eastAsia" w:ascii="仿宋_GB2312" w:hAnsi="仿宋_GB2312" w:eastAsia="仿宋_GB2312" w:cs="仿宋_GB2312"/>
              <w:b/>
              <w:bCs/>
              <w:color w:val="auto"/>
              <w:szCs w:val="30"/>
            </w:rPr>
            <w:t>章</w:t>
          </w:r>
          <w:r>
            <w:rPr>
              <w:rFonts w:hint="eastAsia" w:ascii="仿宋_GB2312" w:hAnsi="仿宋_GB2312" w:eastAsia="仿宋_GB2312" w:cs="仿宋_GB2312"/>
              <w:b/>
              <w:bCs/>
              <w:color w:val="auto"/>
              <w:szCs w:val="30"/>
              <w:lang w:val="en-US" w:eastAsia="zh-CN"/>
            </w:rPr>
            <w:t xml:space="preserve">  构建数字孪生水网</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_Toc23914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58</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7C8AC3B3">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_Toc3944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第一节 建设思路</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_Toc3944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58</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08D993B6">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_Toc20552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第二节 完善水网信息基础设施</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_Toc20552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58</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2114B03D">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_Toc22924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w:t>
          </w:r>
          <w:r>
            <w:rPr>
              <w:rFonts w:hint="eastAsia" w:ascii="仿宋_GB2312" w:hAnsi="仿宋_GB2312" w:eastAsia="仿宋_GB2312" w:cs="仿宋_GB2312"/>
              <w:b w:val="0"/>
              <w:bCs w:val="0"/>
              <w:color w:val="auto"/>
              <w:szCs w:val="30"/>
              <w:lang w:val="en-US" w:eastAsia="zh-CN"/>
            </w:rPr>
            <w:t>三</w:t>
          </w:r>
          <w:r>
            <w:rPr>
              <w:rFonts w:hint="eastAsia" w:ascii="仿宋_GB2312" w:hAnsi="仿宋_GB2312" w:eastAsia="仿宋_GB2312" w:cs="仿宋_GB2312"/>
              <w:b w:val="0"/>
              <w:bCs w:val="0"/>
              <w:color w:val="auto"/>
              <w:szCs w:val="30"/>
            </w:rPr>
            <w:t>节 建设水网业务应用</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_Toc22924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60</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259BC0A3">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_Toc10436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w:t>
          </w:r>
          <w:r>
            <w:rPr>
              <w:rFonts w:hint="eastAsia" w:ascii="仿宋_GB2312" w:hAnsi="仿宋_GB2312" w:eastAsia="仿宋_GB2312" w:cs="仿宋_GB2312"/>
              <w:b w:val="0"/>
              <w:bCs w:val="0"/>
              <w:color w:val="auto"/>
              <w:szCs w:val="30"/>
              <w:lang w:val="en-US" w:eastAsia="zh-CN"/>
            </w:rPr>
            <w:t>四</w:t>
          </w:r>
          <w:r>
            <w:rPr>
              <w:rFonts w:hint="eastAsia" w:ascii="仿宋_GB2312" w:hAnsi="仿宋_GB2312" w:eastAsia="仿宋_GB2312" w:cs="仿宋_GB2312"/>
              <w:b w:val="0"/>
              <w:bCs w:val="0"/>
              <w:color w:val="auto"/>
              <w:szCs w:val="30"/>
            </w:rPr>
            <w:t xml:space="preserve">节 </w:t>
          </w:r>
          <w:r>
            <w:rPr>
              <w:rFonts w:hint="eastAsia" w:ascii="仿宋_GB2312" w:hAnsi="仿宋_GB2312" w:eastAsia="仿宋_GB2312" w:cs="仿宋_GB2312"/>
              <w:b w:val="0"/>
              <w:bCs w:val="0"/>
              <w:color w:val="auto"/>
              <w:szCs w:val="30"/>
              <w:lang w:val="en-US" w:eastAsia="zh-CN"/>
            </w:rPr>
            <w:t>推进网络安全及保障体系建设</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_Toc10436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63</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5A5F6974">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_Toc19968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val="en-US" w:eastAsia="zh-CN"/>
            </w:rPr>
            <w:t>第九章  推动水网高质量发展</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_Toc19968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65</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4DEBB04F">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_Toc27091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第一节 推进安全发展</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_Toc27091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65</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3A23BC3C">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_Toc26423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第二节 推进绿色发展</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_Toc26423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66</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42F03037">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_Toc25123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第三节 统筹融合发展</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_Toc25123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67</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39E5D8F1">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_Toc9993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第四节 完善体制机制</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_Toc9993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68</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707E30B9">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_Toc19079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eastAsia="zh-CN"/>
            </w:rPr>
            <w:t>第</w:t>
          </w:r>
          <w:r>
            <w:rPr>
              <w:rFonts w:hint="eastAsia" w:ascii="仿宋_GB2312" w:hAnsi="仿宋_GB2312" w:eastAsia="仿宋_GB2312" w:cs="仿宋_GB2312"/>
              <w:b/>
              <w:bCs/>
              <w:color w:val="auto"/>
              <w:szCs w:val="30"/>
              <w:lang w:val="en-US" w:eastAsia="zh-CN"/>
            </w:rPr>
            <w:t>十</w:t>
          </w:r>
          <w:r>
            <w:rPr>
              <w:rFonts w:hint="eastAsia" w:ascii="仿宋_GB2312" w:hAnsi="仿宋_GB2312" w:eastAsia="仿宋_GB2312" w:cs="仿宋_GB2312"/>
              <w:b/>
              <w:bCs/>
              <w:color w:val="auto"/>
              <w:szCs w:val="30"/>
              <w:lang w:eastAsia="zh-CN"/>
            </w:rPr>
            <w:t>章  投资匡算及工程实施安排</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_Toc19079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70</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0A1063A6">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_Toc4080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val="en-US" w:eastAsia="en-US"/>
            </w:rPr>
            <w:t>第</w:t>
          </w:r>
          <w:r>
            <w:rPr>
              <w:rFonts w:hint="eastAsia" w:ascii="仿宋_GB2312" w:hAnsi="仿宋_GB2312" w:eastAsia="仿宋_GB2312" w:cs="仿宋_GB2312"/>
              <w:b/>
              <w:bCs/>
              <w:color w:val="auto"/>
              <w:szCs w:val="30"/>
              <w:lang w:val="en-US" w:eastAsia="zh-CN"/>
            </w:rPr>
            <w:t>十一</w:t>
          </w:r>
          <w:r>
            <w:rPr>
              <w:rFonts w:hint="eastAsia" w:ascii="仿宋_GB2312" w:hAnsi="仿宋_GB2312" w:eastAsia="仿宋_GB2312" w:cs="仿宋_GB2312"/>
              <w:b/>
              <w:bCs/>
              <w:color w:val="auto"/>
              <w:szCs w:val="30"/>
              <w:lang w:val="en-US" w:eastAsia="en-US"/>
            </w:rPr>
            <w:t xml:space="preserve">章 </w:t>
          </w:r>
          <w:r>
            <w:rPr>
              <w:rFonts w:hint="eastAsia" w:ascii="仿宋_GB2312" w:hAnsi="仿宋_GB2312" w:eastAsia="仿宋_GB2312" w:cs="仿宋_GB2312"/>
              <w:b/>
              <w:bCs/>
              <w:color w:val="auto"/>
              <w:szCs w:val="30"/>
            </w:rPr>
            <w:t>环境影响评价</w:t>
          </w:r>
          <w:r>
            <w:rPr>
              <w:rFonts w:hint="eastAsia" w:ascii="仿宋_GB2312" w:hAnsi="仿宋_GB2312" w:eastAsia="仿宋_GB2312" w:cs="仿宋_GB2312"/>
              <w:b/>
              <w:bCs/>
              <w:color w:val="auto"/>
              <w:szCs w:val="30"/>
              <w:lang w:val="en-US" w:eastAsia="zh-CN"/>
            </w:rPr>
            <w:t>及社会稳定风险评估</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_Toc4080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72</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4B13B0B2">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_Toc23737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第一节 环境保护要求</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_Toc23737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72</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7C87FE6E">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_Toc22846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第二节 规划符合性分析</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_Toc22846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73</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211E6461">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_Toc19779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第三节 主要环境影响预测与分析</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_Toc19779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74</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128FD1BB">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_Toc15848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第四节 规划合理性分析和优化调整建议</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_Toc15848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76</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14E24589">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_Toc10634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第五节 环境影响减缓对策措施</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_Toc10634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77</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64237908">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_Toc739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lang w:val="en-US" w:eastAsia="zh-CN"/>
            </w:rPr>
            <w:t>第六节 社会稳定性风险评估</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_Toc739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79</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21C7B496">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val="0"/>
              <w:bCs w:val="0"/>
              <w:color w:val="auto"/>
              <w:szCs w:val="3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HYPERLINK \l _Toc25421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第</w:t>
          </w:r>
          <w:r>
            <w:rPr>
              <w:rFonts w:hint="eastAsia" w:ascii="仿宋_GB2312" w:hAnsi="仿宋_GB2312" w:eastAsia="仿宋_GB2312" w:cs="仿宋_GB2312"/>
              <w:b w:val="0"/>
              <w:bCs w:val="0"/>
              <w:color w:val="auto"/>
              <w:szCs w:val="30"/>
              <w:lang w:val="en-US" w:eastAsia="zh-CN"/>
            </w:rPr>
            <w:t>七</w:t>
          </w:r>
          <w:r>
            <w:rPr>
              <w:rFonts w:hint="eastAsia" w:ascii="仿宋_GB2312" w:hAnsi="仿宋_GB2312" w:eastAsia="仿宋_GB2312" w:cs="仿宋_GB2312"/>
              <w:b w:val="0"/>
              <w:bCs w:val="0"/>
              <w:color w:val="auto"/>
              <w:szCs w:val="30"/>
            </w:rPr>
            <w:t>节 综合评价结论</w:t>
          </w:r>
          <w:r>
            <w:rPr>
              <w:rFonts w:hint="eastAsia" w:ascii="仿宋_GB2312" w:hAnsi="仿宋_GB2312" w:eastAsia="仿宋_GB2312" w:cs="仿宋_GB2312"/>
              <w:b w:val="0"/>
              <w:bCs w:val="0"/>
              <w:color w:val="auto"/>
              <w:szCs w:val="30"/>
            </w:rPr>
            <w:tab/>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color w:val="auto"/>
              <w:szCs w:val="30"/>
            </w:rPr>
            <w:instrText xml:space="preserve"> PAGEREF _Toc25421 \h </w:instrText>
          </w:r>
          <w:r>
            <w:rPr>
              <w:rFonts w:hint="eastAsia" w:ascii="仿宋_GB2312" w:hAnsi="仿宋_GB2312" w:eastAsia="仿宋_GB2312" w:cs="仿宋_GB2312"/>
              <w:b w:val="0"/>
              <w:bCs w:val="0"/>
              <w:color w:val="auto"/>
              <w:szCs w:val="30"/>
            </w:rPr>
            <w:fldChar w:fldCharType="separate"/>
          </w:r>
          <w:r>
            <w:rPr>
              <w:rFonts w:hint="eastAsia" w:ascii="仿宋_GB2312" w:hAnsi="仿宋_GB2312" w:eastAsia="仿宋_GB2312" w:cs="仿宋_GB2312"/>
              <w:b w:val="0"/>
              <w:bCs w:val="0"/>
              <w:color w:val="auto"/>
              <w:szCs w:val="30"/>
            </w:rPr>
            <w:t>81</w:t>
          </w:r>
          <w:r>
            <w:rPr>
              <w:rFonts w:hint="eastAsia" w:ascii="仿宋_GB2312" w:hAnsi="仿宋_GB2312" w:eastAsia="仿宋_GB2312" w:cs="仿宋_GB2312"/>
              <w:b w:val="0"/>
              <w:bCs w:val="0"/>
              <w:color w:val="auto"/>
              <w:szCs w:val="30"/>
            </w:rPr>
            <w:fldChar w:fldCharType="end"/>
          </w:r>
          <w:r>
            <w:rPr>
              <w:rFonts w:hint="eastAsia" w:ascii="仿宋_GB2312" w:hAnsi="仿宋_GB2312" w:eastAsia="仿宋_GB2312" w:cs="仿宋_GB2312"/>
              <w:b w:val="0"/>
              <w:bCs w:val="0"/>
              <w:color w:val="auto"/>
              <w:szCs w:val="30"/>
            </w:rPr>
            <w:fldChar w:fldCharType="end"/>
          </w:r>
        </w:p>
        <w:p w14:paraId="7FFBC11B">
          <w:pPr>
            <w:pStyle w:val="11"/>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ascii="仿宋_GB2312" w:hAnsi="仿宋_GB2312" w:eastAsia="仿宋_GB2312" w:cs="仿宋_GB2312"/>
              <w:b/>
              <w:bCs/>
              <w:color w:val="auto"/>
              <w:szCs w:val="30"/>
            </w:rPr>
          </w:pP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HYPERLINK \l _Toc31008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lang w:val="en-US" w:eastAsia="en-US"/>
            </w:rPr>
            <w:t>第</w:t>
          </w:r>
          <w:r>
            <w:rPr>
              <w:rFonts w:hint="eastAsia" w:ascii="仿宋_GB2312" w:hAnsi="仿宋_GB2312" w:eastAsia="仿宋_GB2312" w:cs="仿宋_GB2312"/>
              <w:b/>
              <w:bCs/>
              <w:color w:val="auto"/>
              <w:szCs w:val="30"/>
              <w:lang w:val="en-US" w:eastAsia="zh-CN"/>
            </w:rPr>
            <w:t>十二</w:t>
          </w:r>
          <w:r>
            <w:rPr>
              <w:rFonts w:hint="eastAsia" w:ascii="仿宋_GB2312" w:hAnsi="仿宋_GB2312" w:eastAsia="仿宋_GB2312" w:cs="仿宋_GB2312"/>
              <w:b/>
              <w:bCs/>
              <w:color w:val="auto"/>
              <w:szCs w:val="30"/>
              <w:lang w:val="en-US" w:eastAsia="en-US"/>
            </w:rPr>
            <w:t xml:space="preserve">章 </w:t>
          </w:r>
          <w:r>
            <w:rPr>
              <w:rFonts w:hint="eastAsia" w:ascii="仿宋_GB2312" w:hAnsi="仿宋_GB2312" w:eastAsia="仿宋_GB2312" w:cs="仿宋_GB2312"/>
              <w:b/>
              <w:bCs/>
              <w:color w:val="auto"/>
              <w:szCs w:val="30"/>
            </w:rPr>
            <w:t>规划保障措施</w:t>
          </w:r>
          <w:r>
            <w:rPr>
              <w:rFonts w:hint="eastAsia" w:ascii="仿宋_GB2312" w:hAnsi="仿宋_GB2312" w:eastAsia="仿宋_GB2312" w:cs="仿宋_GB2312"/>
              <w:b/>
              <w:bCs/>
              <w:color w:val="auto"/>
              <w:szCs w:val="30"/>
            </w:rPr>
            <w:tab/>
          </w:r>
          <w:r>
            <w:rPr>
              <w:rFonts w:hint="eastAsia" w:ascii="仿宋_GB2312" w:hAnsi="仿宋_GB2312" w:eastAsia="仿宋_GB2312" w:cs="仿宋_GB2312"/>
              <w:b/>
              <w:bCs/>
              <w:color w:val="auto"/>
              <w:szCs w:val="30"/>
            </w:rPr>
            <w:fldChar w:fldCharType="begin"/>
          </w:r>
          <w:r>
            <w:rPr>
              <w:rFonts w:hint="eastAsia" w:ascii="仿宋_GB2312" w:hAnsi="仿宋_GB2312" w:eastAsia="仿宋_GB2312" w:cs="仿宋_GB2312"/>
              <w:b/>
              <w:bCs/>
              <w:color w:val="auto"/>
              <w:szCs w:val="30"/>
            </w:rPr>
            <w:instrText xml:space="preserve"> PAGEREF _Toc31008 \h </w:instrText>
          </w:r>
          <w:r>
            <w:rPr>
              <w:rFonts w:hint="eastAsia" w:ascii="仿宋_GB2312" w:hAnsi="仿宋_GB2312" w:eastAsia="仿宋_GB2312" w:cs="仿宋_GB2312"/>
              <w:b/>
              <w:bCs/>
              <w:color w:val="auto"/>
              <w:szCs w:val="30"/>
            </w:rPr>
            <w:fldChar w:fldCharType="separate"/>
          </w:r>
          <w:r>
            <w:rPr>
              <w:rFonts w:hint="eastAsia" w:ascii="仿宋_GB2312" w:hAnsi="仿宋_GB2312" w:eastAsia="仿宋_GB2312" w:cs="仿宋_GB2312"/>
              <w:b/>
              <w:bCs/>
              <w:color w:val="auto"/>
              <w:szCs w:val="30"/>
            </w:rPr>
            <w:t>82</w:t>
          </w:r>
          <w:r>
            <w:rPr>
              <w:rFonts w:hint="eastAsia" w:ascii="仿宋_GB2312" w:hAnsi="仿宋_GB2312" w:eastAsia="仿宋_GB2312" w:cs="仿宋_GB2312"/>
              <w:b/>
              <w:bCs/>
              <w:color w:val="auto"/>
              <w:szCs w:val="30"/>
            </w:rPr>
            <w:fldChar w:fldCharType="end"/>
          </w:r>
          <w:r>
            <w:rPr>
              <w:rFonts w:hint="eastAsia" w:ascii="仿宋_GB2312" w:hAnsi="仿宋_GB2312" w:eastAsia="仿宋_GB2312" w:cs="仿宋_GB2312"/>
              <w:b/>
              <w:bCs/>
              <w:color w:val="auto"/>
              <w:szCs w:val="30"/>
            </w:rPr>
            <w:fldChar w:fldCharType="end"/>
          </w:r>
        </w:p>
        <w:p w14:paraId="1742D9E2">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b w:val="0"/>
              <w:bCs w:val="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szCs w:val="30"/>
            </w:rPr>
            <w:instrText xml:space="preserve"> HYPERLINK \l _Toc23840 </w:instrText>
          </w:r>
          <w:r>
            <w:rPr>
              <w:rFonts w:hint="eastAsia" w:ascii="仿宋_GB2312" w:hAnsi="仿宋_GB2312" w:eastAsia="仿宋_GB2312" w:cs="仿宋_GB2312"/>
              <w:b w:val="0"/>
              <w:bCs w:val="0"/>
              <w:szCs w:val="30"/>
            </w:rPr>
            <w:fldChar w:fldCharType="separate"/>
          </w:r>
          <w:r>
            <w:rPr>
              <w:rFonts w:hint="eastAsia"/>
              <w:b w:val="0"/>
              <w:bCs w:val="0"/>
            </w:rPr>
            <w:t>第一节 加强组织领导</w:t>
          </w:r>
          <w:r>
            <w:rPr>
              <w:b w:val="0"/>
              <w:bCs w:val="0"/>
            </w:rPr>
            <w:tab/>
          </w:r>
          <w:r>
            <w:rPr>
              <w:b w:val="0"/>
              <w:bCs w:val="0"/>
            </w:rPr>
            <w:fldChar w:fldCharType="begin"/>
          </w:r>
          <w:r>
            <w:rPr>
              <w:b w:val="0"/>
              <w:bCs w:val="0"/>
            </w:rPr>
            <w:instrText xml:space="preserve"> PAGEREF _Toc23840 \h </w:instrText>
          </w:r>
          <w:r>
            <w:rPr>
              <w:b w:val="0"/>
              <w:bCs w:val="0"/>
            </w:rPr>
            <w:fldChar w:fldCharType="separate"/>
          </w:r>
          <w:r>
            <w:rPr>
              <w:b w:val="0"/>
              <w:bCs w:val="0"/>
            </w:rPr>
            <w:t>82</w:t>
          </w:r>
          <w:r>
            <w:rPr>
              <w:b w:val="0"/>
              <w:bCs w:val="0"/>
            </w:rPr>
            <w:fldChar w:fldCharType="end"/>
          </w:r>
          <w:r>
            <w:rPr>
              <w:rFonts w:hint="eastAsia" w:ascii="仿宋_GB2312" w:hAnsi="仿宋_GB2312" w:eastAsia="仿宋_GB2312" w:cs="仿宋_GB2312"/>
              <w:b w:val="0"/>
              <w:bCs w:val="0"/>
              <w:color w:val="auto"/>
              <w:szCs w:val="30"/>
            </w:rPr>
            <w:fldChar w:fldCharType="end"/>
          </w:r>
        </w:p>
        <w:p w14:paraId="1E36FDCC">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b w:val="0"/>
              <w:bCs w:val="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szCs w:val="30"/>
            </w:rPr>
            <w:instrText xml:space="preserve"> HYPERLINK \l _Toc8360 </w:instrText>
          </w:r>
          <w:r>
            <w:rPr>
              <w:rFonts w:hint="eastAsia" w:ascii="仿宋_GB2312" w:hAnsi="仿宋_GB2312" w:eastAsia="仿宋_GB2312" w:cs="仿宋_GB2312"/>
              <w:b w:val="0"/>
              <w:bCs w:val="0"/>
              <w:szCs w:val="30"/>
            </w:rPr>
            <w:fldChar w:fldCharType="separate"/>
          </w:r>
          <w:r>
            <w:rPr>
              <w:rFonts w:hint="eastAsia"/>
              <w:b w:val="0"/>
              <w:bCs w:val="0"/>
            </w:rPr>
            <w:t xml:space="preserve">第二节 </w:t>
          </w:r>
          <w:r>
            <w:rPr>
              <w:rFonts w:hint="eastAsia"/>
              <w:b w:val="0"/>
              <w:bCs w:val="0"/>
              <w:lang w:val="en-US" w:eastAsia="zh-CN"/>
            </w:rPr>
            <w:t>深化</w:t>
          </w:r>
          <w:r>
            <w:rPr>
              <w:rFonts w:hint="eastAsia"/>
              <w:b w:val="0"/>
              <w:bCs w:val="0"/>
            </w:rPr>
            <w:t>前期工作</w:t>
          </w:r>
          <w:r>
            <w:rPr>
              <w:b w:val="0"/>
              <w:bCs w:val="0"/>
            </w:rPr>
            <w:tab/>
          </w:r>
          <w:r>
            <w:rPr>
              <w:b w:val="0"/>
              <w:bCs w:val="0"/>
            </w:rPr>
            <w:fldChar w:fldCharType="begin"/>
          </w:r>
          <w:r>
            <w:rPr>
              <w:b w:val="0"/>
              <w:bCs w:val="0"/>
            </w:rPr>
            <w:instrText xml:space="preserve"> PAGEREF _Toc8360 \h </w:instrText>
          </w:r>
          <w:r>
            <w:rPr>
              <w:b w:val="0"/>
              <w:bCs w:val="0"/>
            </w:rPr>
            <w:fldChar w:fldCharType="separate"/>
          </w:r>
          <w:r>
            <w:rPr>
              <w:b w:val="0"/>
              <w:bCs w:val="0"/>
            </w:rPr>
            <w:t>82</w:t>
          </w:r>
          <w:r>
            <w:rPr>
              <w:b w:val="0"/>
              <w:bCs w:val="0"/>
            </w:rPr>
            <w:fldChar w:fldCharType="end"/>
          </w:r>
          <w:r>
            <w:rPr>
              <w:rFonts w:hint="eastAsia" w:ascii="仿宋_GB2312" w:hAnsi="仿宋_GB2312" w:eastAsia="仿宋_GB2312" w:cs="仿宋_GB2312"/>
              <w:b w:val="0"/>
              <w:bCs w:val="0"/>
              <w:color w:val="auto"/>
              <w:szCs w:val="30"/>
            </w:rPr>
            <w:fldChar w:fldCharType="end"/>
          </w:r>
        </w:p>
        <w:p w14:paraId="2D2E22FD">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b w:val="0"/>
              <w:bCs w:val="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szCs w:val="30"/>
            </w:rPr>
            <w:instrText xml:space="preserve"> HYPERLINK \l _Toc10146 </w:instrText>
          </w:r>
          <w:r>
            <w:rPr>
              <w:rFonts w:hint="eastAsia" w:ascii="仿宋_GB2312" w:hAnsi="仿宋_GB2312" w:eastAsia="仿宋_GB2312" w:cs="仿宋_GB2312"/>
              <w:b w:val="0"/>
              <w:bCs w:val="0"/>
              <w:szCs w:val="30"/>
            </w:rPr>
            <w:fldChar w:fldCharType="separate"/>
          </w:r>
          <w:r>
            <w:rPr>
              <w:rFonts w:hint="eastAsia"/>
              <w:b w:val="0"/>
              <w:bCs w:val="0"/>
            </w:rPr>
            <w:t>第三节 加大资金投入</w:t>
          </w:r>
          <w:r>
            <w:rPr>
              <w:b w:val="0"/>
              <w:bCs w:val="0"/>
            </w:rPr>
            <w:tab/>
          </w:r>
          <w:r>
            <w:rPr>
              <w:b w:val="0"/>
              <w:bCs w:val="0"/>
            </w:rPr>
            <w:fldChar w:fldCharType="begin"/>
          </w:r>
          <w:r>
            <w:rPr>
              <w:b w:val="0"/>
              <w:bCs w:val="0"/>
            </w:rPr>
            <w:instrText xml:space="preserve"> PAGEREF _Toc10146 \h </w:instrText>
          </w:r>
          <w:r>
            <w:rPr>
              <w:b w:val="0"/>
              <w:bCs w:val="0"/>
            </w:rPr>
            <w:fldChar w:fldCharType="separate"/>
          </w:r>
          <w:r>
            <w:rPr>
              <w:b w:val="0"/>
              <w:bCs w:val="0"/>
            </w:rPr>
            <w:t>82</w:t>
          </w:r>
          <w:r>
            <w:rPr>
              <w:b w:val="0"/>
              <w:bCs w:val="0"/>
            </w:rPr>
            <w:fldChar w:fldCharType="end"/>
          </w:r>
          <w:r>
            <w:rPr>
              <w:rFonts w:hint="eastAsia" w:ascii="仿宋_GB2312" w:hAnsi="仿宋_GB2312" w:eastAsia="仿宋_GB2312" w:cs="仿宋_GB2312"/>
              <w:b w:val="0"/>
              <w:bCs w:val="0"/>
              <w:color w:val="auto"/>
              <w:szCs w:val="30"/>
            </w:rPr>
            <w:fldChar w:fldCharType="end"/>
          </w:r>
        </w:p>
        <w:p w14:paraId="46084D38">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b w:val="0"/>
              <w:bCs w:val="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szCs w:val="30"/>
            </w:rPr>
            <w:instrText xml:space="preserve"> HYPERLINK \l _Toc32112 </w:instrText>
          </w:r>
          <w:r>
            <w:rPr>
              <w:rFonts w:hint="eastAsia" w:ascii="仿宋_GB2312" w:hAnsi="仿宋_GB2312" w:eastAsia="仿宋_GB2312" w:cs="仿宋_GB2312"/>
              <w:b w:val="0"/>
              <w:bCs w:val="0"/>
              <w:szCs w:val="30"/>
            </w:rPr>
            <w:fldChar w:fldCharType="separate"/>
          </w:r>
          <w:r>
            <w:rPr>
              <w:rFonts w:hint="eastAsia"/>
              <w:b w:val="0"/>
              <w:bCs w:val="0"/>
            </w:rPr>
            <w:t>第四节 强化科技支撑</w:t>
          </w:r>
          <w:r>
            <w:rPr>
              <w:b w:val="0"/>
              <w:bCs w:val="0"/>
            </w:rPr>
            <w:tab/>
          </w:r>
          <w:r>
            <w:rPr>
              <w:b w:val="0"/>
              <w:bCs w:val="0"/>
            </w:rPr>
            <w:fldChar w:fldCharType="begin"/>
          </w:r>
          <w:r>
            <w:rPr>
              <w:b w:val="0"/>
              <w:bCs w:val="0"/>
            </w:rPr>
            <w:instrText xml:space="preserve"> PAGEREF _Toc32112 \h </w:instrText>
          </w:r>
          <w:r>
            <w:rPr>
              <w:b w:val="0"/>
              <w:bCs w:val="0"/>
            </w:rPr>
            <w:fldChar w:fldCharType="separate"/>
          </w:r>
          <w:r>
            <w:rPr>
              <w:b w:val="0"/>
              <w:bCs w:val="0"/>
            </w:rPr>
            <w:t>83</w:t>
          </w:r>
          <w:r>
            <w:rPr>
              <w:b w:val="0"/>
              <w:bCs w:val="0"/>
            </w:rPr>
            <w:fldChar w:fldCharType="end"/>
          </w:r>
          <w:r>
            <w:rPr>
              <w:rFonts w:hint="eastAsia" w:ascii="仿宋_GB2312" w:hAnsi="仿宋_GB2312" w:eastAsia="仿宋_GB2312" w:cs="仿宋_GB2312"/>
              <w:b w:val="0"/>
              <w:bCs w:val="0"/>
              <w:color w:val="auto"/>
              <w:szCs w:val="30"/>
            </w:rPr>
            <w:fldChar w:fldCharType="end"/>
          </w:r>
        </w:p>
        <w:p w14:paraId="0565FD97">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b w:val="0"/>
              <w:bCs w:val="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szCs w:val="30"/>
            </w:rPr>
            <w:instrText xml:space="preserve"> HYPERLINK \l _Toc23937 </w:instrText>
          </w:r>
          <w:r>
            <w:rPr>
              <w:rFonts w:hint="eastAsia" w:ascii="仿宋_GB2312" w:hAnsi="仿宋_GB2312" w:eastAsia="仿宋_GB2312" w:cs="仿宋_GB2312"/>
              <w:b w:val="0"/>
              <w:bCs w:val="0"/>
              <w:szCs w:val="30"/>
            </w:rPr>
            <w:fldChar w:fldCharType="separate"/>
          </w:r>
          <w:r>
            <w:rPr>
              <w:rFonts w:hint="eastAsia"/>
              <w:b w:val="0"/>
              <w:bCs w:val="0"/>
            </w:rPr>
            <w:t>第五节 加强宣传引导</w:t>
          </w:r>
          <w:r>
            <w:rPr>
              <w:b w:val="0"/>
              <w:bCs w:val="0"/>
            </w:rPr>
            <w:tab/>
          </w:r>
          <w:r>
            <w:rPr>
              <w:b w:val="0"/>
              <w:bCs w:val="0"/>
            </w:rPr>
            <w:fldChar w:fldCharType="begin"/>
          </w:r>
          <w:r>
            <w:rPr>
              <w:b w:val="0"/>
              <w:bCs w:val="0"/>
            </w:rPr>
            <w:instrText xml:space="preserve"> PAGEREF _Toc23937 \h </w:instrText>
          </w:r>
          <w:r>
            <w:rPr>
              <w:b w:val="0"/>
              <w:bCs w:val="0"/>
            </w:rPr>
            <w:fldChar w:fldCharType="separate"/>
          </w:r>
          <w:r>
            <w:rPr>
              <w:b w:val="0"/>
              <w:bCs w:val="0"/>
            </w:rPr>
            <w:t>83</w:t>
          </w:r>
          <w:r>
            <w:rPr>
              <w:b w:val="0"/>
              <w:bCs w:val="0"/>
            </w:rPr>
            <w:fldChar w:fldCharType="end"/>
          </w:r>
          <w:r>
            <w:rPr>
              <w:rFonts w:hint="eastAsia" w:ascii="仿宋_GB2312" w:hAnsi="仿宋_GB2312" w:eastAsia="仿宋_GB2312" w:cs="仿宋_GB2312"/>
              <w:b w:val="0"/>
              <w:bCs w:val="0"/>
              <w:color w:val="auto"/>
              <w:szCs w:val="30"/>
            </w:rPr>
            <w:fldChar w:fldCharType="end"/>
          </w:r>
        </w:p>
        <w:p w14:paraId="4DF9DAE1">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b w:val="0"/>
              <w:bCs w:val="0"/>
            </w:rPr>
          </w:pP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szCs w:val="30"/>
            </w:rPr>
            <w:instrText xml:space="preserve"> HYPERLINK \l _Toc29649 </w:instrText>
          </w:r>
          <w:r>
            <w:rPr>
              <w:rFonts w:hint="eastAsia" w:ascii="仿宋_GB2312" w:hAnsi="仿宋_GB2312" w:eastAsia="仿宋_GB2312" w:cs="仿宋_GB2312"/>
              <w:b w:val="0"/>
              <w:bCs w:val="0"/>
              <w:szCs w:val="30"/>
            </w:rPr>
            <w:fldChar w:fldCharType="separate"/>
          </w:r>
          <w:r>
            <w:rPr>
              <w:rFonts w:hint="eastAsia"/>
              <w:b w:val="0"/>
              <w:bCs w:val="0"/>
            </w:rPr>
            <w:t>附图:</w:t>
          </w:r>
          <w:r>
            <w:rPr>
              <w:b w:val="0"/>
              <w:bCs w:val="0"/>
            </w:rPr>
            <w:tab/>
          </w:r>
          <w:r>
            <w:rPr>
              <w:b w:val="0"/>
              <w:bCs w:val="0"/>
            </w:rPr>
            <w:fldChar w:fldCharType="begin"/>
          </w:r>
          <w:r>
            <w:rPr>
              <w:b w:val="0"/>
              <w:bCs w:val="0"/>
            </w:rPr>
            <w:instrText xml:space="preserve"> PAGEREF _Toc29649 \h </w:instrText>
          </w:r>
          <w:r>
            <w:rPr>
              <w:b w:val="0"/>
              <w:bCs w:val="0"/>
            </w:rPr>
            <w:fldChar w:fldCharType="separate"/>
          </w:r>
          <w:r>
            <w:rPr>
              <w:b w:val="0"/>
              <w:bCs w:val="0"/>
            </w:rPr>
            <w:t>84</w:t>
          </w:r>
          <w:r>
            <w:rPr>
              <w:b w:val="0"/>
              <w:bCs w:val="0"/>
            </w:rPr>
            <w:fldChar w:fldCharType="end"/>
          </w:r>
          <w:r>
            <w:rPr>
              <w:rFonts w:hint="eastAsia" w:ascii="仿宋_GB2312" w:hAnsi="仿宋_GB2312" w:eastAsia="仿宋_GB2312" w:cs="仿宋_GB2312"/>
              <w:b w:val="0"/>
              <w:bCs w:val="0"/>
              <w:color w:val="auto"/>
              <w:szCs w:val="30"/>
            </w:rPr>
            <w:fldChar w:fldCharType="end"/>
          </w:r>
        </w:p>
        <w:p w14:paraId="6C274164">
          <w:pPr>
            <w:pStyle w:val="12"/>
            <w:keepNext w:val="0"/>
            <w:keepLines w:val="0"/>
            <w:pageBreakBefore w:val="0"/>
            <w:widowControl w:val="0"/>
            <w:tabs>
              <w:tab w:val="right" w:leader="dot" w:pos="8301"/>
            </w:tabs>
            <w:kinsoku/>
            <w:wordWrap/>
            <w:overflowPunct w:val="0"/>
            <w:topLinePunct w:val="0"/>
            <w:autoSpaceDE w:val="0"/>
            <w:autoSpaceDN w:val="0"/>
            <w:bidi w:val="0"/>
            <w:adjustRightInd w:val="0"/>
            <w:snapToGrid w:val="0"/>
            <w:rPr>
              <w:rFonts w:hint="eastAsia" w:eastAsia="仿宋_GB2312"/>
              <w:b w:val="0"/>
              <w:bCs w:val="0"/>
              <w:lang w:val="en-US" w:eastAsia="zh-CN"/>
            </w:rPr>
          </w:pPr>
          <w:r>
            <w:rPr>
              <w:rFonts w:hint="eastAsia" w:ascii="仿宋_GB2312" w:hAnsi="仿宋_GB2312" w:eastAsia="仿宋_GB2312" w:cs="仿宋_GB2312"/>
              <w:color w:val="auto"/>
              <w:szCs w:val="30"/>
            </w:rPr>
            <w:fldChar w:fldCharType="end"/>
          </w:r>
          <w:r>
            <w:rPr>
              <w:rFonts w:hint="eastAsia" w:ascii="仿宋_GB2312" w:hAnsi="仿宋_GB2312" w:eastAsia="仿宋_GB2312" w:cs="仿宋_GB2312"/>
              <w:b w:val="0"/>
              <w:bCs w:val="0"/>
              <w:color w:val="auto"/>
              <w:szCs w:val="30"/>
            </w:rPr>
            <w:fldChar w:fldCharType="begin"/>
          </w:r>
          <w:r>
            <w:rPr>
              <w:rFonts w:hint="eastAsia" w:ascii="仿宋_GB2312" w:hAnsi="仿宋_GB2312" w:eastAsia="仿宋_GB2312" w:cs="仿宋_GB2312"/>
              <w:b w:val="0"/>
              <w:bCs w:val="0"/>
              <w:szCs w:val="30"/>
            </w:rPr>
            <w:instrText xml:space="preserve"> HYPERLINK \l _Toc29649 </w:instrText>
          </w:r>
          <w:r>
            <w:rPr>
              <w:rFonts w:hint="eastAsia" w:ascii="仿宋_GB2312" w:hAnsi="仿宋_GB2312" w:eastAsia="仿宋_GB2312" w:cs="仿宋_GB2312"/>
              <w:b w:val="0"/>
              <w:bCs w:val="0"/>
              <w:szCs w:val="30"/>
            </w:rPr>
            <w:fldChar w:fldCharType="separate"/>
          </w:r>
          <w:r>
            <w:rPr>
              <w:rFonts w:hint="eastAsia" w:ascii="仿宋_GB2312" w:hAnsi="仿宋_GB2312" w:cs="仿宋_GB2312"/>
              <w:b w:val="0"/>
              <w:bCs w:val="0"/>
              <w:szCs w:val="30"/>
              <w:lang w:val="en-US" w:eastAsia="zh-CN"/>
            </w:rPr>
            <w:t>专家咨询意见</w:t>
          </w:r>
          <w:r>
            <w:rPr>
              <w:rFonts w:hint="eastAsia"/>
              <w:b w:val="0"/>
              <w:bCs w:val="0"/>
            </w:rPr>
            <w:t>:</w:t>
          </w:r>
          <w:r>
            <w:rPr>
              <w:b w:val="0"/>
              <w:bCs w:val="0"/>
            </w:rPr>
            <w:tab/>
          </w:r>
          <w:r>
            <w:rPr>
              <w:rFonts w:hint="eastAsia"/>
              <w:b w:val="0"/>
              <w:bCs w:val="0"/>
              <w:lang w:val="en-US" w:eastAsia="zh-CN"/>
            </w:rPr>
            <w:t>9</w:t>
          </w:r>
          <w:r>
            <w:rPr>
              <w:rFonts w:hint="eastAsia" w:ascii="仿宋_GB2312" w:hAnsi="仿宋_GB2312" w:eastAsia="仿宋_GB2312" w:cs="仿宋_GB2312"/>
              <w:b w:val="0"/>
              <w:bCs w:val="0"/>
              <w:color w:val="auto"/>
              <w:szCs w:val="30"/>
            </w:rPr>
            <w:fldChar w:fldCharType="end"/>
          </w:r>
          <w:r>
            <w:rPr>
              <w:rFonts w:hint="eastAsia" w:ascii="仿宋_GB2312" w:hAnsi="仿宋_GB2312" w:cs="仿宋_GB2312"/>
              <w:b w:val="0"/>
              <w:bCs w:val="0"/>
              <w:color w:val="auto"/>
              <w:szCs w:val="30"/>
              <w:lang w:val="en-US" w:eastAsia="zh-CN"/>
            </w:rPr>
            <w:t>0</w:t>
          </w:r>
        </w:p>
        <w:p w14:paraId="10714469">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0" w:firstLineChars="0"/>
            <w:rPr>
              <w:rFonts w:hint="eastAsia" w:ascii="仿宋_GB2312" w:hAnsi="仿宋_GB2312" w:eastAsia="仿宋_GB2312" w:cs="仿宋_GB2312"/>
              <w:color w:val="auto"/>
              <w:szCs w:val="30"/>
            </w:rPr>
          </w:pPr>
        </w:p>
        <w:p w14:paraId="55AEE869">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0" w:firstLineChars="0"/>
            <w:rPr>
              <w:rFonts w:hint="eastAsia" w:ascii="仿宋_GB2312" w:hAnsi="仿宋_GB2312" w:eastAsia="仿宋_GB2312" w:cs="仿宋_GB2312"/>
              <w:color w:val="auto"/>
              <w:szCs w:val="30"/>
            </w:rPr>
          </w:pPr>
        </w:p>
        <w:p w14:paraId="3EC2F162">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0" w:firstLineChars="0"/>
            <w:rPr>
              <w:rFonts w:hint="eastAsia" w:ascii="仿宋_GB2312" w:hAnsi="仿宋_GB2312" w:eastAsia="仿宋_GB2312" w:cs="仿宋_GB2312"/>
              <w:color w:val="auto"/>
              <w:szCs w:val="30"/>
            </w:rPr>
          </w:pPr>
        </w:p>
        <w:p w14:paraId="626FDD5B">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0" w:firstLineChars="0"/>
            <w:rPr>
              <w:rFonts w:hint="eastAsia" w:ascii="仿宋_GB2312" w:hAnsi="仿宋_GB2312" w:eastAsia="仿宋_GB2312" w:cs="仿宋_GB2312"/>
              <w:color w:val="auto"/>
            </w:rPr>
          </w:pPr>
        </w:p>
      </w:sdtContent>
    </w:sdt>
    <w:p w14:paraId="54DEC82A">
      <w:pPr>
        <w:pStyle w:val="2"/>
        <w:keepNext w:val="0"/>
        <w:keepLines w:val="0"/>
        <w:pageBreakBefore w:val="0"/>
        <w:widowControl w:val="0"/>
        <w:kinsoku/>
        <w:wordWrap/>
        <w:overflowPunct w:val="0"/>
        <w:topLinePunct w:val="0"/>
        <w:autoSpaceDE w:val="0"/>
        <w:autoSpaceDN w:val="0"/>
        <w:bidi w:val="0"/>
        <w:adjustRightInd w:val="0"/>
        <w:snapToGrid w:val="0"/>
        <w:rPr>
          <w:rFonts w:hint="eastAsia" w:ascii="黑体" w:hAnsi="黑体" w:eastAsia="黑体" w:cs="黑体"/>
          <w:color w:val="auto"/>
          <w:lang w:eastAsia="zh-CN"/>
        </w:rPr>
      </w:pPr>
      <w:bookmarkStart w:id="8" w:name="_Toc18948"/>
      <w:bookmarkStart w:id="9" w:name="_Toc13869"/>
      <w:r>
        <w:rPr>
          <w:rFonts w:hint="eastAsia" w:ascii="黑体" w:hAnsi="黑体" w:eastAsia="黑体" w:cs="黑体"/>
          <w:color w:val="auto"/>
          <w:lang w:eastAsia="zh-CN"/>
        </w:rPr>
        <w:t>前</w:t>
      </w:r>
      <w:r>
        <w:rPr>
          <w:rFonts w:hint="eastAsia" w:ascii="黑体" w:hAnsi="黑体" w:eastAsia="黑体" w:cs="黑体"/>
          <w:color w:val="auto"/>
          <w:lang w:val="en-US" w:eastAsia="zh-CN"/>
        </w:rPr>
        <w:t xml:space="preserve">    </w:t>
      </w:r>
      <w:r>
        <w:rPr>
          <w:rFonts w:hint="eastAsia" w:ascii="黑体" w:hAnsi="黑体" w:eastAsia="黑体" w:cs="黑体"/>
          <w:color w:val="auto"/>
          <w:lang w:eastAsia="zh-CN"/>
        </w:rPr>
        <w:t>言</w:t>
      </w:r>
      <w:bookmarkEnd w:id="4"/>
      <w:bookmarkEnd w:id="5"/>
      <w:bookmarkEnd w:id="6"/>
      <w:bookmarkEnd w:id="7"/>
      <w:bookmarkEnd w:id="8"/>
      <w:bookmarkEnd w:id="9"/>
    </w:p>
    <w:p w14:paraId="1BCAA93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实施国家水网重大工程，是党中央作出的重大决策部署。党的十九大报告提出要加强水利基础设施网络建设，十九届五中全会明确了“实施国家水网重大工程”的重大任务。习近平总书记在推进南水北调后续工程高质量发展座谈会上要求加快构建国家水网，中共中央、国务院印发了《国家水网建设规划纲要》。水利部将实施国家水网重大工程作为推动新阶段水利高质量发展的六大实施路径之一，要求协同推进国家、省、市、县四级水网建设。按照国家规划总体部署、</w:t>
      </w:r>
      <w:r>
        <w:rPr>
          <w:rFonts w:hint="eastAsia"/>
          <w:lang w:val="en-US" w:eastAsia="zh-CN"/>
        </w:rPr>
        <w:t>自治区及</w:t>
      </w:r>
      <w:r>
        <w:rPr>
          <w:rFonts w:hint="eastAsia"/>
          <w:lang w:eastAsia="zh-CN"/>
        </w:rPr>
        <w:t>水利厅关于开展县级水网规划相关工作</w:t>
      </w:r>
      <w:r>
        <w:rPr>
          <w:rFonts w:hint="eastAsia"/>
          <w:lang w:val="en-US" w:eastAsia="zh-CN"/>
        </w:rPr>
        <w:t>安排</w:t>
      </w:r>
      <w:r>
        <w:rPr>
          <w:rFonts w:hint="eastAsia"/>
          <w:lang w:eastAsia="zh-CN"/>
        </w:rPr>
        <w:t>，红寺堡区水务局编制了《吴忠市红寺堡区现代水网建设规划》（以下简称《规划》），固原市水利勘测设计院有限公司</w:t>
      </w:r>
      <w:r>
        <w:rPr>
          <w:rFonts w:hint="eastAsia"/>
          <w:lang w:val="en-US" w:eastAsia="zh-CN"/>
        </w:rPr>
        <w:t>为《规划》的技术协助单位</w:t>
      </w:r>
      <w:r>
        <w:rPr>
          <w:rFonts w:hint="eastAsia"/>
          <w:lang w:eastAsia="zh-CN"/>
        </w:rPr>
        <w:t>。</w:t>
      </w:r>
    </w:p>
    <w:p w14:paraId="56DCE31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红寺堡区政府高度重视《规划》的编制工作，由红寺堡区水务局成立了规划编制协调工作组，</w:t>
      </w:r>
      <w:r>
        <w:rPr>
          <w:rFonts w:hint="eastAsia"/>
          <w:lang w:val="en-US" w:eastAsia="zh-CN"/>
        </w:rPr>
        <w:t>并</w:t>
      </w:r>
      <w:r>
        <w:rPr>
          <w:rFonts w:hint="eastAsia"/>
          <w:lang w:eastAsia="zh-CN"/>
        </w:rPr>
        <w:t>立即成立了规划编制组，组织专家开展了规划编制</w:t>
      </w:r>
      <w:r>
        <w:rPr>
          <w:rFonts w:hint="eastAsia"/>
          <w:lang w:val="en-US" w:eastAsia="zh-CN"/>
        </w:rPr>
        <w:t>的</w:t>
      </w:r>
      <w:r>
        <w:rPr>
          <w:rFonts w:hint="eastAsia"/>
          <w:lang w:eastAsia="zh-CN"/>
        </w:rPr>
        <w:t>相关前期工作论证。规划编制组多次组织专家，就规划定位、总体思路、目标任务、建设重点等进行反复研究和深入分析，于2024年11月上旬编制完成了《规划》征求意见稿。</w:t>
      </w:r>
    </w:p>
    <w:p w14:paraId="02D7926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本次《规划》以习近平新时代中国特色社会主义思想为指导，坚持“节水优先、空间均衡、系统治理、两手发力”的治水思路，深入落实黄河流域生态保护和高质量发展重大国家战略，统筹发展和安全，坚持“四水四定”，强化水资源刚性约束制度，以《宁夏回族自治区水安全保障“十四五”规划》《宁夏现代水网建设规划》等顶层规划文件为依据。在调查分析红寺堡区水资源开发利用、防洪减灾、水生态保护与修复、智慧水利建设现状的基础上，坚持问题导向和目标导向，按照人水和谐理念，以优化水资源配置格局、完善流域防洪减灾体系等方面为重点，以构建“系统完备、安全可靠、集约高效、绿色智能，循环通畅、调控有序”的红寺堡现代水网为目标，提出了“</w:t>
      </w:r>
      <w:r>
        <w:rPr>
          <w:rFonts w:hint="eastAsia"/>
          <w:lang w:val="en-US" w:eastAsia="zh-CN"/>
        </w:rPr>
        <w:t>一横、三纵</w:t>
      </w:r>
      <w:r>
        <w:rPr>
          <w:rFonts w:hint="eastAsia"/>
          <w:lang w:eastAsia="zh-CN"/>
        </w:rPr>
        <w:t>”的现代水网布局，着力推动红寺堡区经济社会发展与水资源水环境承载能力相协调，保障经济社会长期平稳健康发展。</w:t>
      </w:r>
    </w:p>
    <w:p w14:paraId="2DDF847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Times New Roman" w:hAnsi="Times New Roman" w:eastAsia="仿宋_GB2312" w:cs="Arial"/>
          <w:b w:val="0"/>
          <w:snapToGrid w:val="0"/>
          <w:color w:val="000000"/>
          <w:kern w:val="0"/>
          <w:sz w:val="30"/>
          <w:szCs w:val="21"/>
          <w:lang w:val="en-US" w:eastAsia="zh-CN" w:bidi="ar-SA"/>
        </w:rPr>
        <w:sectPr>
          <w:headerReference r:id="rId5" w:type="default"/>
          <w:footerReference r:id="rId6" w:type="default"/>
          <w:pgSz w:w="11907" w:h="16839"/>
          <w:pgMar w:top="1440" w:right="1803" w:bottom="1440" w:left="1803" w:header="0" w:footer="986" w:gutter="0"/>
          <w:pgBorders>
            <w:top w:val="none" w:sz="0" w:space="0"/>
            <w:left w:val="none" w:sz="0" w:space="0"/>
            <w:bottom w:val="none" w:sz="0" w:space="0"/>
            <w:right w:val="none" w:sz="0" w:space="0"/>
          </w:pgBorders>
          <w:pgNumType w:fmt="decimal" w:start="1"/>
          <w:cols w:space="0" w:num="1"/>
        </w:sectPr>
      </w:pPr>
      <w:bookmarkStart w:id="10" w:name="_Toc11563"/>
      <w:bookmarkStart w:id="11" w:name="_Toc17011"/>
      <w:bookmarkStart w:id="12" w:name="_Toc13186"/>
      <w:bookmarkStart w:id="13" w:name="_Toc27928"/>
      <w:r>
        <w:rPr>
          <w:rFonts w:hint="eastAsia" w:ascii="Times New Roman" w:hAnsi="Times New Roman" w:eastAsia="仿宋_GB2312" w:cs="Arial"/>
          <w:b w:val="0"/>
          <w:snapToGrid w:val="0"/>
          <w:color w:val="000000"/>
          <w:kern w:val="0"/>
          <w:sz w:val="30"/>
          <w:szCs w:val="21"/>
          <w:lang w:val="en-US" w:eastAsia="zh-CN" w:bidi="ar-SA"/>
        </w:rPr>
        <w:t>《规划》在调查分析</w:t>
      </w:r>
      <w:r>
        <w:rPr>
          <w:rFonts w:hint="eastAsia" w:cs="Arial"/>
          <w:b w:val="0"/>
          <w:snapToGrid w:val="0"/>
          <w:color w:val="000000"/>
          <w:kern w:val="0"/>
          <w:sz w:val="30"/>
          <w:szCs w:val="21"/>
          <w:lang w:val="en-US" w:eastAsia="zh-CN" w:bidi="ar-SA"/>
        </w:rPr>
        <w:t>红寺堡区</w:t>
      </w:r>
      <w:r>
        <w:rPr>
          <w:rFonts w:hint="eastAsia" w:ascii="Times New Roman" w:hAnsi="Times New Roman" w:eastAsia="仿宋_GB2312" w:cs="Arial"/>
          <w:b w:val="0"/>
          <w:snapToGrid w:val="0"/>
          <w:color w:val="000000"/>
          <w:kern w:val="0"/>
          <w:sz w:val="30"/>
          <w:szCs w:val="21"/>
          <w:lang w:val="en-US" w:eastAsia="zh-CN" w:bidi="ar-SA"/>
        </w:rPr>
        <w:t>水资源开发利用、防洪减灾、</w:t>
      </w:r>
      <w:r>
        <w:rPr>
          <w:rFonts w:hint="eastAsia" w:cs="Arial"/>
          <w:b w:val="0"/>
          <w:snapToGrid w:val="0"/>
          <w:color w:val="000000"/>
          <w:kern w:val="0"/>
          <w:sz w:val="30"/>
          <w:szCs w:val="21"/>
          <w:lang w:val="en-US" w:eastAsia="zh-CN" w:bidi="ar-SA"/>
        </w:rPr>
        <w:t>城乡供水</w:t>
      </w:r>
      <w:r>
        <w:rPr>
          <w:rFonts w:hint="eastAsia" w:ascii="Times New Roman" w:hAnsi="Times New Roman" w:eastAsia="仿宋_GB2312" w:cs="Arial"/>
          <w:b w:val="0"/>
          <w:snapToGrid w:val="0"/>
          <w:color w:val="000000"/>
          <w:kern w:val="0"/>
          <w:sz w:val="30"/>
          <w:szCs w:val="21"/>
          <w:lang w:val="en-US" w:eastAsia="zh-CN" w:bidi="ar-SA"/>
        </w:rPr>
        <w:t>、</w:t>
      </w:r>
      <w:r>
        <w:rPr>
          <w:rFonts w:hint="eastAsia" w:cs="Arial"/>
          <w:b w:val="0"/>
          <w:snapToGrid w:val="0"/>
          <w:color w:val="000000"/>
          <w:kern w:val="0"/>
          <w:sz w:val="30"/>
          <w:szCs w:val="21"/>
          <w:lang w:val="en-US" w:eastAsia="zh-CN" w:bidi="ar-SA"/>
        </w:rPr>
        <w:t>灌溉排水</w:t>
      </w:r>
      <w:r>
        <w:rPr>
          <w:rFonts w:hint="eastAsia" w:ascii="Times New Roman" w:hAnsi="Times New Roman" w:eastAsia="仿宋_GB2312" w:cs="Arial"/>
          <w:b w:val="0"/>
          <w:snapToGrid w:val="0"/>
          <w:color w:val="000000"/>
          <w:kern w:val="0"/>
          <w:sz w:val="30"/>
          <w:szCs w:val="21"/>
          <w:lang w:val="en-US" w:eastAsia="zh-CN" w:bidi="ar-SA"/>
        </w:rPr>
        <w:t>、</w:t>
      </w:r>
      <w:r>
        <w:rPr>
          <w:rFonts w:hint="eastAsia" w:cs="Arial"/>
          <w:b w:val="0"/>
          <w:snapToGrid w:val="0"/>
          <w:color w:val="000000"/>
          <w:kern w:val="0"/>
          <w:sz w:val="30"/>
          <w:szCs w:val="21"/>
          <w:lang w:val="en-US" w:eastAsia="zh-CN" w:bidi="ar-SA"/>
        </w:rPr>
        <w:t>河湖生态</w:t>
      </w:r>
      <w:r>
        <w:rPr>
          <w:rFonts w:hint="eastAsia" w:ascii="Times New Roman" w:hAnsi="Times New Roman" w:eastAsia="仿宋_GB2312" w:cs="Arial"/>
          <w:b w:val="0"/>
          <w:snapToGrid w:val="0"/>
          <w:color w:val="000000"/>
          <w:kern w:val="0"/>
          <w:sz w:val="30"/>
          <w:szCs w:val="21"/>
          <w:lang w:val="en-US" w:eastAsia="zh-CN" w:bidi="ar-SA"/>
        </w:rPr>
        <w:t>、智慧水利建设现状的基础上，分析总结了水利改革发展中面临的形势和存在的主要问题，提出了“</w:t>
      </w:r>
      <w:r>
        <w:rPr>
          <w:rFonts w:hint="eastAsia" w:cs="Arial"/>
          <w:b w:val="0"/>
          <w:snapToGrid w:val="0"/>
          <w:color w:val="000000"/>
          <w:kern w:val="0"/>
          <w:sz w:val="30"/>
          <w:szCs w:val="21"/>
          <w:lang w:val="en-US" w:eastAsia="zh-CN" w:bidi="ar-SA"/>
        </w:rPr>
        <w:t>一横、三纵</w:t>
      </w:r>
      <w:r>
        <w:rPr>
          <w:rFonts w:hint="eastAsia" w:ascii="Times New Roman" w:hAnsi="Times New Roman" w:eastAsia="仿宋_GB2312" w:cs="Arial"/>
          <w:b w:val="0"/>
          <w:snapToGrid w:val="0"/>
          <w:color w:val="000000"/>
          <w:kern w:val="0"/>
          <w:sz w:val="30"/>
          <w:szCs w:val="21"/>
          <w:lang w:val="en-US" w:eastAsia="zh-CN" w:bidi="ar-SA"/>
        </w:rPr>
        <w:t>”的</w:t>
      </w:r>
      <w:r>
        <w:rPr>
          <w:rFonts w:hint="eastAsia" w:cs="Arial"/>
          <w:b w:val="0"/>
          <w:snapToGrid w:val="0"/>
          <w:color w:val="000000"/>
          <w:kern w:val="0"/>
          <w:sz w:val="30"/>
          <w:szCs w:val="21"/>
          <w:lang w:val="en-US" w:eastAsia="zh-CN" w:bidi="ar-SA"/>
        </w:rPr>
        <w:t>基本</w:t>
      </w:r>
      <w:r>
        <w:rPr>
          <w:rFonts w:hint="eastAsia" w:ascii="Times New Roman" w:hAnsi="Times New Roman" w:eastAsia="仿宋_GB2312" w:cs="Arial"/>
          <w:b w:val="0"/>
          <w:snapToGrid w:val="0"/>
          <w:color w:val="000000"/>
          <w:kern w:val="0"/>
          <w:sz w:val="30"/>
          <w:szCs w:val="21"/>
          <w:lang w:val="en-US" w:eastAsia="zh-CN" w:bidi="ar-SA"/>
        </w:rPr>
        <w:t>水网布局，推动经济社会发展与水资源水环境承载能力相协调，保障经济社会长期平稳健康发展。</w:t>
      </w:r>
    </w:p>
    <w:p w14:paraId="45C1DADE">
      <w:pPr>
        <w:pStyle w:val="2"/>
        <w:keepNext w:val="0"/>
        <w:keepLines w:val="0"/>
        <w:pageBreakBefore w:val="0"/>
        <w:widowControl w:val="0"/>
        <w:kinsoku/>
        <w:wordWrap/>
        <w:overflowPunct w:val="0"/>
        <w:topLinePunct w:val="0"/>
        <w:autoSpaceDE w:val="0"/>
        <w:autoSpaceDN w:val="0"/>
        <w:bidi w:val="0"/>
        <w:adjustRightInd w:val="0"/>
        <w:snapToGrid w:val="0"/>
        <w:rPr>
          <w:rFonts w:hint="eastAsia" w:ascii="黑体" w:hAnsi="黑体" w:eastAsia="黑体" w:cs="黑体"/>
          <w:color w:val="auto"/>
          <w:lang w:eastAsia="zh-CN"/>
        </w:rPr>
      </w:pPr>
      <w:bookmarkStart w:id="14" w:name="_Toc21271"/>
      <w:r>
        <w:rPr>
          <w:rFonts w:hint="eastAsia" w:ascii="黑体" w:hAnsi="黑体" w:eastAsia="黑体" w:cs="黑体"/>
          <w:color w:val="auto"/>
          <w:lang w:eastAsia="zh-CN"/>
        </w:rPr>
        <w:t>第一章</w:t>
      </w:r>
      <w:r>
        <w:rPr>
          <w:rFonts w:hint="eastAsia" w:ascii="黑体" w:hAnsi="黑体" w:cs="黑体"/>
          <w:color w:val="auto"/>
          <w:lang w:val="en-US" w:eastAsia="zh-CN"/>
        </w:rPr>
        <w:t xml:space="preserve">  </w:t>
      </w:r>
      <w:r>
        <w:rPr>
          <w:rFonts w:hint="eastAsia" w:ascii="黑体" w:hAnsi="黑体" w:eastAsia="黑体" w:cs="黑体"/>
          <w:color w:val="auto"/>
          <w:lang w:eastAsia="zh-CN"/>
        </w:rPr>
        <w:t>建设基础与面临形势</w:t>
      </w:r>
      <w:bookmarkEnd w:id="10"/>
      <w:bookmarkEnd w:id="11"/>
      <w:bookmarkEnd w:id="12"/>
      <w:bookmarkEnd w:id="13"/>
      <w:bookmarkEnd w:id="14"/>
    </w:p>
    <w:p w14:paraId="2814E3CA">
      <w:pPr>
        <w:pStyle w:val="3"/>
        <w:keepNext w:val="0"/>
        <w:keepLines w:val="0"/>
        <w:pageBreakBefore w:val="0"/>
        <w:widowControl w:val="0"/>
        <w:numPr>
          <w:ilvl w:val="0"/>
          <w:numId w:val="1"/>
        </w:numPr>
        <w:kinsoku/>
        <w:wordWrap/>
        <w:overflowPunct w:val="0"/>
        <w:topLinePunct w:val="0"/>
        <w:autoSpaceDE w:val="0"/>
        <w:autoSpaceDN w:val="0"/>
        <w:bidi w:val="0"/>
        <w:adjustRightInd w:val="0"/>
        <w:snapToGrid w:val="0"/>
        <w:rPr>
          <w:rFonts w:hint="default"/>
          <w:lang w:val="en-US" w:eastAsia="zh-CN"/>
        </w:rPr>
      </w:pPr>
      <w:bookmarkStart w:id="15" w:name="_Toc5995"/>
      <w:r>
        <w:rPr>
          <w:rFonts w:hint="eastAsia"/>
          <w:lang w:val="en-US" w:eastAsia="zh-CN"/>
        </w:rPr>
        <w:t xml:space="preserve">  经济社会基本情况</w:t>
      </w:r>
      <w:bookmarkEnd w:id="15"/>
    </w:p>
    <w:p w14:paraId="3FDE3993">
      <w:pPr>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0" w:firstLineChars="200"/>
        <w:jc w:val="both"/>
        <w:textAlignment w:val="baseline"/>
        <w:rPr>
          <w:rFonts w:hint="default"/>
          <w:color w:val="auto"/>
          <w:lang w:val="en-US" w:eastAsia="zh-CN"/>
        </w:rPr>
      </w:pPr>
      <w:r>
        <w:rPr>
          <w:rFonts w:hint="default"/>
          <w:color w:val="auto"/>
          <w:lang w:val="en-US" w:eastAsia="zh-CN"/>
        </w:rPr>
        <w:t>红寺堡区位于宁夏中部腹地，</w:t>
      </w:r>
      <w:r>
        <w:rPr>
          <w:rFonts w:hint="eastAsia"/>
          <w:color w:val="auto"/>
          <w:lang w:val="en-US" w:eastAsia="zh-CN"/>
        </w:rPr>
        <w:t>隶属于吴忠市，</w:t>
      </w:r>
      <w:r>
        <w:rPr>
          <w:rFonts w:hint="default"/>
          <w:color w:val="auto"/>
          <w:lang w:val="en-US" w:eastAsia="zh-CN"/>
        </w:rPr>
        <w:t>是宁夏扶贫扬黄灌溉工程（“1236”工程）的主战场，也是全国最大的易地搬迁移民集中安置区</w:t>
      </w:r>
      <w:r>
        <w:rPr>
          <w:rFonts w:hint="eastAsia"/>
          <w:color w:val="auto"/>
          <w:lang w:val="en-US" w:eastAsia="zh-CN"/>
        </w:rPr>
        <w:t>。</w:t>
      </w:r>
      <w:r>
        <w:rPr>
          <w:rFonts w:hint="default"/>
          <w:color w:val="auto"/>
          <w:lang w:val="en-US" w:eastAsia="zh-CN"/>
        </w:rPr>
        <w:t>区域面积2767</w:t>
      </w:r>
      <w:r>
        <w:rPr>
          <w:rFonts w:hint="eastAsia"/>
          <w:color w:val="auto"/>
          <w:lang w:val="en-US" w:eastAsia="zh-CN"/>
        </w:rPr>
        <w:t>km</w:t>
      </w:r>
      <w:r>
        <w:rPr>
          <w:rFonts w:hint="eastAsia"/>
          <w:color w:val="auto"/>
          <w:vertAlign w:val="superscript"/>
          <w:lang w:val="en-US" w:eastAsia="zh-CN"/>
        </w:rPr>
        <w:t>2</w:t>
      </w:r>
      <w:r>
        <w:rPr>
          <w:rFonts w:hint="eastAsia"/>
          <w:color w:val="auto"/>
          <w:vertAlign w:val="baseline"/>
          <w:lang w:val="en-US" w:eastAsia="zh-CN"/>
        </w:rPr>
        <w:t>，</w:t>
      </w:r>
      <w:r>
        <w:rPr>
          <w:rFonts w:hint="default"/>
          <w:color w:val="auto"/>
          <w:lang w:val="en-US" w:eastAsia="zh-CN"/>
        </w:rPr>
        <w:t>现辖2镇3乡1街道65个行政村10个社区，</w:t>
      </w:r>
      <w:r>
        <w:rPr>
          <w:rFonts w:hint="eastAsia"/>
          <w:color w:val="auto"/>
          <w:lang w:val="en-US" w:eastAsia="zh-CN"/>
        </w:rPr>
        <w:t>总人口20.36万人。</w:t>
      </w:r>
      <w:r>
        <w:rPr>
          <w:rFonts w:hint="default"/>
          <w:color w:val="auto"/>
          <w:lang w:val="en-US" w:eastAsia="zh-CN"/>
        </w:rPr>
        <w:t>地势南高北低，平均海拔1240米～1450米，属典型的温带大陆性气候，常年干旱少雨，昼夜温差大。多年平均降水量251毫米，年平均蒸发量2387毫米</w:t>
      </w:r>
      <w:r>
        <w:rPr>
          <w:rFonts w:hint="eastAsia"/>
          <w:color w:val="auto"/>
          <w:lang w:val="en-US" w:eastAsia="zh-CN"/>
        </w:rPr>
        <w:t>。红寺堡区</w:t>
      </w:r>
      <w:r>
        <w:rPr>
          <w:rFonts w:hint="default"/>
          <w:color w:val="auto"/>
          <w:lang w:val="en-US" w:eastAsia="zh-CN"/>
        </w:rPr>
        <w:t>大力发展“六新六特六优”产业，先后被评为全国食品安全示范基地、中国葡萄酒第一镇、中国富硒黄花菜明星产区。2023年全区实现地区生产总值</w:t>
      </w:r>
      <w:r>
        <w:rPr>
          <w:rFonts w:hint="eastAsia"/>
          <w:color w:val="auto"/>
          <w:lang w:val="en-US" w:eastAsia="zh-CN"/>
        </w:rPr>
        <w:t>115.5</w:t>
      </w:r>
      <w:r>
        <w:rPr>
          <w:rFonts w:hint="default"/>
          <w:color w:val="auto"/>
          <w:lang w:val="en-US" w:eastAsia="zh-CN"/>
        </w:rPr>
        <w:t>亿元</w:t>
      </w:r>
      <w:r>
        <w:rPr>
          <w:rFonts w:hint="eastAsia"/>
          <w:color w:val="auto"/>
          <w:lang w:val="en-US" w:eastAsia="zh-CN"/>
        </w:rPr>
        <w:t>，</w:t>
      </w:r>
      <w:r>
        <w:rPr>
          <w:rFonts w:hint="default"/>
          <w:color w:val="auto"/>
          <w:lang w:val="en-US" w:eastAsia="zh-CN"/>
        </w:rPr>
        <w:t>城镇居民人均可支配收入30330元，农村居民人均可支配收入14107元。</w:t>
      </w:r>
    </w:p>
    <w:p w14:paraId="08D715B7">
      <w:pPr>
        <w:pStyle w:val="3"/>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0" w:firstLineChars="0"/>
        <w:rPr>
          <w:rFonts w:hint="eastAsia" w:ascii="黑体" w:hAnsi="黑体" w:cs="黑体"/>
          <w:color w:val="auto"/>
          <w:lang w:val="en-US" w:eastAsia="zh-CN"/>
        </w:rPr>
      </w:pPr>
      <w:bookmarkStart w:id="16" w:name="_Toc16823"/>
      <w:r>
        <w:rPr>
          <w:rFonts w:hint="eastAsia" w:ascii="黑体" w:hAnsi="黑体" w:eastAsia="黑体" w:cs="黑体"/>
          <w:b/>
          <w:snapToGrid w:val="0"/>
          <w:color w:val="auto"/>
          <w:sz w:val="32"/>
          <w:szCs w:val="21"/>
          <w:lang w:val="en-US" w:eastAsia="zh-CN" w:bidi="ar-SA"/>
        </w:rPr>
        <w:t>第</w:t>
      </w:r>
      <w:r>
        <w:rPr>
          <w:rFonts w:hint="eastAsia" w:ascii="黑体" w:hAnsi="黑体" w:cs="黑体"/>
          <w:b/>
          <w:snapToGrid w:val="0"/>
          <w:color w:val="auto"/>
          <w:sz w:val="32"/>
          <w:szCs w:val="21"/>
          <w:lang w:val="en-US" w:eastAsia="zh-CN" w:bidi="ar-SA"/>
        </w:rPr>
        <w:t>二</w:t>
      </w:r>
      <w:r>
        <w:rPr>
          <w:rFonts w:hint="eastAsia" w:ascii="黑体" w:hAnsi="黑体" w:eastAsia="黑体" w:cs="黑体"/>
          <w:b/>
          <w:snapToGrid w:val="0"/>
          <w:color w:val="auto"/>
          <w:sz w:val="32"/>
          <w:szCs w:val="21"/>
          <w:lang w:val="en-US" w:eastAsia="zh-CN" w:bidi="ar-SA"/>
        </w:rPr>
        <w:t>节</w:t>
      </w:r>
      <w:r>
        <w:rPr>
          <w:rFonts w:hint="eastAsia" w:ascii="黑体" w:hAnsi="黑体" w:cs="黑体"/>
          <w:b/>
          <w:snapToGrid w:val="0"/>
          <w:color w:val="auto"/>
          <w:sz w:val="32"/>
          <w:szCs w:val="21"/>
          <w:lang w:val="en-US" w:eastAsia="zh-CN" w:bidi="ar-SA"/>
        </w:rPr>
        <w:t xml:space="preserve"> </w:t>
      </w:r>
      <w:r>
        <w:rPr>
          <w:rFonts w:hint="eastAsia" w:ascii="黑体" w:hAnsi="黑体" w:cs="黑体"/>
          <w:color w:val="auto"/>
          <w:lang w:val="en-US" w:eastAsia="zh-CN"/>
        </w:rPr>
        <w:t xml:space="preserve"> 水情特点</w:t>
      </w:r>
      <w:bookmarkEnd w:id="16"/>
    </w:p>
    <w:p w14:paraId="55E0513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eastAsia="zh-CN"/>
        </w:rPr>
        <w:t>红寺堡区位于宁夏中部</w:t>
      </w:r>
      <w:r>
        <w:rPr>
          <w:rFonts w:hint="eastAsia"/>
          <w:lang w:val="en-US" w:eastAsia="zh-CN"/>
        </w:rPr>
        <w:t>干旱带</w:t>
      </w:r>
      <w:r>
        <w:rPr>
          <w:rFonts w:hint="eastAsia"/>
          <w:lang w:eastAsia="zh-CN"/>
        </w:rPr>
        <w:t>，</w:t>
      </w:r>
      <w:r>
        <w:rPr>
          <w:rFonts w:hint="eastAsia"/>
          <w:lang w:val="en-US" w:eastAsia="zh-CN"/>
        </w:rPr>
        <w:t>降雨稀少，当地天然水资源禀赋差，环罗山分布的众多天然山洪沟道均为季节性河流，清水河、苦水河、红柳沟等几条主要河流及湖泊湿地的水质矿化度高，可开发利用难度大，资源型缺水问题突出。</w:t>
      </w:r>
    </w:p>
    <w:p w14:paraId="67D5C30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b/>
          <w:bCs/>
          <w:color w:val="auto"/>
          <w:lang w:eastAsia="zh-CN"/>
        </w:rPr>
      </w:pPr>
      <w:r>
        <w:rPr>
          <w:rFonts w:hint="eastAsia" w:ascii="仿宋_GB2312" w:hAnsi="仿宋_GB2312" w:cs="仿宋_GB2312"/>
          <w:b/>
          <w:bCs/>
          <w:color w:val="auto"/>
          <w:lang w:val="en-US" w:eastAsia="zh-CN"/>
        </w:rPr>
        <w:t>（一）自然河湖</w:t>
      </w:r>
      <w:r>
        <w:rPr>
          <w:rFonts w:hint="eastAsia" w:ascii="仿宋_GB2312" w:hAnsi="仿宋_GB2312" w:eastAsia="仿宋_GB2312" w:cs="仿宋_GB2312"/>
          <w:b/>
          <w:bCs/>
          <w:color w:val="auto"/>
          <w:lang w:eastAsia="zh-CN"/>
        </w:rPr>
        <w:t>水系</w:t>
      </w:r>
    </w:p>
    <w:p w14:paraId="42947BC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红寺堡区</w:t>
      </w:r>
      <w:r>
        <w:rPr>
          <w:rFonts w:hint="eastAsia"/>
          <w:lang w:val="en-US" w:eastAsia="zh-CN"/>
        </w:rPr>
        <w:t>内自然河湖水系主要有</w:t>
      </w:r>
      <w:r>
        <w:rPr>
          <w:rFonts w:hint="eastAsia"/>
          <w:lang w:eastAsia="zh-CN"/>
        </w:rPr>
        <w:t>清水河、苦水河、红柳沟</w:t>
      </w:r>
      <w:r>
        <w:rPr>
          <w:rFonts w:hint="eastAsia"/>
          <w:lang w:val="en-US" w:eastAsia="zh-CN"/>
        </w:rPr>
        <w:t>及环罗山分布的众多天然山洪沟道，以上河流水系</w:t>
      </w:r>
      <w:r>
        <w:rPr>
          <w:rFonts w:hint="eastAsia"/>
          <w:lang w:eastAsia="zh-CN"/>
        </w:rPr>
        <w:t>构成了红寺堡区防洪排涝</w:t>
      </w:r>
      <w:r>
        <w:rPr>
          <w:rFonts w:hint="eastAsia"/>
          <w:lang w:val="en-US" w:eastAsia="zh-CN"/>
        </w:rPr>
        <w:t>天然</w:t>
      </w:r>
      <w:r>
        <w:rPr>
          <w:rFonts w:hint="eastAsia"/>
          <w:lang w:eastAsia="zh-CN"/>
        </w:rPr>
        <w:t>水网体系，兼具</w:t>
      </w:r>
      <w:r>
        <w:rPr>
          <w:rFonts w:hint="eastAsia"/>
          <w:lang w:val="en-US" w:eastAsia="zh-CN"/>
        </w:rPr>
        <w:t>农业生产</w:t>
      </w:r>
      <w:r>
        <w:rPr>
          <w:rFonts w:hint="eastAsia"/>
          <w:lang w:eastAsia="zh-CN"/>
        </w:rPr>
        <w:t>的排涝排渍及生态功能。</w:t>
      </w:r>
    </w:p>
    <w:p w14:paraId="3FD126EF">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both"/>
        <w:textAlignment w:val="baseline"/>
        <w:rPr>
          <w:rFonts w:hint="default"/>
          <w:color w:val="00B0F0"/>
          <w:lang w:val="en-US" w:eastAsia="zh-CN"/>
        </w:rPr>
      </w:pPr>
    </w:p>
    <w:p w14:paraId="182DD2B6">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lang w:eastAsia="zh-CN"/>
        </w:rPr>
        <w:t>清水河</w:t>
      </w:r>
      <w:r>
        <w:rPr>
          <w:rFonts w:hint="eastAsia" w:ascii="仿宋_GB2312" w:hAnsi="仿宋_GB2312" w:eastAsia="仿宋_GB2312" w:cs="仿宋_GB2312"/>
          <w:color w:val="auto"/>
          <w:lang w:eastAsia="zh-CN"/>
        </w:rPr>
        <w:t>：</w:t>
      </w:r>
      <w:r>
        <w:rPr>
          <w:rFonts w:hint="eastAsia" w:ascii="仿宋_GB2312" w:hAnsi="仿宋_GB2312" w:cs="仿宋_GB2312"/>
          <w:color w:val="auto"/>
          <w:lang w:val="en-US" w:eastAsia="zh-CN"/>
        </w:rPr>
        <w:t>为</w:t>
      </w:r>
      <w:r>
        <w:rPr>
          <w:rFonts w:hint="eastAsia" w:ascii="仿宋_GB2312" w:hAnsi="仿宋_GB2312" w:eastAsia="仿宋_GB2312" w:cs="仿宋_GB2312"/>
          <w:color w:val="auto"/>
          <w:lang w:eastAsia="zh-CN"/>
        </w:rPr>
        <w:t>黄河</w:t>
      </w:r>
      <w:r>
        <w:rPr>
          <w:rFonts w:hint="eastAsia" w:ascii="仿宋_GB2312" w:hAnsi="仿宋_GB2312" w:cs="仿宋_GB2312"/>
          <w:color w:val="auto"/>
          <w:lang w:val="en-US" w:eastAsia="zh-CN"/>
        </w:rPr>
        <w:t>一级</w:t>
      </w:r>
      <w:r>
        <w:rPr>
          <w:rFonts w:hint="eastAsia" w:ascii="仿宋_GB2312" w:hAnsi="仿宋_GB2312" w:eastAsia="仿宋_GB2312" w:cs="仿宋_GB2312"/>
          <w:color w:val="auto"/>
          <w:lang w:eastAsia="zh-CN"/>
        </w:rPr>
        <w:t>支流</w:t>
      </w:r>
      <w:r>
        <w:rPr>
          <w:rFonts w:hint="eastAsia" w:ascii="仿宋_GB2312" w:hAnsi="仿宋_GB2312" w:cs="仿宋_GB2312"/>
          <w:color w:val="auto"/>
          <w:lang w:eastAsia="zh-CN"/>
        </w:rPr>
        <w:t>，</w:t>
      </w:r>
      <w:r>
        <w:rPr>
          <w:rFonts w:hint="eastAsia" w:ascii="仿宋_GB2312" w:hAnsi="仿宋_GB2312" w:eastAsia="仿宋_GB2312" w:cs="仿宋_GB2312"/>
          <w:color w:val="auto"/>
          <w:lang w:eastAsia="zh-CN"/>
        </w:rPr>
        <w:t>是宁夏境内流入黄河最大、最长的支流。发源于六盘山东麓固原市原州区开城镇境内的黑刺沟脑，向北流经</w:t>
      </w:r>
      <w:r>
        <w:rPr>
          <w:rFonts w:hint="eastAsia" w:ascii="仿宋_GB2312" w:hAnsi="仿宋_GB2312" w:cs="仿宋_GB2312"/>
          <w:color w:val="auto"/>
          <w:lang w:val="en-US" w:eastAsia="zh-CN"/>
        </w:rPr>
        <w:t>原州区</w:t>
      </w:r>
      <w:r>
        <w:rPr>
          <w:rFonts w:hint="eastAsia" w:ascii="仿宋_GB2312" w:hAnsi="仿宋_GB2312" w:eastAsia="仿宋_GB2312" w:cs="仿宋_GB2312"/>
          <w:color w:val="auto"/>
          <w:lang w:eastAsia="zh-CN"/>
        </w:rPr>
        <w:t>、海原、同心、中宁等县</w:t>
      </w:r>
      <w:r>
        <w:rPr>
          <w:rFonts w:hint="eastAsia" w:ascii="仿宋_GB2312" w:hAnsi="仿宋_GB2312" w:cs="仿宋_GB2312"/>
          <w:color w:val="auto"/>
          <w:lang w:val="en-US" w:eastAsia="zh-CN"/>
        </w:rPr>
        <w:t>区</w:t>
      </w:r>
      <w:r>
        <w:rPr>
          <w:rFonts w:hint="eastAsia" w:ascii="仿宋_GB2312" w:hAnsi="仿宋_GB2312" w:eastAsia="仿宋_GB2312" w:cs="仿宋_GB2312"/>
          <w:color w:val="auto"/>
          <w:lang w:eastAsia="zh-CN"/>
        </w:rPr>
        <w:t>，在中</w:t>
      </w:r>
      <w:r>
        <w:rPr>
          <w:rFonts w:hint="eastAsia" w:ascii="仿宋_GB2312" w:hAnsi="仿宋_GB2312" w:cs="仿宋_GB2312"/>
          <w:color w:val="auto"/>
          <w:lang w:val="en-US" w:eastAsia="zh-CN"/>
        </w:rPr>
        <w:t>宁</w:t>
      </w:r>
      <w:r>
        <w:rPr>
          <w:rFonts w:hint="eastAsia" w:ascii="仿宋_GB2312" w:hAnsi="仿宋_GB2312" w:eastAsia="仿宋_GB2312" w:cs="仿宋_GB2312"/>
          <w:color w:val="auto"/>
          <w:lang w:eastAsia="zh-CN"/>
        </w:rPr>
        <w:t>的泉眼山西侧注入黄河，长303公里，流域面积8499.6km</w:t>
      </w:r>
      <w:r>
        <w:rPr>
          <w:rFonts w:hint="eastAsia" w:ascii="方正仿宋_GB2312" w:hAnsi="方正仿宋_GB2312" w:eastAsia="方正仿宋_GB2312" w:cs="方正仿宋_GB2312"/>
          <w:color w:val="auto"/>
          <w:vertAlign w:val="superscript"/>
          <w:lang w:eastAsia="zh-CN"/>
        </w:rPr>
        <w:t>2</w:t>
      </w:r>
      <w:r>
        <w:rPr>
          <w:rFonts w:hint="eastAsia" w:ascii="仿宋_GB2312" w:hAnsi="仿宋_GB2312" w:eastAsia="仿宋_GB2312" w:cs="仿宋_GB2312"/>
          <w:color w:val="auto"/>
          <w:lang w:eastAsia="zh-CN"/>
        </w:rPr>
        <w:t>，年平均径流量1.65亿立方米。</w:t>
      </w:r>
      <w:r>
        <w:rPr>
          <w:rFonts w:hint="eastAsia" w:ascii="仿宋_GB2312" w:hAnsi="仿宋_GB2312" w:eastAsia="仿宋_GB2312" w:cs="仿宋_GB2312"/>
          <w:color w:val="auto"/>
          <w:lang w:val="en-US" w:eastAsia="zh-CN"/>
        </w:rPr>
        <w:t>红寺堡区境内清水河起始于石炭沟村，终止于石坡子村，红寺堡境内全长21.59Km</w:t>
      </w:r>
      <w:r>
        <w:rPr>
          <w:rFonts w:hint="eastAsia" w:ascii="仿宋_GB2312" w:hAnsi="仿宋_GB2312" w:cs="仿宋_GB2312"/>
          <w:color w:val="auto"/>
          <w:lang w:val="en-US" w:eastAsia="zh-CN"/>
        </w:rPr>
        <w:t>，</w:t>
      </w:r>
      <w:r>
        <w:rPr>
          <w:rFonts w:hint="eastAsia" w:ascii="仿宋_GB2312" w:hAnsi="仿宋_GB2312" w:eastAsia="仿宋_GB2312" w:cs="仿宋_GB2312"/>
          <w:color w:val="auto"/>
          <w:lang w:val="en-US" w:eastAsia="zh-CN"/>
        </w:rPr>
        <w:t>流域面积</w:t>
      </w:r>
      <w:r>
        <w:rPr>
          <w:rFonts w:hint="eastAsia" w:ascii="仿宋_GB2312" w:hAnsi="仿宋_GB2312" w:cs="仿宋_GB2312"/>
          <w:color w:val="auto"/>
          <w:lang w:val="en-US" w:eastAsia="zh-CN"/>
        </w:rPr>
        <w:t>308</w:t>
      </w:r>
      <w:r>
        <w:rPr>
          <w:rFonts w:hint="eastAsia" w:ascii="仿宋_GB2312" w:hAnsi="仿宋_GB2312" w:eastAsia="仿宋_GB2312" w:cs="仿宋_GB2312"/>
          <w:color w:val="auto"/>
          <w:lang w:eastAsia="zh-CN"/>
        </w:rPr>
        <w:t>km</w:t>
      </w:r>
      <w:r>
        <w:rPr>
          <w:rFonts w:hint="eastAsia" w:ascii="方正仿宋_GB2312" w:hAnsi="方正仿宋_GB2312" w:eastAsia="方正仿宋_GB2312" w:cs="方正仿宋_GB2312"/>
          <w:color w:val="auto"/>
          <w:vertAlign w:val="superscript"/>
          <w:lang w:eastAsia="zh-CN"/>
        </w:rPr>
        <w:t>2</w:t>
      </w:r>
      <w:r>
        <w:rPr>
          <w:rFonts w:hint="eastAsia" w:ascii="仿宋_GB2312" w:hAnsi="仿宋_GB2312" w:eastAsia="仿宋_GB2312" w:cs="仿宋_GB2312"/>
          <w:color w:val="auto"/>
          <w:lang w:eastAsia="zh-CN"/>
        </w:rPr>
        <w:t>。</w:t>
      </w:r>
    </w:p>
    <w:p w14:paraId="6D7926D3">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苦水河：</w:t>
      </w:r>
      <w:r>
        <w:rPr>
          <w:rFonts w:hint="eastAsia" w:ascii="仿宋_GB2312" w:hAnsi="仿宋_GB2312" w:eastAsia="仿宋_GB2312" w:cs="仿宋_GB2312"/>
          <w:color w:val="auto"/>
          <w:lang w:eastAsia="zh-CN"/>
        </w:rPr>
        <w:t>为黄河一级支流，红寺堡区</w:t>
      </w:r>
      <w:r>
        <w:rPr>
          <w:rFonts w:hint="eastAsia" w:ascii="仿宋_GB2312" w:hAnsi="仿宋_GB2312" w:cs="仿宋_GB2312"/>
          <w:color w:val="auto"/>
          <w:lang w:val="en-US" w:eastAsia="zh-CN"/>
        </w:rPr>
        <w:t>境内</w:t>
      </w:r>
      <w:r>
        <w:rPr>
          <w:rFonts w:hint="eastAsia" w:ascii="仿宋_GB2312" w:hAnsi="仿宋_GB2312" w:eastAsia="仿宋_GB2312" w:cs="仿宋_GB2312"/>
          <w:color w:val="auto"/>
          <w:lang w:eastAsia="zh-CN"/>
        </w:rPr>
        <w:t>第二大河流，发源于甘肃省环县花石山一带的沙坡子沟脑，由宁夏盐池县萌城乡入境，流经盐池、同心、</w:t>
      </w:r>
      <w:r>
        <w:rPr>
          <w:rFonts w:hint="eastAsia" w:ascii="仿宋_GB2312" w:hAnsi="仿宋_GB2312" w:cs="仿宋_GB2312"/>
          <w:color w:val="auto"/>
          <w:lang w:val="en-US" w:eastAsia="zh-CN"/>
        </w:rPr>
        <w:t>红寺堡区</w:t>
      </w:r>
      <w:r>
        <w:rPr>
          <w:rFonts w:hint="eastAsia" w:ascii="仿宋_GB2312" w:hAnsi="仿宋_GB2312" w:eastAsia="仿宋_GB2312" w:cs="仿宋_GB2312"/>
          <w:color w:val="auto"/>
          <w:lang w:eastAsia="zh-CN"/>
        </w:rPr>
        <w:t>、</w:t>
      </w:r>
      <w:r>
        <w:rPr>
          <w:rFonts w:hint="eastAsia" w:ascii="仿宋_GB2312" w:hAnsi="仿宋_GB2312" w:cs="仿宋_GB2312"/>
          <w:color w:val="auto"/>
          <w:lang w:val="en-US" w:eastAsia="zh-CN"/>
        </w:rPr>
        <w:t>利通区</w:t>
      </w:r>
      <w:r>
        <w:rPr>
          <w:rFonts w:hint="eastAsia" w:ascii="仿宋_GB2312" w:hAnsi="仿宋_GB2312" w:eastAsia="仿宋_GB2312" w:cs="仿宋_GB2312"/>
          <w:color w:val="auto"/>
          <w:lang w:eastAsia="zh-CN"/>
        </w:rPr>
        <w:t>及灵武市，于灵武市新华桥镇汇入黄河。流域面积5218km</w:t>
      </w:r>
      <w:r>
        <w:rPr>
          <w:rFonts w:hint="eastAsia" w:ascii="方正仿宋_GB2312" w:hAnsi="方正仿宋_GB2312" w:eastAsia="方正仿宋_GB2312" w:cs="方正仿宋_GB2312"/>
          <w:color w:val="auto"/>
          <w:vertAlign w:val="superscript"/>
          <w:lang w:eastAsia="zh-CN"/>
        </w:rPr>
        <w:t>2</w:t>
      </w:r>
      <w:r>
        <w:rPr>
          <w:rFonts w:hint="eastAsia" w:ascii="仿宋_GB2312" w:hAnsi="仿宋_GB2312" w:eastAsia="仿宋_GB2312" w:cs="仿宋_GB2312"/>
          <w:color w:val="auto"/>
          <w:lang w:eastAsia="zh-CN"/>
        </w:rPr>
        <w:t>（宁夏境内4942km</w:t>
      </w:r>
      <w:r>
        <w:rPr>
          <w:rFonts w:hint="eastAsia" w:ascii="方正仿宋_GB2312" w:hAnsi="方正仿宋_GB2312" w:eastAsia="方正仿宋_GB2312" w:cs="方正仿宋_GB2312"/>
          <w:color w:val="auto"/>
          <w:vertAlign w:val="superscript"/>
          <w:lang w:eastAsia="zh-CN"/>
        </w:rPr>
        <w:t>2</w:t>
      </w:r>
      <w:r>
        <w:rPr>
          <w:rFonts w:hint="eastAsia" w:ascii="仿宋_GB2312" w:hAnsi="仿宋_GB2312" w:eastAsia="仿宋_GB2312" w:cs="仿宋_GB2312"/>
          <w:color w:val="auto"/>
          <w:lang w:eastAsia="zh-CN"/>
        </w:rPr>
        <w:t>，占全流域面积的94.7％），全长224km</w:t>
      </w:r>
      <w:r>
        <w:rPr>
          <w:rFonts w:hint="eastAsia" w:ascii="仿宋_GB2312" w:hAnsi="仿宋_GB2312" w:cs="仿宋_GB2312"/>
          <w:color w:val="auto"/>
          <w:lang w:eastAsia="zh-CN"/>
        </w:rPr>
        <w:t>，</w:t>
      </w:r>
      <w:r>
        <w:rPr>
          <w:rFonts w:hint="eastAsia" w:ascii="仿宋_GB2312" w:hAnsi="仿宋_GB2312" w:eastAsia="仿宋_GB2312" w:cs="仿宋_GB2312"/>
          <w:color w:val="auto"/>
          <w:lang w:eastAsia="zh-CN"/>
        </w:rPr>
        <w:t>年径流量</w:t>
      </w:r>
      <w:r>
        <w:rPr>
          <w:rFonts w:hint="eastAsia" w:ascii="仿宋_GB2312" w:hAnsi="仿宋_GB2312" w:cs="仿宋_GB2312"/>
          <w:color w:val="auto"/>
          <w:lang w:val="en-US" w:eastAsia="zh-CN"/>
        </w:rPr>
        <w:t>1550</w:t>
      </w:r>
      <w:r>
        <w:rPr>
          <w:rFonts w:hint="eastAsia" w:ascii="仿宋_GB2312" w:hAnsi="仿宋_GB2312" w:eastAsia="仿宋_GB2312" w:cs="仿宋_GB2312"/>
          <w:color w:val="auto"/>
          <w:lang w:eastAsia="zh-CN"/>
        </w:rPr>
        <w:t>万立方米,</w:t>
      </w:r>
      <w:r>
        <w:rPr>
          <w:rFonts w:hint="eastAsia" w:ascii="仿宋_GB2312" w:hAnsi="仿宋_GB2312" w:cs="仿宋_GB2312"/>
          <w:color w:val="auto"/>
          <w:lang w:eastAsia="zh-CN"/>
        </w:rPr>
        <w:t>，</w:t>
      </w:r>
      <w:r>
        <w:rPr>
          <w:rFonts w:hint="eastAsia" w:ascii="仿宋_GB2312" w:hAnsi="仿宋_GB2312" w:eastAsia="仿宋_GB2312" w:cs="仿宋_GB2312"/>
          <w:color w:val="auto"/>
          <w:lang w:eastAsia="zh-CN"/>
        </w:rPr>
        <w:t>其中红寺堡区境内河长</w:t>
      </w:r>
      <w:r>
        <w:rPr>
          <w:rFonts w:hint="eastAsia" w:ascii="仿宋_GB2312" w:hAnsi="仿宋_GB2312" w:cs="仿宋_GB2312"/>
          <w:color w:val="auto"/>
          <w:lang w:val="en-US" w:eastAsia="zh-CN"/>
        </w:rPr>
        <w:t>86.4</w:t>
      </w:r>
      <w:r>
        <w:rPr>
          <w:rFonts w:hint="eastAsia" w:ascii="仿宋_GB2312" w:hAnsi="仿宋_GB2312" w:eastAsia="仿宋_GB2312" w:cs="仿宋_GB2312"/>
          <w:color w:val="auto"/>
          <w:lang w:eastAsia="zh-CN"/>
        </w:rPr>
        <w:t>km</w:t>
      </w:r>
      <w:r>
        <w:rPr>
          <w:rFonts w:hint="eastAsia" w:ascii="仿宋_GB2312" w:hAnsi="仿宋_GB2312" w:cs="仿宋_GB2312"/>
          <w:color w:val="auto"/>
          <w:lang w:eastAsia="zh-CN"/>
        </w:rPr>
        <w:t>，</w:t>
      </w:r>
      <w:r>
        <w:rPr>
          <w:rFonts w:hint="eastAsia" w:ascii="仿宋_GB2312" w:hAnsi="仿宋_GB2312" w:eastAsia="仿宋_GB2312" w:cs="仿宋_GB2312"/>
          <w:color w:val="auto"/>
          <w:lang w:val="en-US" w:eastAsia="zh-CN"/>
        </w:rPr>
        <w:t>流域面积</w:t>
      </w:r>
      <w:r>
        <w:rPr>
          <w:rFonts w:hint="eastAsia" w:ascii="仿宋_GB2312" w:hAnsi="仿宋_GB2312" w:cs="仿宋_GB2312"/>
          <w:color w:val="auto"/>
          <w:lang w:val="en-US" w:eastAsia="zh-CN"/>
        </w:rPr>
        <w:t>1229.17</w:t>
      </w:r>
      <w:r>
        <w:rPr>
          <w:rFonts w:hint="eastAsia" w:ascii="仿宋_GB2312" w:hAnsi="仿宋_GB2312" w:eastAsia="仿宋_GB2312" w:cs="仿宋_GB2312"/>
          <w:color w:val="auto"/>
          <w:lang w:eastAsia="zh-CN"/>
        </w:rPr>
        <w:t>km</w:t>
      </w:r>
      <w:r>
        <w:rPr>
          <w:rFonts w:hint="eastAsia" w:ascii="方正仿宋_GB2312" w:hAnsi="方正仿宋_GB2312" w:eastAsia="方正仿宋_GB2312" w:cs="方正仿宋_GB2312"/>
          <w:color w:val="auto"/>
          <w:vertAlign w:val="superscript"/>
          <w:lang w:eastAsia="zh-CN"/>
        </w:rPr>
        <w:t>2</w:t>
      </w:r>
      <w:r>
        <w:rPr>
          <w:rFonts w:hint="eastAsia" w:ascii="仿宋_GB2312" w:hAnsi="仿宋_GB2312" w:eastAsia="仿宋_GB2312" w:cs="仿宋_GB2312"/>
          <w:color w:val="auto"/>
          <w:lang w:eastAsia="zh-CN"/>
        </w:rPr>
        <w:t>。</w:t>
      </w:r>
    </w:p>
    <w:p w14:paraId="789769C7">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红柳沟：</w:t>
      </w:r>
      <w:r>
        <w:rPr>
          <w:rFonts w:hint="eastAsia" w:ascii="仿宋_GB2312" w:hAnsi="仿宋_GB2312" w:eastAsia="仿宋_GB2312" w:cs="仿宋_GB2312"/>
          <w:color w:val="auto"/>
          <w:lang w:eastAsia="zh-CN"/>
        </w:rPr>
        <w:t>为黄河一级支流，发源于同心县小罗山西南黑山。流经红寺堡区至中宁鸣沙洲经南河子沟入黄河，流域面积1064km</w:t>
      </w:r>
      <w:r>
        <w:rPr>
          <w:rFonts w:hint="eastAsia" w:ascii="方正仿宋_GB2312" w:hAnsi="方正仿宋_GB2312" w:eastAsia="方正仿宋_GB2312" w:cs="方正仿宋_GB2312"/>
          <w:color w:val="auto"/>
          <w:vertAlign w:val="superscript"/>
          <w:lang w:eastAsia="zh-CN"/>
        </w:rPr>
        <w:t>2</w:t>
      </w:r>
      <w:r>
        <w:rPr>
          <w:rFonts w:hint="eastAsia" w:ascii="仿宋_GB2312" w:hAnsi="仿宋_GB2312" w:eastAsia="仿宋_GB2312" w:cs="仿宋_GB2312"/>
          <w:color w:val="auto"/>
          <w:lang w:eastAsia="zh-CN"/>
        </w:rPr>
        <w:t>，河长107km，年径流量620万立方米。红寺堡境内河长</w:t>
      </w:r>
      <w:r>
        <w:rPr>
          <w:rFonts w:hint="eastAsia" w:ascii="仿宋_GB2312" w:hAnsi="仿宋_GB2312" w:eastAsia="仿宋_GB2312" w:cs="仿宋_GB2312"/>
          <w:color w:val="auto"/>
          <w:lang w:val="en-US" w:eastAsia="zh-CN"/>
        </w:rPr>
        <w:t>86</w:t>
      </w:r>
      <w:r>
        <w:rPr>
          <w:rFonts w:hint="eastAsia" w:ascii="仿宋_GB2312" w:hAnsi="仿宋_GB2312" w:eastAsia="仿宋_GB2312" w:cs="仿宋_GB2312"/>
          <w:color w:val="auto"/>
          <w:lang w:eastAsia="zh-CN"/>
        </w:rPr>
        <w:t>km，</w:t>
      </w:r>
      <w:r>
        <w:rPr>
          <w:rFonts w:hint="eastAsia" w:ascii="仿宋_GB2312" w:hAnsi="仿宋_GB2312" w:eastAsia="仿宋_GB2312" w:cs="仿宋_GB2312"/>
          <w:color w:val="auto"/>
          <w:lang w:val="en-US" w:eastAsia="zh-CN"/>
        </w:rPr>
        <w:t>流域面积919</w:t>
      </w:r>
      <w:r>
        <w:rPr>
          <w:rFonts w:hint="eastAsia" w:ascii="仿宋_GB2312" w:hAnsi="仿宋_GB2312" w:eastAsia="仿宋_GB2312" w:cs="仿宋_GB2312"/>
          <w:color w:val="auto"/>
          <w:lang w:eastAsia="zh-CN"/>
        </w:rPr>
        <w:t>km</w:t>
      </w:r>
      <w:r>
        <w:rPr>
          <w:rFonts w:hint="eastAsia" w:ascii="方正仿宋_GB2312" w:hAnsi="方正仿宋_GB2312" w:eastAsia="方正仿宋_GB2312" w:cs="方正仿宋_GB2312"/>
          <w:color w:val="auto"/>
          <w:vertAlign w:val="superscript"/>
          <w:lang w:eastAsia="zh-CN"/>
        </w:rPr>
        <w:t>2</w:t>
      </w:r>
      <w:r>
        <w:rPr>
          <w:rFonts w:hint="eastAsia" w:ascii="仿宋_GB2312" w:hAnsi="仿宋_GB2312" w:eastAsia="仿宋_GB2312" w:cs="仿宋_GB2312"/>
          <w:color w:val="auto"/>
          <w:lang w:eastAsia="zh-CN"/>
        </w:rPr>
        <w:t>。</w:t>
      </w:r>
    </w:p>
    <w:p w14:paraId="28AB72DA">
      <w:pPr>
        <w:pStyle w:val="33"/>
        <w:keepNext w:val="0"/>
        <w:keepLines w:val="0"/>
        <w:pageBreakBefore w:val="0"/>
        <w:widowControl w:val="0"/>
        <w:kinsoku/>
        <w:wordWrap/>
        <w:overflowPunct w:val="0"/>
        <w:topLinePunct w:val="0"/>
        <w:autoSpaceDE w:val="0"/>
        <w:autoSpaceDN w:val="0"/>
        <w:bidi w:val="0"/>
        <w:adjustRightInd w:val="0"/>
        <w:snapToGrid w:val="0"/>
        <w:ind w:firstLine="480"/>
        <w:jc w:val="both"/>
        <w:rPr>
          <w:rFonts w:hint="eastAsia"/>
        </w:rPr>
      </w:pPr>
      <w:r>
        <w:rPr>
          <w:rFonts w:hint="eastAsia"/>
        </w:rPr>
        <w:t>表1.1-1                 主要河沟水文特征一览表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7"/>
        <w:gridCol w:w="1217"/>
        <w:gridCol w:w="1217"/>
        <w:gridCol w:w="1217"/>
        <w:gridCol w:w="1217"/>
      </w:tblGrid>
      <w:tr w14:paraId="3B6B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Borders>
              <w:top w:val="single" w:color="auto" w:sz="12" w:space="0"/>
              <w:left w:val="single" w:color="auto" w:sz="12" w:space="0"/>
            </w:tcBorders>
            <w:vAlign w:val="center"/>
          </w:tcPr>
          <w:p w14:paraId="7C70B400">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hint="eastAsia" w:ascii="仿宋" w:hAnsi="仿宋" w:eastAsia="仿宋" w:cs="仿宋"/>
                <w:color w:val="auto"/>
                <w:spacing w:val="7"/>
                <w:sz w:val="19"/>
                <w:szCs w:val="19"/>
                <w:lang w:val="en-US" w:eastAsia="zh-CN"/>
              </w:rPr>
              <w:t>自然河湖水系名称</w:t>
            </w:r>
          </w:p>
        </w:tc>
        <w:tc>
          <w:tcPr>
            <w:tcW w:w="1216" w:type="dxa"/>
            <w:tcBorders>
              <w:top w:val="single" w:color="auto" w:sz="12" w:space="0"/>
            </w:tcBorders>
            <w:vAlign w:val="center"/>
          </w:tcPr>
          <w:p w14:paraId="5A4BDE54">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发源地</w:t>
            </w:r>
          </w:p>
        </w:tc>
        <w:tc>
          <w:tcPr>
            <w:tcW w:w="1217" w:type="dxa"/>
            <w:tcBorders>
              <w:top w:val="single" w:color="auto" w:sz="12" w:space="0"/>
            </w:tcBorders>
            <w:vAlign w:val="center"/>
          </w:tcPr>
          <w:p w14:paraId="2D016AC1">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注入地</w:t>
            </w:r>
          </w:p>
        </w:tc>
        <w:tc>
          <w:tcPr>
            <w:tcW w:w="1217" w:type="dxa"/>
            <w:tcBorders>
              <w:top w:val="single" w:color="auto" w:sz="12" w:space="0"/>
            </w:tcBorders>
            <w:vAlign w:val="center"/>
          </w:tcPr>
          <w:p w14:paraId="0A3BBBA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pacing w:val="7"/>
                <w:sz w:val="19"/>
                <w:szCs w:val="19"/>
              </w:rPr>
            </w:pPr>
            <w:r>
              <w:rPr>
                <w:rFonts w:ascii="仿宋" w:hAnsi="仿宋" w:eastAsia="仿宋" w:cs="仿宋"/>
                <w:color w:val="auto"/>
                <w:spacing w:val="7"/>
                <w:sz w:val="19"/>
                <w:szCs w:val="19"/>
              </w:rPr>
              <w:t>流域面积</w:t>
            </w:r>
          </w:p>
          <w:p w14:paraId="62A805AD">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(km</w:t>
            </w:r>
            <w:r>
              <w:rPr>
                <w:rFonts w:ascii="仿宋" w:hAnsi="仿宋" w:eastAsia="仿宋" w:cs="仿宋"/>
                <w:color w:val="auto"/>
                <w:spacing w:val="7"/>
                <w:sz w:val="19"/>
                <w:szCs w:val="19"/>
                <w:vertAlign w:val="superscript"/>
              </w:rPr>
              <w:t>2</w:t>
            </w:r>
            <w:r>
              <w:rPr>
                <w:rFonts w:ascii="仿宋" w:hAnsi="仿宋" w:eastAsia="仿宋" w:cs="仿宋"/>
                <w:color w:val="auto"/>
                <w:spacing w:val="7"/>
                <w:sz w:val="19"/>
                <w:szCs w:val="19"/>
              </w:rPr>
              <w:t>)</w:t>
            </w:r>
          </w:p>
        </w:tc>
        <w:tc>
          <w:tcPr>
            <w:tcW w:w="1217" w:type="dxa"/>
            <w:tcBorders>
              <w:top w:val="single" w:color="auto" w:sz="12" w:space="0"/>
            </w:tcBorders>
            <w:vAlign w:val="center"/>
          </w:tcPr>
          <w:p w14:paraId="2F6B9D2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pacing w:val="7"/>
                <w:sz w:val="19"/>
                <w:szCs w:val="19"/>
              </w:rPr>
            </w:pPr>
            <w:r>
              <w:rPr>
                <w:rFonts w:ascii="仿宋" w:hAnsi="仿宋" w:eastAsia="仿宋" w:cs="仿宋"/>
                <w:color w:val="auto"/>
                <w:spacing w:val="7"/>
                <w:sz w:val="19"/>
                <w:szCs w:val="19"/>
              </w:rPr>
              <w:t>红寺堡境内</w:t>
            </w:r>
          </w:p>
          <w:p w14:paraId="5C0CD9DC">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面积(km</w:t>
            </w:r>
            <w:r>
              <w:rPr>
                <w:rFonts w:ascii="仿宋" w:hAnsi="仿宋" w:eastAsia="仿宋" w:cs="仿宋"/>
                <w:color w:val="auto"/>
                <w:spacing w:val="7"/>
                <w:sz w:val="19"/>
                <w:szCs w:val="19"/>
                <w:vertAlign w:val="superscript"/>
              </w:rPr>
              <w:t>2</w:t>
            </w:r>
            <w:r>
              <w:rPr>
                <w:rFonts w:ascii="仿宋" w:hAnsi="仿宋" w:eastAsia="仿宋" w:cs="仿宋"/>
                <w:color w:val="auto"/>
                <w:spacing w:val="7"/>
                <w:sz w:val="19"/>
                <w:szCs w:val="19"/>
              </w:rPr>
              <w:t>)</w:t>
            </w:r>
          </w:p>
        </w:tc>
        <w:tc>
          <w:tcPr>
            <w:tcW w:w="1217" w:type="dxa"/>
            <w:tcBorders>
              <w:top w:val="single" w:color="auto" w:sz="12" w:space="0"/>
            </w:tcBorders>
            <w:vAlign w:val="center"/>
          </w:tcPr>
          <w:p w14:paraId="5D973208">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pacing w:val="7"/>
                <w:sz w:val="19"/>
                <w:szCs w:val="19"/>
              </w:rPr>
            </w:pPr>
            <w:r>
              <w:rPr>
                <w:rFonts w:ascii="仿宋" w:hAnsi="仿宋" w:eastAsia="仿宋" w:cs="仿宋"/>
                <w:color w:val="auto"/>
                <w:spacing w:val="7"/>
                <w:sz w:val="19"/>
                <w:szCs w:val="19"/>
              </w:rPr>
              <w:t>主沟长度</w:t>
            </w:r>
          </w:p>
          <w:p w14:paraId="499A4DA8">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(km)</w:t>
            </w:r>
          </w:p>
        </w:tc>
        <w:tc>
          <w:tcPr>
            <w:tcW w:w="1217" w:type="dxa"/>
            <w:tcBorders>
              <w:top w:val="single" w:color="auto" w:sz="12" w:space="0"/>
              <w:right w:val="single" w:color="auto" w:sz="12" w:space="0"/>
            </w:tcBorders>
            <w:vAlign w:val="center"/>
          </w:tcPr>
          <w:p w14:paraId="1079ECE3">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pacing w:val="7"/>
                <w:sz w:val="19"/>
                <w:szCs w:val="19"/>
              </w:rPr>
            </w:pPr>
            <w:r>
              <w:rPr>
                <w:rFonts w:ascii="仿宋" w:hAnsi="仿宋" w:eastAsia="仿宋" w:cs="仿宋"/>
                <w:color w:val="auto"/>
                <w:spacing w:val="7"/>
                <w:sz w:val="19"/>
                <w:szCs w:val="19"/>
              </w:rPr>
              <w:t>年均径流量</w:t>
            </w:r>
          </w:p>
          <w:p w14:paraId="7DC048AD">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(亿m</w:t>
            </w:r>
            <w:r>
              <w:rPr>
                <w:rFonts w:ascii="仿宋" w:hAnsi="仿宋" w:eastAsia="仿宋" w:cs="仿宋"/>
                <w:color w:val="auto"/>
                <w:spacing w:val="7"/>
                <w:sz w:val="19"/>
                <w:szCs w:val="19"/>
                <w:vertAlign w:val="superscript"/>
              </w:rPr>
              <w:t>3</w:t>
            </w:r>
            <w:r>
              <w:rPr>
                <w:rFonts w:ascii="仿宋" w:hAnsi="仿宋" w:eastAsia="仿宋" w:cs="仿宋"/>
                <w:color w:val="auto"/>
                <w:spacing w:val="7"/>
                <w:sz w:val="19"/>
                <w:szCs w:val="19"/>
              </w:rPr>
              <w:t>)</w:t>
            </w:r>
          </w:p>
        </w:tc>
      </w:tr>
      <w:tr w14:paraId="2268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Borders>
              <w:left w:val="single" w:color="auto" w:sz="12" w:space="0"/>
            </w:tcBorders>
            <w:vAlign w:val="center"/>
          </w:tcPr>
          <w:p w14:paraId="7B5FD895">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红柳沟</w:t>
            </w:r>
          </w:p>
        </w:tc>
        <w:tc>
          <w:tcPr>
            <w:tcW w:w="1216" w:type="dxa"/>
            <w:vAlign w:val="center"/>
          </w:tcPr>
          <w:p w14:paraId="168A9C75">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同心县</w:t>
            </w:r>
          </w:p>
        </w:tc>
        <w:tc>
          <w:tcPr>
            <w:tcW w:w="1217" w:type="dxa"/>
            <w:vAlign w:val="center"/>
          </w:tcPr>
          <w:p w14:paraId="76836D73">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 xml:space="preserve">黄 </w:t>
            </w:r>
            <w:r>
              <w:rPr>
                <w:rFonts w:hint="eastAsia" w:ascii="仿宋" w:hAnsi="仿宋" w:eastAsia="仿宋" w:cs="仿宋"/>
                <w:color w:val="auto"/>
                <w:spacing w:val="7"/>
                <w:sz w:val="19"/>
                <w:szCs w:val="19"/>
              </w:rPr>
              <w:t xml:space="preserve"> </w:t>
            </w:r>
            <w:r>
              <w:rPr>
                <w:rFonts w:ascii="仿宋" w:hAnsi="仿宋" w:eastAsia="仿宋" w:cs="仿宋"/>
                <w:color w:val="auto"/>
                <w:spacing w:val="7"/>
                <w:sz w:val="19"/>
                <w:szCs w:val="19"/>
              </w:rPr>
              <w:t>河</w:t>
            </w:r>
          </w:p>
        </w:tc>
        <w:tc>
          <w:tcPr>
            <w:tcW w:w="1217" w:type="dxa"/>
            <w:vAlign w:val="center"/>
          </w:tcPr>
          <w:p w14:paraId="0C504D34">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1604</w:t>
            </w:r>
          </w:p>
        </w:tc>
        <w:tc>
          <w:tcPr>
            <w:tcW w:w="1217" w:type="dxa"/>
            <w:vAlign w:val="center"/>
          </w:tcPr>
          <w:p w14:paraId="53BE78BD">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919</w:t>
            </w:r>
          </w:p>
        </w:tc>
        <w:tc>
          <w:tcPr>
            <w:tcW w:w="1217" w:type="dxa"/>
            <w:vAlign w:val="center"/>
          </w:tcPr>
          <w:p w14:paraId="79C7AB92">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107</w:t>
            </w:r>
          </w:p>
        </w:tc>
        <w:tc>
          <w:tcPr>
            <w:tcW w:w="1217" w:type="dxa"/>
            <w:tcBorders>
              <w:right w:val="single" w:color="auto" w:sz="12" w:space="0"/>
            </w:tcBorders>
            <w:vAlign w:val="center"/>
          </w:tcPr>
          <w:p w14:paraId="6ECFA9F7">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0.065</w:t>
            </w:r>
          </w:p>
        </w:tc>
      </w:tr>
      <w:tr w14:paraId="6C6F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Borders>
              <w:left w:val="single" w:color="auto" w:sz="12" w:space="0"/>
            </w:tcBorders>
            <w:vAlign w:val="center"/>
          </w:tcPr>
          <w:p w14:paraId="7026C96B">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苦水河</w:t>
            </w:r>
          </w:p>
        </w:tc>
        <w:tc>
          <w:tcPr>
            <w:tcW w:w="1216" w:type="dxa"/>
            <w:vAlign w:val="center"/>
          </w:tcPr>
          <w:p w14:paraId="084CBDD1">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甘肃环县</w:t>
            </w:r>
          </w:p>
        </w:tc>
        <w:tc>
          <w:tcPr>
            <w:tcW w:w="1217" w:type="dxa"/>
            <w:vAlign w:val="center"/>
          </w:tcPr>
          <w:p w14:paraId="31AA14A2">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 xml:space="preserve">黄 </w:t>
            </w:r>
            <w:r>
              <w:rPr>
                <w:rFonts w:hint="eastAsia" w:ascii="仿宋" w:hAnsi="仿宋" w:eastAsia="仿宋" w:cs="仿宋"/>
                <w:color w:val="auto"/>
                <w:spacing w:val="7"/>
                <w:sz w:val="19"/>
                <w:szCs w:val="19"/>
              </w:rPr>
              <w:t xml:space="preserve"> </w:t>
            </w:r>
            <w:r>
              <w:rPr>
                <w:rFonts w:ascii="仿宋" w:hAnsi="仿宋" w:eastAsia="仿宋" w:cs="仿宋"/>
                <w:color w:val="auto"/>
                <w:spacing w:val="7"/>
                <w:sz w:val="19"/>
                <w:szCs w:val="19"/>
              </w:rPr>
              <w:t>河</w:t>
            </w:r>
          </w:p>
        </w:tc>
        <w:tc>
          <w:tcPr>
            <w:tcW w:w="1217" w:type="dxa"/>
            <w:vAlign w:val="center"/>
          </w:tcPr>
          <w:p w14:paraId="4FEE5FFA">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5218</w:t>
            </w:r>
          </w:p>
        </w:tc>
        <w:tc>
          <w:tcPr>
            <w:tcW w:w="1217" w:type="dxa"/>
            <w:vAlign w:val="center"/>
          </w:tcPr>
          <w:p w14:paraId="63D9E649">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eastAsia="仿宋_GB2312"/>
                <w:vertAlign w:val="baseline"/>
                <w:lang w:val="en-US" w:eastAsia="zh-CN"/>
              </w:rPr>
            </w:pPr>
            <w:r>
              <w:rPr>
                <w:rFonts w:hint="eastAsia" w:ascii="仿宋" w:hAnsi="仿宋" w:eastAsia="仿宋" w:cs="仿宋"/>
                <w:color w:val="auto"/>
                <w:spacing w:val="7"/>
                <w:sz w:val="19"/>
                <w:szCs w:val="19"/>
                <w:lang w:val="en-US" w:eastAsia="zh-CN"/>
              </w:rPr>
              <w:t>1229.17</w:t>
            </w:r>
          </w:p>
        </w:tc>
        <w:tc>
          <w:tcPr>
            <w:tcW w:w="1217" w:type="dxa"/>
            <w:vAlign w:val="center"/>
          </w:tcPr>
          <w:p w14:paraId="7CEA4D40">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224</w:t>
            </w:r>
          </w:p>
        </w:tc>
        <w:tc>
          <w:tcPr>
            <w:tcW w:w="1217" w:type="dxa"/>
            <w:tcBorders>
              <w:right w:val="single" w:color="auto" w:sz="12" w:space="0"/>
            </w:tcBorders>
            <w:vAlign w:val="center"/>
          </w:tcPr>
          <w:p w14:paraId="675F84F5">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0.155</w:t>
            </w:r>
          </w:p>
        </w:tc>
      </w:tr>
      <w:tr w14:paraId="6D6A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Borders>
              <w:left w:val="single" w:color="auto" w:sz="12" w:space="0"/>
              <w:bottom w:val="single" w:color="auto" w:sz="12" w:space="0"/>
            </w:tcBorders>
            <w:vAlign w:val="center"/>
          </w:tcPr>
          <w:p w14:paraId="6B017C56">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清水河</w:t>
            </w:r>
          </w:p>
        </w:tc>
        <w:tc>
          <w:tcPr>
            <w:tcW w:w="1216" w:type="dxa"/>
            <w:tcBorders>
              <w:bottom w:val="single" w:color="auto" w:sz="12" w:space="0"/>
            </w:tcBorders>
            <w:vAlign w:val="center"/>
          </w:tcPr>
          <w:p w14:paraId="4308C8FD">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固原市</w:t>
            </w:r>
          </w:p>
        </w:tc>
        <w:tc>
          <w:tcPr>
            <w:tcW w:w="1217" w:type="dxa"/>
            <w:tcBorders>
              <w:bottom w:val="single" w:color="auto" w:sz="12" w:space="0"/>
            </w:tcBorders>
            <w:vAlign w:val="center"/>
          </w:tcPr>
          <w:p w14:paraId="3A3B32EF">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 xml:space="preserve">黄 </w:t>
            </w:r>
            <w:r>
              <w:rPr>
                <w:rFonts w:hint="eastAsia" w:ascii="仿宋" w:hAnsi="仿宋" w:eastAsia="仿宋" w:cs="仿宋"/>
                <w:color w:val="auto"/>
                <w:spacing w:val="7"/>
                <w:sz w:val="19"/>
                <w:szCs w:val="19"/>
              </w:rPr>
              <w:t xml:space="preserve"> </w:t>
            </w:r>
            <w:r>
              <w:rPr>
                <w:rFonts w:ascii="仿宋" w:hAnsi="仿宋" w:eastAsia="仿宋" w:cs="仿宋"/>
                <w:color w:val="auto"/>
                <w:spacing w:val="7"/>
                <w:sz w:val="19"/>
                <w:szCs w:val="19"/>
              </w:rPr>
              <w:t>河</w:t>
            </w:r>
          </w:p>
        </w:tc>
        <w:tc>
          <w:tcPr>
            <w:tcW w:w="1217" w:type="dxa"/>
            <w:tcBorders>
              <w:bottom w:val="single" w:color="auto" w:sz="12" w:space="0"/>
            </w:tcBorders>
            <w:vAlign w:val="center"/>
          </w:tcPr>
          <w:p w14:paraId="4944E227">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14481</w:t>
            </w:r>
          </w:p>
        </w:tc>
        <w:tc>
          <w:tcPr>
            <w:tcW w:w="1217" w:type="dxa"/>
            <w:tcBorders>
              <w:bottom w:val="single" w:color="auto" w:sz="12" w:space="0"/>
            </w:tcBorders>
            <w:vAlign w:val="center"/>
          </w:tcPr>
          <w:p w14:paraId="6B257433">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308</w:t>
            </w:r>
          </w:p>
        </w:tc>
        <w:tc>
          <w:tcPr>
            <w:tcW w:w="1217" w:type="dxa"/>
            <w:tcBorders>
              <w:bottom w:val="single" w:color="auto" w:sz="12" w:space="0"/>
            </w:tcBorders>
            <w:vAlign w:val="center"/>
          </w:tcPr>
          <w:p w14:paraId="6D0D8BA4">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320</w:t>
            </w:r>
          </w:p>
        </w:tc>
        <w:tc>
          <w:tcPr>
            <w:tcW w:w="1217" w:type="dxa"/>
            <w:tcBorders>
              <w:bottom w:val="single" w:color="auto" w:sz="12" w:space="0"/>
              <w:right w:val="single" w:color="auto" w:sz="12" w:space="0"/>
            </w:tcBorders>
            <w:vAlign w:val="center"/>
          </w:tcPr>
          <w:p w14:paraId="38FFCE51">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vertAlign w:val="baseline"/>
              </w:rPr>
            </w:pPr>
            <w:r>
              <w:rPr>
                <w:rFonts w:ascii="仿宋" w:hAnsi="仿宋" w:eastAsia="仿宋" w:cs="仿宋"/>
                <w:color w:val="auto"/>
                <w:spacing w:val="7"/>
                <w:sz w:val="19"/>
                <w:szCs w:val="19"/>
              </w:rPr>
              <w:t>2.02</w:t>
            </w:r>
          </w:p>
        </w:tc>
      </w:tr>
    </w:tbl>
    <w:p w14:paraId="683FBCCE">
      <w:pPr>
        <w:pStyle w:val="34"/>
        <w:keepNext w:val="0"/>
        <w:keepLines w:val="0"/>
        <w:pageBreakBefore w:val="0"/>
        <w:widowControl w:val="0"/>
        <w:kinsoku/>
        <w:wordWrap/>
        <w:overflowPunct w:val="0"/>
        <w:topLinePunct w:val="0"/>
        <w:autoSpaceDE w:val="0"/>
        <w:autoSpaceDN w:val="0"/>
        <w:bidi w:val="0"/>
        <w:adjustRightInd w:val="0"/>
        <w:snapToGrid w:val="0"/>
        <w:rPr>
          <w:rFonts w:hint="eastAsia"/>
        </w:rPr>
      </w:pPr>
    </w:p>
    <w:p w14:paraId="6252EB39">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湖泊湿地：</w:t>
      </w:r>
      <w:bookmarkStart w:id="17" w:name="_Toc7468"/>
      <w:bookmarkStart w:id="18" w:name="_Toc24157"/>
      <w:bookmarkStart w:id="19" w:name="_Toc21943"/>
      <w:r>
        <w:rPr>
          <w:rFonts w:hint="eastAsia" w:ascii="仿宋_GB2312" w:hAnsi="仿宋_GB2312" w:eastAsia="仿宋_GB2312" w:cs="仿宋_GB2312"/>
          <w:b w:val="0"/>
          <w:bCs w:val="0"/>
          <w:color w:val="auto"/>
          <w:lang w:eastAsia="zh-CN"/>
        </w:rPr>
        <w:t>红寺堡区</w:t>
      </w:r>
      <w:r>
        <w:rPr>
          <w:rFonts w:hint="eastAsia" w:ascii="仿宋_GB2312" w:hAnsi="仿宋_GB2312" w:eastAsia="仿宋_GB2312" w:cs="仿宋_GB2312"/>
          <w:b w:val="0"/>
          <w:bCs w:val="0"/>
          <w:color w:val="auto"/>
          <w:lang w:val="en-US" w:eastAsia="zh-CN"/>
        </w:rPr>
        <w:t>现有各类湿地22处，湿地总面积1884公顷，主要由天然</w:t>
      </w:r>
      <w:r>
        <w:rPr>
          <w:rFonts w:hint="eastAsia" w:ascii="仿宋_GB2312" w:hAnsi="仿宋_GB2312" w:eastAsia="仿宋_GB2312" w:cs="仿宋_GB2312"/>
          <w:b w:val="0"/>
          <w:bCs w:val="0"/>
          <w:color w:val="auto"/>
          <w:lang w:eastAsia="zh-CN"/>
        </w:rPr>
        <w:t>湖泊</w:t>
      </w:r>
      <w:r>
        <w:rPr>
          <w:rFonts w:hint="eastAsia" w:ascii="仿宋_GB2312" w:hAnsi="仿宋_GB2312" w:eastAsia="仿宋_GB2312" w:cs="仿宋_GB2312"/>
          <w:b w:val="0"/>
          <w:bCs w:val="0"/>
          <w:color w:val="auto"/>
          <w:lang w:val="en-US" w:eastAsia="zh-CN"/>
        </w:rPr>
        <w:t>湿地、河道湿地及人工坑塘（水库/蓄水池）湿地三种类型构成，其中天然湖泊湿地</w:t>
      </w:r>
      <w:r>
        <w:rPr>
          <w:rFonts w:hint="eastAsia" w:ascii="仿宋_GB2312" w:hAnsi="仿宋_GB2312" w:eastAsia="仿宋_GB2312" w:cs="仿宋_GB2312"/>
          <w:b w:val="0"/>
          <w:bCs w:val="0"/>
          <w:color w:val="auto"/>
          <w:lang w:eastAsia="zh-CN"/>
        </w:rPr>
        <w:t>主要有青云湖、紫光湖、</w:t>
      </w:r>
      <w:r>
        <w:rPr>
          <w:rFonts w:hint="eastAsia" w:ascii="仿宋_GB2312" w:hAnsi="仿宋_GB2312" w:eastAsia="仿宋_GB2312" w:cs="仿宋_GB2312"/>
          <w:b w:val="0"/>
          <w:bCs w:val="0"/>
          <w:color w:val="auto"/>
          <w:lang w:val="en-US" w:eastAsia="zh-CN"/>
        </w:rPr>
        <w:t>暖泉湖湿地及石坡子湿地</w:t>
      </w:r>
      <w:r>
        <w:rPr>
          <w:rFonts w:hint="eastAsia" w:ascii="仿宋_GB2312" w:hAnsi="仿宋_GB2312" w:eastAsia="仿宋_GB2312" w:cs="仿宋_GB2312"/>
          <w:b w:val="0"/>
          <w:bCs w:val="0"/>
          <w:color w:val="auto"/>
          <w:lang w:eastAsia="zh-CN"/>
        </w:rPr>
        <w:t>等，</w:t>
      </w:r>
      <w:r>
        <w:rPr>
          <w:rFonts w:hint="eastAsia" w:ascii="仿宋_GB2312" w:hAnsi="仿宋_GB2312" w:eastAsia="仿宋_GB2312" w:cs="仿宋_GB2312"/>
          <w:b w:val="0"/>
          <w:bCs w:val="0"/>
          <w:color w:val="auto"/>
          <w:lang w:val="en-US" w:eastAsia="zh-CN"/>
        </w:rPr>
        <w:t>河道湿地主要有清水河、苦水河、红柳沟等，人工湿地主要有新庄集水库、肖家窑水库、紫光湖水库、鲁家窑水库、金庄子水库、乌沙塘水库等</w:t>
      </w:r>
      <w:r>
        <w:rPr>
          <w:rFonts w:hint="eastAsia" w:ascii="仿宋_GB2312" w:hAnsi="仿宋_GB2312" w:eastAsia="仿宋_GB2312" w:cs="仿宋_GB2312"/>
          <w:b w:val="0"/>
          <w:bCs w:val="0"/>
          <w:color w:val="auto"/>
          <w:lang w:eastAsia="zh-CN"/>
        </w:rPr>
        <w:t>。</w:t>
      </w:r>
      <w:bookmarkEnd w:id="17"/>
      <w:bookmarkEnd w:id="18"/>
      <w:bookmarkEnd w:id="19"/>
    </w:p>
    <w:p w14:paraId="67EAE40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bookmarkStart w:id="20" w:name="_Toc18929"/>
      <w:bookmarkStart w:id="21" w:name="_Toc24161"/>
      <w:bookmarkStart w:id="22" w:name="_Toc9961"/>
      <w:r>
        <w:rPr>
          <w:rFonts w:hint="eastAsia"/>
          <w:b/>
          <w:bCs/>
          <w:lang w:eastAsia="zh-CN"/>
        </w:rPr>
        <w:t>（</w:t>
      </w:r>
      <w:r>
        <w:rPr>
          <w:rFonts w:hint="eastAsia"/>
          <w:b/>
          <w:bCs/>
          <w:lang w:val="en-US" w:eastAsia="zh-CN"/>
        </w:rPr>
        <w:t>二</w:t>
      </w:r>
      <w:r>
        <w:rPr>
          <w:rFonts w:hint="eastAsia"/>
          <w:b/>
          <w:bCs/>
          <w:lang w:eastAsia="zh-CN"/>
        </w:rPr>
        <w:t>）水资源禀赋</w:t>
      </w:r>
      <w:bookmarkEnd w:id="20"/>
      <w:bookmarkEnd w:id="21"/>
      <w:bookmarkEnd w:id="22"/>
    </w:p>
    <w:p w14:paraId="5AD3DA86">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val="en-US" w:eastAsia="zh-CN"/>
        </w:rPr>
        <w:t>地表径流</w:t>
      </w:r>
      <w:r>
        <w:rPr>
          <w:rFonts w:hint="eastAsia" w:ascii="仿宋_GB2312" w:hAnsi="仿宋_GB2312" w:cs="仿宋_GB2312"/>
          <w:b/>
          <w:bCs/>
          <w:color w:val="auto"/>
          <w:lang w:val="en-US" w:eastAsia="zh-CN"/>
        </w:rPr>
        <w:t>时空分布不均</w:t>
      </w:r>
      <w:r>
        <w:rPr>
          <w:rFonts w:hint="eastAsia" w:ascii="仿宋_GB2312" w:hAnsi="仿宋_GB2312" w:eastAsia="仿宋_GB2312" w:cs="仿宋_GB2312"/>
          <w:b/>
          <w:bCs/>
          <w:color w:val="auto"/>
          <w:lang w:val="en-US" w:eastAsia="zh-CN"/>
        </w:rPr>
        <w:t>，利用难度大。</w:t>
      </w:r>
      <w:r>
        <w:rPr>
          <w:rFonts w:hint="eastAsia" w:ascii="仿宋_GB2312" w:hAnsi="仿宋_GB2312" w:eastAsia="仿宋_GB2312" w:cs="仿宋_GB2312"/>
          <w:color w:val="auto"/>
          <w:lang w:eastAsia="zh-CN"/>
        </w:rPr>
        <w:t>红寺堡区属典型的温带大陆性气候，</w:t>
      </w:r>
      <w:r>
        <w:rPr>
          <w:rFonts w:hint="eastAsia" w:ascii="仿宋_GB2312" w:hAnsi="仿宋_GB2312" w:cs="仿宋_GB2312"/>
          <w:color w:val="auto"/>
          <w:lang w:val="en-US" w:eastAsia="zh-CN"/>
        </w:rPr>
        <w:t>干旱少雨</w:t>
      </w:r>
      <w:r>
        <w:rPr>
          <w:rFonts w:hint="eastAsia" w:ascii="仿宋_GB2312" w:hAnsi="仿宋_GB2312" w:eastAsia="仿宋_GB2312" w:cs="仿宋_GB2312"/>
          <w:color w:val="auto"/>
          <w:lang w:eastAsia="zh-CN"/>
        </w:rPr>
        <w:t>，当地水资源匮乏。多年平均降水量251毫米，年平均蒸发量2387毫米。</w:t>
      </w:r>
      <w:r>
        <w:rPr>
          <w:rFonts w:hint="eastAsia"/>
          <w:color w:val="auto"/>
          <w:lang w:val="en-US" w:eastAsia="zh-CN"/>
        </w:rPr>
        <w:t>当地多年平均水资源量</w:t>
      </w:r>
      <w:r>
        <w:rPr>
          <w:color w:val="auto"/>
        </w:rPr>
        <w:t>1691.7万m³</w:t>
      </w:r>
      <w:r>
        <w:rPr>
          <w:rFonts w:hint="eastAsia"/>
          <w:color w:val="auto"/>
          <w:vertAlign w:val="baseline"/>
          <w:lang w:val="en-US" w:eastAsia="zh-CN"/>
        </w:rPr>
        <w:t>。</w:t>
      </w:r>
      <w:r>
        <w:rPr>
          <w:rFonts w:hint="eastAsia" w:ascii="仿宋_GB2312" w:hAnsi="仿宋_GB2312" w:eastAsia="仿宋_GB2312" w:cs="仿宋_GB2312"/>
          <w:color w:val="auto"/>
          <w:lang w:eastAsia="zh-CN"/>
        </w:rPr>
        <w:t>降雨一般为短历时暴雨，点面折减快</w:t>
      </w:r>
      <w:r>
        <w:rPr>
          <w:rFonts w:hint="eastAsia" w:ascii="仿宋_GB2312" w:hAnsi="仿宋_GB2312" w:cs="仿宋_GB2312"/>
          <w:color w:val="auto"/>
          <w:lang w:eastAsia="zh-CN"/>
        </w:rPr>
        <w:t>，</w:t>
      </w:r>
      <w:r>
        <w:rPr>
          <w:rFonts w:hint="eastAsia" w:ascii="仿宋_GB2312" w:hAnsi="仿宋_GB2312" w:eastAsia="仿宋_GB2312" w:cs="仿宋_GB2312"/>
          <w:color w:val="auto"/>
          <w:lang w:eastAsia="zh-CN"/>
        </w:rPr>
        <w:t>而且主要以暴雨洪水</w:t>
      </w:r>
      <w:r>
        <w:rPr>
          <w:rFonts w:hint="eastAsia" w:ascii="仿宋_GB2312" w:hAnsi="仿宋_GB2312" w:cs="仿宋_GB2312"/>
          <w:color w:val="auto"/>
          <w:lang w:val="en-US" w:eastAsia="zh-CN"/>
        </w:rPr>
        <w:t>形式</w:t>
      </w:r>
      <w:r>
        <w:rPr>
          <w:rFonts w:hint="eastAsia" w:ascii="仿宋_GB2312" w:hAnsi="仿宋_GB2312" w:eastAsia="仿宋_GB2312" w:cs="仿宋_GB2312"/>
          <w:color w:val="auto"/>
          <w:lang w:eastAsia="zh-CN"/>
        </w:rPr>
        <w:t>出现，历时短</w:t>
      </w:r>
      <w:r>
        <w:rPr>
          <w:rFonts w:hint="eastAsia" w:ascii="仿宋_GB2312" w:hAnsi="仿宋_GB2312" w:cs="仿宋_GB2312"/>
          <w:color w:val="auto"/>
          <w:lang w:eastAsia="zh-CN"/>
        </w:rPr>
        <w:t>。</w:t>
      </w:r>
      <w:r>
        <w:rPr>
          <w:rFonts w:hint="eastAsia" w:ascii="仿宋_GB2312" w:hAnsi="仿宋_GB2312" w:eastAsia="仿宋_GB2312" w:cs="仿宋_GB2312"/>
          <w:color w:val="auto"/>
          <w:lang w:eastAsia="zh-CN"/>
        </w:rPr>
        <w:t>地表径流时空分布与降水具有半干旱区降雨的一般特性，年内年际变化大，大部分河流年内70%～80%的径流量集中在6～9月。</w:t>
      </w:r>
      <w:r>
        <w:rPr>
          <w:rFonts w:hint="eastAsia" w:ascii="仿宋_GB2312" w:hAnsi="仿宋_GB2312" w:cs="仿宋_GB2312"/>
          <w:color w:val="auto"/>
          <w:lang w:val="en-US" w:eastAsia="zh-CN"/>
        </w:rPr>
        <w:t>洪</w:t>
      </w:r>
      <w:r>
        <w:rPr>
          <w:rFonts w:hint="eastAsia" w:ascii="仿宋_GB2312" w:hAnsi="仿宋_GB2312" w:eastAsia="仿宋_GB2312" w:cs="仿宋_GB2312"/>
          <w:color w:val="auto"/>
          <w:lang w:eastAsia="zh-CN"/>
        </w:rPr>
        <w:t>水的形状受暴雨的影响多数由笼罩面积小、历时短、强度大的暴雨所造成，洪水过程为尖瘦形，洪峰陡涨陡落，一般仅有几个小时。产流方式以超渗产流为主。产流后即泻，汇流快，造峰历时短，洪水陡涨陡落，过程较短</w:t>
      </w:r>
      <w:r>
        <w:rPr>
          <w:rFonts w:hint="eastAsia" w:ascii="仿宋_GB2312" w:hAnsi="仿宋_GB2312" w:cs="仿宋_GB2312"/>
          <w:color w:val="auto"/>
          <w:lang w:eastAsia="zh-CN"/>
        </w:rPr>
        <w:t>，</w:t>
      </w:r>
      <w:r>
        <w:rPr>
          <w:rFonts w:hint="eastAsia" w:ascii="仿宋_GB2312" w:hAnsi="仿宋_GB2312" w:eastAsia="仿宋_GB2312" w:cs="仿宋_GB2312"/>
          <w:color w:val="auto"/>
          <w:lang w:eastAsia="zh-CN"/>
        </w:rPr>
        <w:t>利用困难</w:t>
      </w:r>
      <w:r>
        <w:rPr>
          <w:rFonts w:hint="eastAsia" w:ascii="仿宋_GB2312" w:hAnsi="仿宋_GB2312" w:cs="仿宋_GB2312"/>
          <w:color w:val="auto"/>
          <w:lang w:eastAsia="zh-CN"/>
        </w:rPr>
        <w:t>。</w:t>
      </w:r>
      <w:r>
        <w:rPr>
          <w:rFonts w:hint="eastAsia"/>
          <w:color w:val="auto"/>
          <w:vertAlign w:val="baseline"/>
          <w:lang w:val="en-US" w:eastAsia="zh-CN"/>
        </w:rPr>
        <w:t>境内天然沟道水质</w:t>
      </w:r>
      <w:r>
        <w:rPr>
          <w:rFonts w:hint="eastAsia" w:ascii="仿宋_GB2312" w:hAnsi="仿宋_GB2312" w:eastAsia="仿宋_GB2312" w:cs="仿宋_GB2312"/>
          <w:color w:val="auto"/>
          <w:lang w:eastAsia="zh-CN"/>
        </w:rPr>
        <w:t>矿化度</w:t>
      </w:r>
      <w:r>
        <w:rPr>
          <w:rFonts w:hint="eastAsia" w:ascii="仿宋_GB2312" w:hAnsi="仿宋_GB2312" w:cs="仿宋_GB2312"/>
          <w:color w:val="auto"/>
          <w:lang w:val="en-US" w:eastAsia="zh-CN"/>
        </w:rPr>
        <w:t>普遍偏高，如清水河</w:t>
      </w:r>
      <w:r>
        <w:rPr>
          <w:rFonts w:hint="eastAsia"/>
          <w:lang w:val="en-US" w:eastAsia="zh-CN"/>
        </w:rPr>
        <w:t>、苦水河、红柳沟等河流水质矿化度在</w:t>
      </w:r>
      <w:r>
        <w:rPr>
          <w:rFonts w:hint="eastAsia" w:ascii="仿宋_GB2312" w:hAnsi="仿宋_GB2312" w:eastAsia="仿宋_GB2312" w:cs="仿宋_GB2312"/>
          <w:color w:val="auto"/>
          <w:lang w:eastAsia="zh-CN"/>
        </w:rPr>
        <w:t>2</w:t>
      </w:r>
      <w:r>
        <w:rPr>
          <w:rFonts w:hint="eastAsia" w:ascii="仿宋_GB2312" w:hAnsi="仿宋_GB2312" w:cs="仿宋_GB2312"/>
          <w:color w:val="auto"/>
          <w:lang w:val="en-US" w:eastAsia="zh-CN"/>
        </w:rPr>
        <w:t>.0～5.0</w:t>
      </w:r>
      <w:r>
        <w:rPr>
          <w:rFonts w:hint="eastAsia" w:ascii="仿宋_GB2312" w:hAnsi="仿宋_GB2312" w:eastAsia="仿宋_GB2312" w:cs="仿宋_GB2312"/>
          <w:color w:val="auto"/>
          <w:lang w:eastAsia="zh-CN"/>
        </w:rPr>
        <w:t>g/l</w:t>
      </w:r>
      <w:r>
        <w:rPr>
          <w:rFonts w:hint="eastAsia" w:ascii="仿宋_GB2312" w:hAnsi="仿宋_GB2312" w:cs="仿宋_GB2312"/>
          <w:color w:val="auto"/>
          <w:lang w:val="en-US" w:eastAsia="zh-CN"/>
        </w:rPr>
        <w:t>之间</w:t>
      </w:r>
      <w:r>
        <w:rPr>
          <w:rFonts w:hint="eastAsia" w:ascii="仿宋_GB2312" w:hAnsi="仿宋_GB2312" w:eastAsia="仿宋_GB2312" w:cs="仿宋_GB2312"/>
          <w:color w:val="auto"/>
          <w:lang w:eastAsia="zh-CN"/>
        </w:rPr>
        <w:t>，</w:t>
      </w:r>
      <w:r>
        <w:rPr>
          <w:rFonts w:hint="eastAsia" w:ascii="仿宋_GB2312" w:hAnsi="仿宋_GB2312" w:cs="仿宋_GB2312"/>
          <w:color w:val="auto"/>
          <w:lang w:val="en-US" w:eastAsia="zh-CN"/>
        </w:rPr>
        <w:t>部分河段大于5.0</w:t>
      </w:r>
      <w:r>
        <w:rPr>
          <w:rFonts w:hint="eastAsia" w:ascii="仿宋_GB2312" w:hAnsi="仿宋_GB2312" w:eastAsia="仿宋_GB2312" w:cs="仿宋_GB2312"/>
          <w:color w:val="auto"/>
          <w:lang w:eastAsia="zh-CN"/>
        </w:rPr>
        <w:t>g/l</w:t>
      </w:r>
      <w:r>
        <w:rPr>
          <w:rFonts w:hint="eastAsia" w:ascii="仿宋_GB2312" w:hAnsi="仿宋_GB2312" w:cs="仿宋_GB2312"/>
          <w:color w:val="auto"/>
          <w:lang w:eastAsia="zh-CN"/>
        </w:rPr>
        <w:t>，</w:t>
      </w:r>
      <w:r>
        <w:rPr>
          <w:rFonts w:hint="eastAsia" w:ascii="仿宋_GB2312" w:hAnsi="仿宋_GB2312" w:eastAsia="仿宋_GB2312" w:cs="仿宋_GB2312"/>
          <w:color w:val="auto"/>
          <w:lang w:eastAsia="zh-CN"/>
        </w:rPr>
        <w:t>水质苦咸</w:t>
      </w:r>
      <w:r>
        <w:rPr>
          <w:rFonts w:hint="eastAsia" w:ascii="仿宋_GB2312" w:hAnsi="仿宋_GB2312" w:cs="仿宋_GB2312"/>
          <w:color w:val="auto"/>
          <w:lang w:eastAsia="zh-CN"/>
        </w:rPr>
        <w:t>，</w:t>
      </w:r>
      <w:r>
        <w:rPr>
          <w:rFonts w:hint="eastAsia" w:ascii="仿宋_GB2312" w:hAnsi="仿宋_GB2312" w:cs="仿宋_GB2312"/>
          <w:color w:val="auto"/>
          <w:lang w:val="en-US" w:eastAsia="zh-CN"/>
        </w:rPr>
        <w:t>难以利用</w:t>
      </w:r>
      <w:r>
        <w:rPr>
          <w:rFonts w:hint="eastAsia" w:ascii="仿宋_GB2312" w:hAnsi="仿宋_GB2312" w:eastAsia="仿宋_GB2312" w:cs="仿宋_GB2312"/>
          <w:color w:val="auto"/>
          <w:lang w:eastAsia="zh-CN"/>
        </w:rPr>
        <w:t>。</w:t>
      </w:r>
    </w:p>
    <w:p w14:paraId="3C1A47B6">
      <w:pPr>
        <w:keepNext w:val="0"/>
        <w:keepLines w:val="0"/>
        <w:pageBreakBefore w:val="0"/>
        <w:widowControl w:val="0"/>
        <w:kinsoku/>
        <w:wordWrap/>
        <w:overflowPunct w:val="0"/>
        <w:topLinePunct w:val="0"/>
        <w:autoSpaceDE w:val="0"/>
        <w:autoSpaceDN w:val="0"/>
        <w:bidi w:val="0"/>
        <w:adjustRightInd w:val="0"/>
        <w:snapToGrid w:val="0"/>
        <w:ind w:firstLine="480"/>
        <w:jc w:val="both"/>
        <w:textAlignment w:val="baseline"/>
        <w:rPr>
          <w:rFonts w:hint="eastAsia"/>
        </w:rPr>
      </w:pPr>
      <w:r>
        <w:rPr>
          <w:rFonts w:hint="eastAsia" w:ascii="仿宋_GB2312" w:hAnsi="仿宋_GB2312" w:eastAsia="仿宋_GB2312" w:cs="仿宋_GB2312"/>
          <w:b/>
          <w:bCs/>
          <w:color w:val="auto"/>
          <w:lang w:val="en-US" w:eastAsia="zh-CN"/>
        </w:rPr>
        <w:t>地下水</w:t>
      </w:r>
      <w:r>
        <w:rPr>
          <w:rFonts w:hint="eastAsia" w:ascii="仿宋_GB2312" w:hAnsi="仿宋_GB2312" w:cs="仿宋_GB2312"/>
          <w:b/>
          <w:bCs/>
          <w:color w:val="auto"/>
          <w:lang w:val="en-US" w:eastAsia="zh-CN"/>
        </w:rPr>
        <w:t>资源禀赋不足，可开采量有限</w:t>
      </w:r>
      <w:r>
        <w:rPr>
          <w:rFonts w:hint="eastAsia" w:ascii="仿宋_GB2312" w:hAnsi="仿宋_GB2312" w:eastAsia="仿宋_GB2312" w:cs="仿宋_GB2312"/>
          <w:b/>
          <w:bCs/>
          <w:color w:val="auto"/>
          <w:lang w:val="en-US" w:eastAsia="zh-CN"/>
        </w:rPr>
        <w:t>。</w:t>
      </w:r>
      <w:r>
        <w:rPr>
          <w:rFonts w:hint="eastAsia"/>
        </w:rPr>
        <w:t>红寺堡区辖区地下水除柳泉水源地水质较好，用于中部供水工程水源外，其它地下水水源均不满足人饮生活用水标准。根据《宁夏同心县红寺堡水源地勘察报告》（1997），</w:t>
      </w:r>
      <w:r>
        <w:t>红寺堡柳泉水源地</w:t>
      </w:r>
      <w:r>
        <w:rPr>
          <w:rFonts w:hint="eastAsia"/>
        </w:rPr>
        <w:t>主要由大气降水</w:t>
      </w:r>
      <w:r>
        <w:t>补给，</w:t>
      </w:r>
      <w:r>
        <w:rPr>
          <w:rFonts w:hint="eastAsia"/>
        </w:rPr>
        <w:t>地下水允许开采量为3万</w:t>
      </w:r>
      <w:r>
        <w:t>m</w:t>
      </w:r>
      <w:r>
        <w:rPr>
          <w:vertAlign w:val="superscript"/>
        </w:rPr>
        <w:t>3</w:t>
      </w:r>
      <w:r>
        <w:t>/</w:t>
      </w:r>
      <w:r>
        <w:rPr>
          <w:rFonts w:hint="eastAsia"/>
        </w:rPr>
        <w:t>d，设计开采量为2万</w:t>
      </w:r>
      <w:r>
        <w:t>m</w:t>
      </w:r>
      <w:r>
        <w:rPr>
          <w:vertAlign w:val="superscript"/>
        </w:rPr>
        <w:t>3</w:t>
      </w:r>
      <w:r>
        <w:t>/</w:t>
      </w:r>
      <w:r>
        <w:rPr>
          <w:rFonts w:hint="eastAsia"/>
        </w:rPr>
        <w:t>d。</w:t>
      </w:r>
      <w:r>
        <w:t>在</w:t>
      </w:r>
      <w:r>
        <w:rPr>
          <w:rFonts w:hint="eastAsia"/>
        </w:rPr>
        <w:t>红寺堡区</w:t>
      </w:r>
      <w:r>
        <w:t>开发建设前期，为了解决红寺堡红柳沟以西区域移民的生活用水，实施了红寺堡西部供水工程，</w:t>
      </w:r>
      <w:r>
        <w:rPr>
          <w:rFonts w:hint="eastAsia"/>
        </w:rPr>
        <w:t>水源为跨行政辖区的中宁县恩和地下水源，日供水能力</w:t>
      </w:r>
      <w:r>
        <w:t>1000m</w:t>
      </w:r>
      <w:r>
        <w:rPr>
          <w:vertAlign w:val="superscript"/>
        </w:rPr>
        <w:t>3</w:t>
      </w:r>
      <w:r>
        <w:t>/d</w:t>
      </w:r>
      <w:r>
        <w:rPr>
          <w:rFonts w:hint="eastAsia"/>
        </w:rPr>
        <w:t>，年供水量为</w:t>
      </w:r>
      <w:r>
        <w:t>36.5</w:t>
      </w:r>
      <w:r>
        <w:rPr>
          <w:rFonts w:hint="eastAsia"/>
        </w:rPr>
        <w:t>万</w:t>
      </w:r>
      <w:r>
        <w:t>m</w:t>
      </w:r>
      <w:r>
        <w:rPr>
          <w:vertAlign w:val="superscript"/>
        </w:rPr>
        <w:t>3</w:t>
      </w:r>
      <w:r>
        <w:t>。</w:t>
      </w:r>
    </w:p>
    <w:p w14:paraId="1ED2B580">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黄河分配水量有限，</w:t>
      </w:r>
      <w:r>
        <w:rPr>
          <w:rFonts w:hint="eastAsia" w:ascii="仿宋_GB2312" w:hAnsi="仿宋_GB2312" w:cs="仿宋_GB2312"/>
          <w:b/>
          <w:bCs/>
          <w:color w:val="auto"/>
          <w:lang w:val="en-US" w:eastAsia="zh-CN"/>
        </w:rPr>
        <w:t>供需矛盾突出</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color w:val="auto"/>
          <w:lang w:val="en-US" w:eastAsia="zh-CN"/>
        </w:rPr>
        <w:t>红寺堡区</w:t>
      </w:r>
      <w:r>
        <w:rPr>
          <w:rFonts w:hint="eastAsia" w:ascii="仿宋_GB2312" w:hAnsi="仿宋_GB2312" w:cs="仿宋_GB2312"/>
          <w:color w:val="auto"/>
          <w:lang w:val="en-US" w:eastAsia="zh-CN"/>
        </w:rPr>
        <w:t>境内当地可利用水源量少质差，经济社会发展主要水源为黄河水。</w:t>
      </w:r>
      <w:r>
        <w:rPr>
          <w:rFonts w:hint="eastAsia" w:ascii="仿宋_GB2312" w:hAnsi="仿宋_GB2312" w:eastAsia="仿宋_GB2312" w:cs="仿宋_GB2312"/>
          <w:color w:val="auto"/>
          <w:lang w:eastAsia="zh-CN"/>
        </w:rPr>
        <w:t>根据《宁夏水资源公报》（2023年），红寺堡区全区取用水总量2.747亿m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，其中黄河水2.689亿m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，地下水0.039亿m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，其它水源0.019亿m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，全区地表水耗水总量2.649亿m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，均为黄河水，人均可利用水资源量仅1349m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，低于全国平均水平。</w:t>
      </w:r>
      <w:bookmarkStart w:id="23" w:name="_Toc20751"/>
      <w:bookmarkStart w:id="24" w:name="_Toc30405"/>
      <w:bookmarkStart w:id="25" w:name="_Toc19114"/>
    </w:p>
    <w:p w14:paraId="4D7F396B">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eastAsia="黑体"/>
          <w:lang w:val="en-US" w:eastAsia="zh-CN"/>
        </w:rPr>
      </w:pPr>
      <w:bookmarkStart w:id="26" w:name="_Toc23335"/>
      <w:r>
        <w:rPr>
          <w:rFonts w:hint="eastAsia"/>
        </w:rPr>
        <w:t>第</w:t>
      </w:r>
      <w:r>
        <w:rPr>
          <w:rFonts w:hint="eastAsia"/>
          <w:lang w:val="en-US" w:eastAsia="zh-CN"/>
        </w:rPr>
        <w:t>三</w:t>
      </w:r>
      <w:r>
        <w:rPr>
          <w:rFonts w:hint="eastAsia"/>
        </w:rPr>
        <w:t>节</w:t>
      </w:r>
      <w:bookmarkEnd w:id="23"/>
      <w:bookmarkEnd w:id="24"/>
      <w:bookmarkEnd w:id="25"/>
      <w:r>
        <w:rPr>
          <w:rFonts w:hint="eastAsia"/>
          <w:lang w:val="en-US" w:eastAsia="zh-CN"/>
        </w:rPr>
        <w:t xml:space="preserve">  水利基础设施建设现状</w:t>
      </w:r>
      <w:bookmarkEnd w:id="26"/>
    </w:p>
    <w:p w14:paraId="79EAF055">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0" w:leftChars="0" w:firstLine="600" w:firstLineChars="200"/>
        <w:jc w:val="both"/>
        <w:textAlignment w:val="baseline"/>
        <w:rPr>
          <w:rFonts w:hint="eastAsia" w:ascii="仿宋_GB2312" w:hAnsi="仿宋_GB2312" w:cs="仿宋_GB2312"/>
          <w:color w:val="auto"/>
          <w:lang w:val="en-US" w:eastAsia="zh-CN"/>
        </w:rPr>
      </w:pPr>
      <w:r>
        <w:rPr>
          <w:rFonts w:hint="eastAsia" w:ascii="仿宋_GB2312" w:hAnsi="仿宋_GB2312" w:cs="仿宋_GB2312"/>
          <w:color w:val="auto"/>
          <w:lang w:val="en-US" w:eastAsia="zh-CN"/>
        </w:rPr>
        <w:t>红寺堡区历届政府高度重视水利事业发展，通过多年持续的建设完善，区域防洪减灾能力得到大幅提升，从水源头到水龙头全过程、全链条的城乡供水安全保障体系基本建成，灌区灌溉排水体系不断完善，并逐步向“节水高效、设施完善、管理科学、生态良好”的现代化灌区稳步推进，河湖生态治理能力明显增强，坚持创新驱动，强化数字赋能，智慧水利建设取得初步成效，持续推动水利工程建设运行管理体制机制改革，为工程长效可持续发展提供了坚实保障。</w:t>
      </w:r>
    </w:p>
    <w:p w14:paraId="248E966C">
      <w:pPr>
        <w:pStyle w:val="4"/>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val="en-US" w:eastAsia="zh-CN"/>
        </w:rPr>
        <w:t>（一）防洪排涝工程</w:t>
      </w:r>
    </w:p>
    <w:p w14:paraId="67F38270">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0" w:leftChars="0" w:firstLine="600" w:firstLineChars="200"/>
        <w:jc w:val="both"/>
        <w:textAlignment w:val="baseline"/>
        <w:rPr>
          <w:rFonts w:hint="default" w:ascii="仿宋_GB2312" w:hAnsi="仿宋_GB2312" w:eastAsia="仿宋_GB2312" w:cs="仿宋_GB2312"/>
          <w:color w:val="auto"/>
          <w:lang w:val="en-US" w:eastAsia="zh-CN"/>
        </w:rPr>
      </w:pPr>
      <w:r>
        <w:rPr>
          <w:rFonts w:hint="eastAsia" w:ascii="仿宋_GB2312" w:hAnsi="仿宋_GB2312" w:cs="仿宋_GB2312"/>
          <w:color w:val="auto"/>
          <w:lang w:val="en-US" w:eastAsia="zh-CN"/>
        </w:rPr>
        <w:t>红寺堡区防洪风险主要来源于红寺堡境内环罗山的众多山洪沟以及过境的清水河、苦水河及红柳沟等天然河流水系。排涝风险主要由降雨及城市排水系统不畅等因素造成。由于区域内降雨一般为短历时暴雨，洪峰陡涨陡落，易引发山洪灾害。区域内流域面积大于5km</w:t>
      </w:r>
      <w:r>
        <w:rPr>
          <w:rFonts w:hint="eastAsia" w:ascii="仿宋_GB2312" w:hAnsi="仿宋_GB2312" w:cs="仿宋_GB2312"/>
          <w:color w:val="auto"/>
          <w:vertAlign w:val="superscript"/>
          <w:lang w:val="en-US" w:eastAsia="zh-CN"/>
        </w:rPr>
        <w:t>2</w:t>
      </w:r>
      <w:r>
        <w:rPr>
          <w:rFonts w:hint="eastAsia" w:ascii="仿宋_GB2312" w:hAnsi="仿宋_GB2312" w:cs="仿宋_GB2312"/>
          <w:color w:val="auto"/>
          <w:vertAlign w:val="baseline"/>
          <w:lang w:val="en-US" w:eastAsia="zh-CN"/>
        </w:rPr>
        <w:t>的山</w:t>
      </w:r>
      <w:r>
        <w:rPr>
          <w:rFonts w:hint="eastAsia" w:ascii="仿宋_GB2312" w:hAnsi="仿宋_GB2312" w:cs="仿宋_GB2312"/>
          <w:color w:val="auto"/>
          <w:lang w:val="en-US" w:eastAsia="zh-CN"/>
        </w:rPr>
        <w:t>洪沟道60余条，近年来通过中小河流治理工程、山洪灾害防治等工程措施，已对部分山洪沟道重点段落进行了治理。</w:t>
      </w:r>
    </w:p>
    <w:p w14:paraId="2776122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val="en-US" w:eastAsia="zh-CN"/>
        </w:rPr>
        <w:t>红寺堡区主要实施了清水河</w:t>
      </w:r>
      <w:r>
        <w:rPr>
          <w:rFonts w:hint="eastAsia"/>
          <w:lang w:eastAsia="zh-CN"/>
        </w:rPr>
        <w:t>、苦水河、红柳沟等骨干</w:t>
      </w:r>
      <w:r>
        <w:rPr>
          <w:rFonts w:hint="eastAsia"/>
          <w:lang w:val="en-US" w:eastAsia="zh-CN"/>
        </w:rPr>
        <w:t>沟道及其支沟的</w:t>
      </w:r>
      <w:r>
        <w:rPr>
          <w:rFonts w:hint="eastAsia"/>
          <w:lang w:eastAsia="zh-CN"/>
        </w:rPr>
        <w:t>综合治理</w:t>
      </w:r>
      <w:r>
        <w:rPr>
          <w:rFonts w:hint="eastAsia"/>
          <w:lang w:val="en-US" w:eastAsia="zh-CN"/>
        </w:rPr>
        <w:t>工程，其中清水河治理总长度18.18km，苦水河治理总长度 21.27km，红柳沟完成生态护岸9.33km。工程</w:t>
      </w:r>
      <w:r>
        <w:rPr>
          <w:rFonts w:hint="eastAsia"/>
          <w:lang w:eastAsia="zh-CN"/>
        </w:rPr>
        <w:t>阶段完成，苦水河部分段落防洪标准达到20年一遇，红柳沟防洪标准</w:t>
      </w:r>
      <w:r>
        <w:rPr>
          <w:rFonts w:hint="eastAsia"/>
          <w:lang w:val="en-US" w:eastAsia="zh-CN"/>
        </w:rPr>
        <w:t>城市段</w:t>
      </w:r>
      <w:r>
        <w:rPr>
          <w:rFonts w:hint="eastAsia"/>
          <w:lang w:eastAsia="zh-CN"/>
        </w:rPr>
        <w:t>达到</w:t>
      </w:r>
      <w:r>
        <w:rPr>
          <w:rFonts w:hint="eastAsia"/>
          <w:lang w:val="en-US" w:eastAsia="zh-CN"/>
        </w:rPr>
        <w:t>20</w:t>
      </w:r>
      <w:r>
        <w:rPr>
          <w:rFonts w:hint="eastAsia"/>
          <w:lang w:eastAsia="zh-CN"/>
        </w:rPr>
        <w:t>年一遇，</w:t>
      </w:r>
      <w:r>
        <w:rPr>
          <w:rFonts w:hint="eastAsia"/>
          <w:lang w:val="en-US" w:eastAsia="zh-CN"/>
        </w:rPr>
        <w:t>乡村段防洪标准10年一遇</w:t>
      </w:r>
      <w:r>
        <w:rPr>
          <w:rFonts w:hint="eastAsia"/>
          <w:lang w:eastAsia="zh-CN"/>
        </w:rPr>
        <w:t>。干、支流及其他河流行洪不畅问题得以解决。</w:t>
      </w:r>
      <w:r>
        <w:rPr>
          <w:rFonts w:hint="eastAsia"/>
          <w:lang w:val="en-US" w:eastAsia="zh-CN"/>
        </w:rPr>
        <w:t>但区域内仍存在部分沟道未得到系统治理，沿线基础设施及居民生产生活仍存在风险隐患，区域的防洪排涝减灾能力有待进一步提升完善。</w:t>
      </w:r>
    </w:p>
    <w:p w14:paraId="0EEEC34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目前</w:t>
      </w:r>
      <w:r>
        <w:rPr>
          <w:rFonts w:hint="eastAsia"/>
          <w:lang w:val="en-US" w:eastAsia="zh-CN"/>
        </w:rPr>
        <w:t>红寺堡区2018年及2021年实施了清水河治理工程，累计完成治理长度18.18km，2018年河道整治工程共15处，砌护总长5.24公里，2021年新建堤防长3.80公里，加固堤防长8.16公里，布设护滩工程4处总长0.98公里；</w:t>
      </w:r>
      <w:r>
        <w:rPr>
          <w:rFonts w:hint="eastAsia"/>
          <w:lang w:eastAsia="zh-CN"/>
        </w:rPr>
        <w:t>红寺堡区已累计实施完成了 2012 年、2014 年、2015 年共 3 个年度</w:t>
      </w:r>
      <w:r>
        <w:rPr>
          <w:rFonts w:hint="eastAsia"/>
          <w:lang w:val="en-US" w:eastAsia="zh-CN"/>
        </w:rPr>
        <w:t>苦水河</w:t>
      </w:r>
      <w:r>
        <w:rPr>
          <w:rFonts w:hint="eastAsia"/>
          <w:lang w:eastAsia="zh-CN"/>
        </w:rPr>
        <w:t>河道整治工程， 累计完成护岸工程 91 处，工程总长度 21.27km；</w:t>
      </w:r>
      <w:r>
        <w:rPr>
          <w:rFonts w:hint="eastAsia"/>
          <w:lang w:val="en-US" w:eastAsia="zh-CN"/>
        </w:rPr>
        <w:t>红柳沟</w:t>
      </w:r>
      <w:r>
        <w:rPr>
          <w:rFonts w:hint="eastAsia"/>
          <w:lang w:eastAsia="zh-CN"/>
        </w:rPr>
        <w:t>已经完成</w:t>
      </w:r>
      <w:r>
        <w:rPr>
          <w:rFonts w:hint="eastAsia"/>
          <w:lang w:val="en-US" w:eastAsia="zh-CN"/>
        </w:rPr>
        <w:t>滚新公路上游1.4km处～多哈路段生态修复，修复11.88</w:t>
      </w:r>
      <w:r>
        <w:rPr>
          <w:rFonts w:hint="eastAsia"/>
          <w:lang w:eastAsia="zh-CN"/>
        </w:rPr>
        <w:t>km，防洪标准20年一遇，设计生态缓冲带工程面积共计</w:t>
      </w:r>
      <w:r>
        <w:rPr>
          <w:rFonts w:hint="eastAsia"/>
          <w:lang w:val="en-US" w:eastAsia="zh-CN"/>
        </w:rPr>
        <w:t>99.8</w:t>
      </w:r>
      <w:r>
        <w:rPr>
          <w:rFonts w:hint="eastAsia"/>
          <w:lang w:eastAsia="zh-CN"/>
        </w:rPr>
        <w:t>6hm²。</w:t>
      </w:r>
    </w:p>
    <w:p w14:paraId="7DCD52D5">
      <w:pPr>
        <w:pStyle w:val="4"/>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（二）</w:t>
      </w:r>
      <w:r>
        <w:rPr>
          <w:rFonts w:hint="eastAsia"/>
          <w:lang w:eastAsia="zh-CN"/>
        </w:rPr>
        <w:t>城乡供水</w:t>
      </w:r>
      <w:r>
        <w:rPr>
          <w:rFonts w:hint="eastAsia"/>
          <w:lang w:val="en-US" w:eastAsia="zh-CN"/>
        </w:rPr>
        <w:t>工程</w:t>
      </w:r>
    </w:p>
    <w:p w14:paraId="27AB90C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val="en-US" w:eastAsia="zh-CN"/>
        </w:rPr>
        <w:t>通过多年建设，基本建成了从水源头到水龙头全过程、全链条的城乡供水安全保障体系，建成了由西部供水工程、乌沙塘供水工程、鲁家窑供水工程、中部供水工程， 新庄集供水工程，马渠供水工程及周新供水工程等 7 处供水工程构成的的城乡供水体系，</w:t>
      </w:r>
      <w:r>
        <w:rPr>
          <w:rFonts w:hint="eastAsia"/>
          <w:lang w:eastAsia="zh-CN"/>
        </w:rPr>
        <w:t>通过各供水工程的建设，红寺堡区供水总人口 20.</w:t>
      </w:r>
      <w:r>
        <w:rPr>
          <w:rFonts w:hint="eastAsia"/>
          <w:lang w:val="en-US" w:eastAsia="zh-CN"/>
        </w:rPr>
        <w:t>3</w:t>
      </w:r>
      <w:r>
        <w:rPr>
          <w:rFonts w:hint="eastAsia"/>
          <w:lang w:eastAsia="zh-CN"/>
        </w:rPr>
        <w:t xml:space="preserve">6 万人，供水覆盖率已达 </w:t>
      </w:r>
      <w:r>
        <w:rPr>
          <w:rFonts w:hint="eastAsia"/>
          <w:lang w:val="en-US" w:eastAsia="zh-CN"/>
        </w:rPr>
        <w:t>100</w:t>
      </w:r>
      <w:r>
        <w:rPr>
          <w:rFonts w:hint="eastAsia"/>
          <w:lang w:eastAsia="zh-CN"/>
        </w:rPr>
        <w:t>%以上。近三年红寺堡区平均引水总量为715 万 m³, 其中黄河水引水量为361 万 m³/年，地下水引水量为353 万 m³/年。红寺堡区人饮供水有 8 处水源地（包括还未启用的新庄集抗旱应急水源），其中机井水源地 2 处，黄河水水源地 6 处， 6 处地表水源均通过规模化水厂对原水进行处理后可达到人饮水标准，2 处地下水源进行消毒处理后直接供受水区引用。</w:t>
      </w:r>
    </w:p>
    <w:p w14:paraId="288EF4E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color w:val="auto"/>
          <w:lang w:val="en-US" w:eastAsia="zh-CN"/>
        </w:rPr>
      </w:pPr>
      <w:r>
        <w:rPr>
          <w:rFonts w:hint="eastAsia"/>
          <w:lang w:val="en-US" w:eastAsia="zh-CN"/>
        </w:rPr>
        <w:t>十四五以来按照自治区“互联网+城乡供水”示范省区建设要求，积极推进本县域“互联网+城乡供水”相关工作。截止2023年底，</w:t>
      </w:r>
      <w:r>
        <w:rPr>
          <w:rFonts w:hint="eastAsia"/>
          <w:color w:val="auto"/>
          <w:lang w:val="en-US" w:eastAsia="zh-CN"/>
        </w:rPr>
        <w:t>自来水普及率 100%、供水保证率95%以上，规模化供水人口比例100%。</w:t>
      </w:r>
    </w:p>
    <w:p w14:paraId="5249A240">
      <w:pPr>
        <w:pStyle w:val="4"/>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（三）灌溉排水工程</w:t>
      </w:r>
    </w:p>
    <w:p w14:paraId="41C8829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1 灌溉渠系</w:t>
      </w:r>
    </w:p>
    <w:p w14:paraId="3766C33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红三干渠和红四干渠两条渠系构成了红寺堡区灌溉水网骨干体系，</w:t>
      </w:r>
      <w:r>
        <w:rPr>
          <w:rFonts w:hint="eastAsia"/>
          <w:lang w:val="en-US" w:eastAsia="zh-CN"/>
        </w:rPr>
        <w:t>固扩三干渠及长三支干渠构成红寺堡区灌溉水网西部辅助体系，盐环定八干渠的分支韦州支干渠构成红寺堡区灌溉水网东部辅助体系</w:t>
      </w:r>
      <w:r>
        <w:rPr>
          <w:rFonts w:hint="eastAsia"/>
          <w:lang w:eastAsia="zh-CN"/>
        </w:rPr>
        <w:t>。红三干渠和红四干渠两条扬黄干渠自西向东相接横穿红寺堡区，从红三干取水</w:t>
      </w:r>
      <w:r>
        <w:rPr>
          <w:rFonts w:hint="eastAsia"/>
          <w:lang w:val="en-US" w:eastAsia="zh-CN"/>
        </w:rPr>
        <w:t>的</w:t>
      </w:r>
      <w:r>
        <w:rPr>
          <w:rFonts w:hint="eastAsia"/>
          <w:lang w:eastAsia="zh-CN"/>
        </w:rPr>
        <w:t>新圈一支干渠和二支干渠</w:t>
      </w:r>
      <w:r>
        <w:rPr>
          <w:rFonts w:hint="eastAsia"/>
          <w:lang w:val="en-US" w:eastAsia="zh-CN"/>
        </w:rPr>
        <w:t>由北向南延伸</w:t>
      </w:r>
      <w:r>
        <w:rPr>
          <w:rFonts w:hint="eastAsia"/>
          <w:lang w:eastAsia="zh-CN"/>
        </w:rPr>
        <w:t>，</w:t>
      </w:r>
      <w:r>
        <w:rPr>
          <w:rFonts w:hint="eastAsia"/>
          <w:lang w:val="en-US" w:eastAsia="zh-CN"/>
        </w:rPr>
        <w:t>新圈干渠灌溉面积 4.08 万亩；</w:t>
      </w:r>
      <w:r>
        <w:rPr>
          <w:rFonts w:hint="eastAsia"/>
          <w:lang w:eastAsia="zh-CN"/>
        </w:rPr>
        <w:t>从红三干渠取水的新庄集一至四支干渠由红寺堡区西北向东南方向延伸，</w:t>
      </w:r>
      <w:r>
        <w:rPr>
          <w:rFonts w:hint="eastAsia"/>
          <w:lang w:val="en-US" w:eastAsia="zh-CN"/>
        </w:rPr>
        <w:t>新庄集支干渠通过新庄集三级支泵站扬水；</w:t>
      </w:r>
      <w:r>
        <w:rPr>
          <w:rFonts w:hint="eastAsia"/>
          <w:lang w:eastAsia="zh-CN"/>
        </w:rPr>
        <w:t>从红三干渠取水的海子塘一至二支干渠向红寺堡区西北方向延伸，海子塘</w:t>
      </w:r>
      <w:r>
        <w:rPr>
          <w:rFonts w:hint="eastAsia"/>
          <w:lang w:val="en-US" w:eastAsia="zh-CN"/>
        </w:rPr>
        <w:t>支干渠灌溉面积5.08万亩。</w:t>
      </w:r>
      <w:r>
        <w:rPr>
          <w:rFonts w:hint="eastAsia"/>
          <w:lang w:eastAsia="zh-CN"/>
        </w:rPr>
        <w:t>依托两条干渠及支干渠形成了发达的工业、农业、畜牧业产业链，2021年12月，红寺堡扬水灌区被水利部、发展改革委列入第二批灌区水效领跑者名单。</w:t>
      </w:r>
    </w:p>
    <w:p w14:paraId="0F6B473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b/>
          <w:bCs/>
          <w:lang w:eastAsia="zh-CN"/>
        </w:rPr>
        <w:t>红三干渠</w:t>
      </w:r>
      <w:r>
        <w:rPr>
          <w:rFonts w:hint="eastAsia"/>
          <w:lang w:eastAsia="zh-CN"/>
        </w:rPr>
        <w:t>：红三干渠全长61.33km，起始于中宁县恩和乡东南9公里邢家窑处，自龙泉村处穿红九路后进入红寺堡区，止于太阳山镇买河村南侧。</w:t>
      </w:r>
    </w:p>
    <w:p w14:paraId="49E24F0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b/>
          <w:bCs/>
          <w:lang w:eastAsia="zh-CN"/>
        </w:rPr>
        <w:t>红四干渠：</w:t>
      </w:r>
      <w:r>
        <w:rPr>
          <w:rFonts w:hint="eastAsia"/>
          <w:lang w:eastAsia="zh-CN"/>
        </w:rPr>
        <w:t>红四干渠全长15.06公里，起始于红三干渠末端买河村南侧，由红四泵站扬水入红四干渠，经过周新村东侧出红寺堡区。</w:t>
      </w:r>
    </w:p>
    <w:p w14:paraId="79EC801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b/>
          <w:bCs/>
          <w:lang w:val="en-US" w:eastAsia="zh-CN"/>
        </w:rPr>
        <w:t>固扩三干渠：</w:t>
      </w:r>
      <w:r>
        <w:rPr>
          <w:rFonts w:hint="eastAsia"/>
          <w:lang w:val="en-US" w:eastAsia="zh-CN"/>
        </w:rPr>
        <w:t>从红寺堡区西侧由北向南临边境而过，固扩</w:t>
      </w:r>
      <w:r>
        <w:rPr>
          <w:rFonts w:hint="default"/>
          <w:lang w:val="en-US" w:eastAsia="zh-CN"/>
        </w:rPr>
        <w:t>三干渠全长22.4</w:t>
      </w:r>
      <w:r>
        <w:rPr>
          <w:rFonts w:hint="eastAsia"/>
          <w:lang w:val="en-US" w:eastAsia="zh-CN"/>
        </w:rPr>
        <w:t>2</w:t>
      </w:r>
      <w:r>
        <w:rPr>
          <w:rFonts w:hint="default"/>
          <w:lang w:val="en-US" w:eastAsia="zh-CN"/>
        </w:rPr>
        <w:t>km</w:t>
      </w:r>
      <w:r>
        <w:rPr>
          <w:rFonts w:hint="eastAsia"/>
          <w:lang w:val="en-US" w:eastAsia="zh-CN"/>
        </w:rPr>
        <w:t>，起始于红寺堡区石坡子村北侧1km处，在石坡子村东北侧0.7km处入红寺堡区，在马家河湾村东南侧1km处出红寺堡区。</w:t>
      </w:r>
    </w:p>
    <w:p w14:paraId="4749445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b w:val="0"/>
          <w:bCs w:val="0"/>
          <w:lang w:val="en-US" w:eastAsia="zh-CN"/>
        </w:rPr>
      </w:pPr>
      <w:r>
        <w:rPr>
          <w:rFonts w:hint="eastAsia"/>
          <w:b/>
          <w:bCs/>
          <w:lang w:val="en-US" w:eastAsia="zh-CN"/>
        </w:rPr>
        <w:t>长三支干渠：</w:t>
      </w:r>
      <w:r>
        <w:rPr>
          <w:rFonts w:hint="eastAsia"/>
          <w:b w:val="0"/>
          <w:bCs w:val="0"/>
          <w:lang w:val="en-US" w:eastAsia="zh-CN"/>
        </w:rPr>
        <w:t>长三支干渠为固海二支渠的分支，全长14.33km，起始于红寺堡区石坡子村北侧0.9km处，紧临石坡子村东侧入红寺堡区，终止于马家河湾村东侧0.8km处。</w:t>
      </w:r>
    </w:p>
    <w:p w14:paraId="655DA8F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val="0"/>
          <w:bCs w:val="0"/>
          <w:color w:val="auto"/>
          <w:lang w:val="en-US" w:eastAsia="zh-CN"/>
        </w:rPr>
      </w:pPr>
      <w:r>
        <w:rPr>
          <w:rFonts w:hint="eastAsia"/>
          <w:b/>
          <w:bCs/>
          <w:lang w:val="en-US" w:eastAsia="zh-CN"/>
        </w:rPr>
        <w:t>韦州支干渠：</w:t>
      </w:r>
      <w:r>
        <w:rPr>
          <w:rFonts w:hint="eastAsia"/>
          <w:b w:val="0"/>
          <w:bCs w:val="0"/>
          <w:color w:val="auto"/>
          <w:lang w:val="en-US" w:eastAsia="zh-CN"/>
        </w:rPr>
        <w:t>韦州支干渠为盐环定八干渠的分支，全长39.9km，起始于红寺堡区东侧1.2km处，过211国道后入红寺堡区，沿十八里淌村东侧出红寺堡区。</w:t>
      </w:r>
    </w:p>
    <w:p w14:paraId="6D69256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红寺堡区现状干渠长92.42km，</w:t>
      </w:r>
      <w:r>
        <w:rPr>
          <w:rFonts w:hint="eastAsia"/>
          <w:lang w:eastAsia="zh-CN"/>
        </w:rPr>
        <w:t>支干渠</w:t>
      </w:r>
      <w:r>
        <w:rPr>
          <w:rFonts w:hint="eastAsia"/>
          <w:lang w:val="en-US" w:eastAsia="zh-CN"/>
        </w:rPr>
        <w:t>总长52.0km，干渠、支干渠及支渠</w:t>
      </w:r>
      <w:r>
        <w:rPr>
          <w:rFonts w:hint="eastAsia"/>
          <w:lang w:eastAsia="zh-CN"/>
        </w:rPr>
        <w:t>渠道均已砌护，</w:t>
      </w:r>
      <w:r>
        <w:rPr>
          <w:rFonts w:hint="eastAsia"/>
          <w:lang w:val="en-US" w:eastAsia="zh-CN"/>
        </w:rPr>
        <w:t>但</w:t>
      </w:r>
      <w:r>
        <w:rPr>
          <w:rFonts w:hint="eastAsia"/>
          <w:lang w:eastAsia="zh-CN"/>
        </w:rPr>
        <w:t>现状</w:t>
      </w:r>
      <w:r>
        <w:rPr>
          <w:rFonts w:hint="eastAsia"/>
          <w:lang w:val="en-US" w:eastAsia="zh-CN"/>
        </w:rPr>
        <w:t>渠道</w:t>
      </w:r>
      <w:r>
        <w:rPr>
          <w:rFonts w:hint="eastAsia"/>
          <w:lang w:eastAsia="zh-CN"/>
        </w:rPr>
        <w:t>衬砌板变形滑塌、混凝土剥蚀</w:t>
      </w:r>
      <w:r>
        <w:rPr>
          <w:rFonts w:hint="eastAsia"/>
          <w:lang w:val="en-US" w:eastAsia="zh-CN"/>
        </w:rPr>
        <w:t>段落较长。</w:t>
      </w:r>
    </w:p>
    <w:p w14:paraId="3635974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b/>
          <w:bCs/>
          <w:color w:val="auto"/>
          <w:lang w:eastAsia="zh-CN"/>
        </w:rPr>
      </w:pPr>
      <w:r>
        <w:rPr>
          <w:rFonts w:hint="eastAsia" w:ascii="仿宋_GB2312" w:hAnsi="仿宋_GB2312" w:cs="仿宋_GB2312"/>
          <w:b/>
          <w:bCs/>
          <w:color w:val="auto"/>
          <w:lang w:val="en-US" w:eastAsia="zh-CN"/>
        </w:rPr>
        <w:t>2</w:t>
      </w:r>
      <w:r>
        <w:rPr>
          <w:rFonts w:hint="eastAsia" w:ascii="仿宋_GB2312" w:hAnsi="仿宋_GB2312" w:eastAsia="仿宋_GB2312" w:cs="仿宋_GB2312"/>
          <w:b/>
          <w:bCs/>
          <w:color w:val="auto"/>
          <w:lang w:val="en-US" w:eastAsia="zh-CN"/>
        </w:rPr>
        <w:t xml:space="preserve"> 调蓄水池</w:t>
      </w:r>
    </w:p>
    <w:p w14:paraId="4FA166B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仿宋"/>
          <w:color w:val="auto"/>
          <w:sz w:val="30"/>
          <w:vertAlign w:val="baseline"/>
          <w:lang w:val="en-US" w:eastAsia="zh-CN"/>
        </w:rPr>
      </w:pPr>
      <w:r>
        <w:rPr>
          <w:rFonts w:hint="eastAsia"/>
          <w:lang w:val="en-US" w:eastAsia="zh-CN"/>
        </w:rPr>
        <w:t>红寺堡区共有调蓄水池119座，总容积</w:t>
      </w:r>
      <w:r>
        <w:rPr>
          <w:rFonts w:hint="eastAsia"/>
          <w:color w:val="auto"/>
          <w:lang w:val="en-US" w:eastAsia="zh-CN"/>
        </w:rPr>
        <w:t>2900多万m</w:t>
      </w:r>
      <w:r>
        <w:rPr>
          <w:rFonts w:hint="eastAsia"/>
          <w:color w:val="auto"/>
          <w:vertAlign w:val="superscript"/>
          <w:lang w:val="en-US" w:eastAsia="zh-CN"/>
        </w:rPr>
        <w:t>3</w:t>
      </w:r>
      <w:r>
        <w:rPr>
          <w:rFonts w:hint="eastAsia"/>
          <w:lang w:val="en-US" w:eastAsia="zh-CN"/>
        </w:rPr>
        <w:t>，库容大于50万m</w:t>
      </w:r>
      <w:r>
        <w:rPr>
          <w:rFonts w:hint="eastAsia"/>
          <w:vertAlign w:val="superscript"/>
          <w:lang w:val="en-US" w:eastAsia="zh-CN"/>
        </w:rPr>
        <w:t>3</w:t>
      </w:r>
      <w:r>
        <w:rPr>
          <w:rFonts w:hint="eastAsia"/>
          <w:vertAlign w:val="baseline"/>
          <w:lang w:val="en-US" w:eastAsia="zh-CN"/>
        </w:rPr>
        <w:t>的</w:t>
      </w:r>
      <w:r>
        <w:rPr>
          <w:rFonts w:hint="eastAsia"/>
          <w:lang w:val="en-US" w:eastAsia="zh-CN"/>
        </w:rPr>
        <w:t>调蓄水池主要有鲁家窑水库、新庄集水库、肖家窑水库、乌沙塘水库、红崖蓄水池、柳树台调蓄水池及黄草墩调蓄水池等，红寺堡区内蓄水池为当地经济发展做出了巨大的贡献，尤其是近年干旱年份大中型骨干蓄水池发挥了抗旱应急调蓄的作用。</w:t>
      </w:r>
    </w:p>
    <w:p w14:paraId="138F9B9B">
      <w:pPr>
        <w:pStyle w:val="4"/>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（四）</w:t>
      </w:r>
      <w:r>
        <w:rPr>
          <w:rFonts w:hint="eastAsia"/>
          <w:lang w:eastAsia="zh-CN"/>
        </w:rPr>
        <w:t>河湖生态</w:t>
      </w:r>
      <w:r>
        <w:rPr>
          <w:rFonts w:hint="eastAsia"/>
          <w:lang w:val="en-US" w:eastAsia="zh-CN"/>
        </w:rPr>
        <w:t>保护</w:t>
      </w:r>
    </w:p>
    <w:p w14:paraId="64A5058B">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全面完成</w:t>
      </w:r>
      <w:r>
        <w:rPr>
          <w:rFonts w:hint="eastAsia" w:ascii="仿宋_GB2312" w:hAnsi="仿宋_GB2312" w:cs="仿宋_GB2312"/>
          <w:color w:val="auto"/>
          <w:lang w:val="en-US" w:eastAsia="zh-CN"/>
        </w:rPr>
        <w:t>红寺堡区5</w:t>
      </w:r>
      <w:r>
        <w:rPr>
          <w:rFonts w:hint="eastAsia" w:ascii="仿宋_GB2312" w:hAnsi="仿宋_GB2312" w:eastAsia="仿宋_GB2312" w:cs="仿宋_GB2312"/>
          <w:color w:val="auto"/>
          <w:lang w:eastAsia="zh-CN"/>
        </w:rPr>
        <w:t>9条</w:t>
      </w:r>
      <w:r>
        <w:rPr>
          <w:rFonts w:hint="eastAsia" w:ascii="仿宋_GB2312" w:hAnsi="仿宋_GB2312" w:cs="仿宋_GB2312"/>
          <w:color w:val="auto"/>
          <w:lang w:val="en-US" w:eastAsia="zh-CN"/>
        </w:rPr>
        <w:t>沟道</w:t>
      </w:r>
      <w:r>
        <w:rPr>
          <w:rFonts w:hint="eastAsia" w:ascii="仿宋_GB2312" w:hAnsi="仿宋_GB2312" w:eastAsia="仿宋_GB2312" w:cs="仿宋_GB2312"/>
          <w:color w:val="auto"/>
          <w:lang w:eastAsia="zh-CN"/>
        </w:rPr>
        <w:t>及河流河湖划界工作，</w:t>
      </w:r>
      <w:r>
        <w:rPr>
          <w:rFonts w:hint="eastAsia" w:ascii="仿宋_GB2312" w:hAnsi="仿宋_GB2312" w:cs="仿宋_GB2312"/>
          <w:color w:val="auto"/>
          <w:lang w:val="en-US" w:eastAsia="zh-CN"/>
        </w:rPr>
        <w:t>划界长度</w:t>
      </w:r>
      <w:r>
        <w:rPr>
          <w:rFonts w:hint="eastAsia" w:ascii="仿宋_GB2312" w:hAnsi="仿宋_GB2312" w:eastAsia="仿宋_GB2312" w:cs="仿宋_GB2312"/>
          <w:color w:val="auto"/>
          <w:lang w:eastAsia="zh-CN"/>
        </w:rPr>
        <w:t>831公里</w:t>
      </w:r>
      <w:r>
        <w:rPr>
          <w:rFonts w:hint="eastAsia" w:ascii="仿宋_GB2312" w:hAnsi="仿宋_GB2312" w:cs="仿宋_GB2312"/>
          <w:color w:val="auto"/>
          <w:lang w:eastAsia="zh-CN"/>
        </w:rPr>
        <w:t>，</w:t>
      </w:r>
      <w:r>
        <w:rPr>
          <w:rFonts w:hint="eastAsia" w:ascii="仿宋_GB2312" w:hAnsi="仿宋_GB2312" w:eastAsia="仿宋_GB2312" w:cs="仿宋_GB2312"/>
          <w:color w:val="auto"/>
          <w:lang w:eastAsia="zh-CN"/>
        </w:rPr>
        <w:t>聚焦“水清、河畅、岸绿、景美”的目标，坚持目标导向、问题导向，县域内水环境质量显著提升，水域岸线“四乱”问题得到有效控制。</w:t>
      </w:r>
    </w:p>
    <w:p w14:paraId="2C1006A8">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水土流失仍然是威胁流域生态安全的首要问题，水土流失导致水源涵养能力下降，流域耕地土地流失，土地生产能力下降，土地贫瘠，土地资源逐步被蚕食，同时造成自然灾害频发、河流库坝淤积等生态问题</w:t>
      </w:r>
      <w:r>
        <w:rPr>
          <w:rFonts w:hint="eastAsia" w:ascii="仿宋_GB2312" w:hAnsi="仿宋_GB2312" w:cs="仿宋_GB2312"/>
          <w:color w:val="auto"/>
          <w:lang w:eastAsia="zh-CN"/>
        </w:rPr>
        <w:t>。</w:t>
      </w:r>
    </w:p>
    <w:p w14:paraId="368449D5">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default" w:ascii="仿宋_GB2312" w:hAnsi="仿宋_GB2312" w:eastAsia="仿宋_GB2312" w:cs="仿宋_GB2312"/>
          <w:color w:val="auto"/>
          <w:lang w:val="en-US" w:eastAsia="zh-CN"/>
        </w:rPr>
      </w:pPr>
      <w:r>
        <w:rPr>
          <w:rFonts w:hint="eastAsia" w:ascii="仿宋_GB2312" w:hAnsi="仿宋_GB2312" w:cs="仿宋_GB2312"/>
          <w:color w:val="auto"/>
          <w:lang w:val="en-US" w:eastAsia="zh-CN"/>
        </w:rPr>
        <w:t>红寺堡区国土面积3523km</w:t>
      </w:r>
      <w:r>
        <w:rPr>
          <w:rFonts w:hint="eastAsia" w:ascii="仿宋_GB2312" w:hAnsi="仿宋_GB2312" w:cs="仿宋_GB2312"/>
          <w:color w:val="auto"/>
          <w:vertAlign w:val="superscript"/>
          <w:lang w:val="en-US" w:eastAsia="zh-CN"/>
        </w:rPr>
        <w:t>2</w:t>
      </w:r>
      <w:r>
        <w:rPr>
          <w:rFonts w:hint="eastAsia" w:ascii="仿宋_GB2312" w:hAnsi="仿宋_GB2312" w:cs="仿宋_GB2312"/>
          <w:color w:val="auto"/>
          <w:vertAlign w:val="baseline"/>
          <w:lang w:val="en-US" w:eastAsia="zh-CN"/>
        </w:rPr>
        <w:t>，2023年水土流失面积</w:t>
      </w:r>
      <w:r>
        <w:rPr>
          <w:rFonts w:hint="eastAsia" w:ascii="仿宋_GB2312" w:hAnsi="仿宋_GB2312" w:cs="仿宋_GB2312"/>
          <w:color w:val="auto"/>
          <w:lang w:val="en-US" w:eastAsia="zh-CN"/>
        </w:rPr>
        <w:t>771.67km</w:t>
      </w:r>
      <w:r>
        <w:rPr>
          <w:rFonts w:hint="eastAsia" w:ascii="仿宋_GB2312" w:hAnsi="仿宋_GB2312" w:cs="仿宋_GB2312"/>
          <w:color w:val="auto"/>
          <w:vertAlign w:val="superscript"/>
          <w:lang w:val="en-US" w:eastAsia="zh-CN"/>
        </w:rPr>
        <w:t>2</w:t>
      </w:r>
      <w:r>
        <w:rPr>
          <w:rFonts w:hint="eastAsia" w:ascii="仿宋_GB2312" w:hAnsi="仿宋_GB2312" w:cs="仿宋_GB2312"/>
          <w:color w:val="auto"/>
          <w:vertAlign w:val="baseline"/>
          <w:lang w:val="en-US" w:eastAsia="zh-CN"/>
        </w:rPr>
        <w:t>，水土流失面积占比21.90%，其中轻度侵蚀面积</w:t>
      </w:r>
      <w:r>
        <w:rPr>
          <w:rFonts w:hint="eastAsia" w:ascii="仿宋_GB2312" w:hAnsi="仿宋_GB2312" w:cs="仿宋_GB2312"/>
          <w:color w:val="auto"/>
          <w:lang w:val="en-US" w:eastAsia="zh-CN"/>
        </w:rPr>
        <w:t>578.78km</w:t>
      </w:r>
      <w:r>
        <w:rPr>
          <w:rFonts w:hint="eastAsia" w:ascii="仿宋_GB2312" w:hAnsi="仿宋_GB2312" w:cs="仿宋_GB2312"/>
          <w:color w:val="auto"/>
          <w:vertAlign w:val="superscript"/>
          <w:lang w:val="en-US" w:eastAsia="zh-CN"/>
        </w:rPr>
        <w:t>2</w:t>
      </w:r>
      <w:r>
        <w:rPr>
          <w:rFonts w:hint="eastAsia" w:ascii="仿宋_GB2312" w:hAnsi="仿宋_GB2312" w:cs="仿宋_GB2312"/>
          <w:color w:val="auto"/>
          <w:vertAlign w:val="baseline"/>
          <w:lang w:val="en-US" w:eastAsia="zh-CN"/>
        </w:rPr>
        <w:t>，占比75.01%，中度侵蚀面积</w:t>
      </w:r>
      <w:r>
        <w:rPr>
          <w:rFonts w:hint="eastAsia" w:ascii="仿宋_GB2312" w:hAnsi="仿宋_GB2312" w:cs="仿宋_GB2312"/>
          <w:color w:val="auto"/>
          <w:lang w:val="en-US" w:eastAsia="zh-CN"/>
        </w:rPr>
        <w:t>185.85km</w:t>
      </w:r>
      <w:r>
        <w:rPr>
          <w:rFonts w:hint="eastAsia" w:ascii="仿宋_GB2312" w:hAnsi="仿宋_GB2312" w:cs="仿宋_GB2312"/>
          <w:color w:val="auto"/>
          <w:vertAlign w:val="superscript"/>
          <w:lang w:val="en-US" w:eastAsia="zh-CN"/>
        </w:rPr>
        <w:t>2</w:t>
      </w:r>
      <w:r>
        <w:rPr>
          <w:rFonts w:hint="eastAsia" w:ascii="仿宋_GB2312" w:hAnsi="仿宋_GB2312" w:cs="仿宋_GB2312"/>
          <w:color w:val="auto"/>
          <w:vertAlign w:val="baseline"/>
          <w:lang w:val="en-US" w:eastAsia="zh-CN"/>
        </w:rPr>
        <w:t>，占比24.08%，强烈侵蚀面积</w:t>
      </w:r>
      <w:r>
        <w:rPr>
          <w:rFonts w:hint="eastAsia" w:ascii="仿宋_GB2312" w:hAnsi="仿宋_GB2312" w:cs="仿宋_GB2312"/>
          <w:color w:val="auto"/>
          <w:lang w:val="en-US" w:eastAsia="zh-CN"/>
        </w:rPr>
        <w:t>6.97km</w:t>
      </w:r>
      <w:r>
        <w:rPr>
          <w:rFonts w:hint="eastAsia" w:ascii="仿宋_GB2312" w:hAnsi="仿宋_GB2312" w:cs="仿宋_GB2312"/>
          <w:color w:val="auto"/>
          <w:vertAlign w:val="superscript"/>
          <w:lang w:val="en-US" w:eastAsia="zh-CN"/>
        </w:rPr>
        <w:t>2</w:t>
      </w:r>
      <w:r>
        <w:rPr>
          <w:rFonts w:hint="eastAsia" w:ascii="仿宋_GB2312" w:hAnsi="仿宋_GB2312" w:cs="仿宋_GB2312"/>
          <w:color w:val="auto"/>
          <w:vertAlign w:val="baseline"/>
          <w:lang w:val="en-US" w:eastAsia="zh-CN"/>
        </w:rPr>
        <w:t>，占比0.9%，极强烈侵蚀面积</w:t>
      </w:r>
      <w:r>
        <w:rPr>
          <w:rFonts w:hint="eastAsia" w:ascii="仿宋_GB2312" w:hAnsi="仿宋_GB2312" w:cs="仿宋_GB2312"/>
          <w:color w:val="auto"/>
          <w:lang w:val="en-US" w:eastAsia="zh-CN"/>
        </w:rPr>
        <w:t>0.07km</w:t>
      </w:r>
      <w:r>
        <w:rPr>
          <w:rFonts w:hint="eastAsia" w:ascii="仿宋_GB2312" w:hAnsi="仿宋_GB2312" w:cs="仿宋_GB2312"/>
          <w:color w:val="auto"/>
          <w:vertAlign w:val="superscript"/>
          <w:lang w:val="en-US" w:eastAsia="zh-CN"/>
        </w:rPr>
        <w:t>2</w:t>
      </w:r>
      <w:r>
        <w:rPr>
          <w:rFonts w:hint="eastAsia" w:ascii="仿宋_GB2312" w:hAnsi="仿宋_GB2312" w:cs="仿宋_GB2312"/>
          <w:color w:val="auto"/>
          <w:vertAlign w:val="baseline"/>
          <w:lang w:val="en-US" w:eastAsia="zh-CN"/>
        </w:rPr>
        <w:t>，占比0.01%。2023年治理水土流失面积</w:t>
      </w:r>
      <w:r>
        <w:rPr>
          <w:rFonts w:hint="eastAsia" w:ascii="仿宋_GB2312" w:hAnsi="仿宋_GB2312" w:cs="仿宋_GB2312"/>
          <w:color w:val="auto"/>
          <w:lang w:val="en-US" w:eastAsia="zh-CN"/>
        </w:rPr>
        <w:t>36.34km</w:t>
      </w:r>
      <w:r>
        <w:rPr>
          <w:rFonts w:hint="eastAsia" w:ascii="仿宋_GB2312" w:hAnsi="仿宋_GB2312" w:cs="仿宋_GB2312"/>
          <w:color w:val="auto"/>
          <w:vertAlign w:val="superscript"/>
          <w:lang w:val="en-US" w:eastAsia="zh-CN"/>
        </w:rPr>
        <w:t>2</w:t>
      </w:r>
      <w:r>
        <w:rPr>
          <w:rFonts w:hint="eastAsia" w:ascii="仿宋_GB2312" w:hAnsi="仿宋_GB2312" w:cs="仿宋_GB2312"/>
          <w:color w:val="auto"/>
          <w:vertAlign w:val="baseline"/>
          <w:lang w:val="en-US" w:eastAsia="zh-CN"/>
        </w:rPr>
        <w:t>，水土保持率78.10%。</w:t>
      </w:r>
    </w:p>
    <w:p w14:paraId="13E24977">
      <w:pPr>
        <w:pStyle w:val="4"/>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val="en-US" w:eastAsia="zh-CN"/>
        </w:rPr>
        <w:t>（五）智慧水利</w:t>
      </w:r>
    </w:p>
    <w:p w14:paraId="3756123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一是工程设施感知建设，完善</w:t>
      </w:r>
      <w:r>
        <w:rPr>
          <w:rFonts w:hint="eastAsia"/>
          <w:lang w:val="en-US" w:eastAsia="zh-CN"/>
        </w:rPr>
        <w:t>水利工程设施的</w:t>
      </w:r>
      <w:r>
        <w:rPr>
          <w:rFonts w:hint="eastAsia"/>
          <w:lang w:eastAsia="zh-CN"/>
        </w:rPr>
        <w:t>水情、视频、安全等监测体系，补充建设监测预警设施，</w:t>
      </w:r>
      <w:r>
        <w:t>补齐和提升</w:t>
      </w:r>
      <w:r>
        <w:rPr>
          <w:rFonts w:hint="eastAsia"/>
          <w:lang w:eastAsia="zh-CN"/>
        </w:rPr>
        <w:t>水利工程安全及运行监测设施。</w:t>
      </w:r>
      <w:r>
        <w:rPr>
          <w:rFonts w:hint="eastAsia"/>
          <w:lang w:val="en-US" w:eastAsia="zh-CN"/>
        </w:rPr>
        <w:t>二</w:t>
      </w:r>
      <w:r>
        <w:rPr>
          <w:rFonts w:hint="eastAsia"/>
          <w:lang w:eastAsia="zh-CN"/>
        </w:rPr>
        <w:t>是水利管理活动的动态感知能力建设，全面提升水灾害防御、水资源保障、水生态保护、水工程监管等水利核心业务管理活动中的重要事件、行为和现象的遥感监测、定点监测、移动监测和应急监测，以及智能化信息处理、解析等动态感知能力，满足业务对数据和信息在空间尺度、时间频次等方面的不同需求。</w:t>
      </w:r>
    </w:p>
    <w:p w14:paraId="41E93B80">
      <w:pPr>
        <w:pStyle w:val="3"/>
        <w:keepNext w:val="0"/>
        <w:keepLines w:val="0"/>
        <w:pageBreakBefore w:val="0"/>
        <w:widowControl w:val="0"/>
        <w:kinsoku/>
        <w:wordWrap/>
        <w:overflowPunct w:val="0"/>
        <w:topLinePunct w:val="0"/>
        <w:autoSpaceDE w:val="0"/>
        <w:autoSpaceDN w:val="0"/>
        <w:bidi w:val="0"/>
        <w:adjustRightInd w:val="0"/>
        <w:snapToGrid w:val="0"/>
        <w:rPr>
          <w:rFonts w:hint="default" w:ascii="黑体" w:hAnsi="黑体" w:eastAsia="黑体" w:cs="黑体"/>
          <w:color w:val="auto"/>
          <w:lang w:val="en-US" w:eastAsia="zh-CN"/>
        </w:rPr>
      </w:pPr>
      <w:bookmarkStart w:id="27" w:name="_Toc18891"/>
      <w:bookmarkStart w:id="28" w:name="_Toc2022"/>
      <w:bookmarkStart w:id="29" w:name="_Toc21283"/>
      <w:bookmarkStart w:id="30" w:name="_Toc2894"/>
      <w:r>
        <w:rPr>
          <w:rFonts w:hint="eastAsia" w:ascii="黑体" w:hAnsi="黑体" w:eastAsia="黑体" w:cs="黑体"/>
          <w:color w:val="auto"/>
          <w:lang w:eastAsia="zh-CN"/>
        </w:rPr>
        <w:t>第</w:t>
      </w:r>
      <w:r>
        <w:rPr>
          <w:rFonts w:hint="eastAsia" w:ascii="黑体" w:hAnsi="黑体" w:cs="黑体"/>
          <w:color w:val="auto"/>
          <w:lang w:val="en-US" w:eastAsia="zh-CN"/>
        </w:rPr>
        <w:t>四</w:t>
      </w:r>
      <w:r>
        <w:rPr>
          <w:rFonts w:hint="eastAsia" w:ascii="黑体" w:hAnsi="黑体" w:eastAsia="黑体" w:cs="黑体"/>
          <w:color w:val="auto"/>
          <w:lang w:eastAsia="zh-CN"/>
        </w:rPr>
        <w:t>节</w:t>
      </w:r>
      <w:bookmarkEnd w:id="27"/>
      <w:bookmarkEnd w:id="28"/>
      <w:bookmarkEnd w:id="29"/>
      <w:r>
        <w:rPr>
          <w:rFonts w:hint="eastAsia" w:ascii="黑体" w:hAnsi="黑体" w:cs="黑体"/>
          <w:color w:val="auto"/>
          <w:lang w:val="en-US" w:eastAsia="zh-CN"/>
        </w:rPr>
        <w:t xml:space="preserve">  存在的主要问题</w:t>
      </w:r>
      <w:bookmarkEnd w:id="30"/>
    </w:p>
    <w:p w14:paraId="0543449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红寺堡区</w:t>
      </w:r>
      <w:r>
        <w:rPr>
          <w:rFonts w:hint="eastAsia"/>
          <w:lang w:val="en-US" w:eastAsia="zh-CN"/>
        </w:rPr>
        <w:t>目前</w:t>
      </w:r>
      <w:r>
        <w:rPr>
          <w:rFonts w:hint="eastAsia"/>
          <w:lang w:eastAsia="zh-CN"/>
        </w:rPr>
        <w:t>仍面临水资源严重短缺、生态环境极度脆弱等一系列先天问题，水利工程系统网络化程度不高、保障水平偏低、智慧管理能力不足，水利依然是红寺堡区经济社会高质量发展的主要制约要素之一。</w:t>
      </w:r>
    </w:p>
    <w:p w14:paraId="4FC572D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r>
        <w:rPr>
          <w:rFonts w:hint="eastAsia"/>
          <w:b/>
          <w:bCs/>
          <w:lang w:val="en-US" w:eastAsia="en-US"/>
        </w:rPr>
        <w:t>（</w:t>
      </w:r>
      <w:r>
        <w:rPr>
          <w:rFonts w:hint="eastAsia"/>
          <w:b/>
          <w:bCs/>
          <w:lang w:val="en-US" w:eastAsia="zh-CN"/>
        </w:rPr>
        <w:t>一</w:t>
      </w:r>
      <w:r>
        <w:rPr>
          <w:rFonts w:hint="eastAsia"/>
          <w:b/>
          <w:bCs/>
          <w:lang w:val="en-US" w:eastAsia="en-US"/>
        </w:rPr>
        <w:t>）</w:t>
      </w:r>
      <w:r>
        <w:rPr>
          <w:rFonts w:hint="eastAsia"/>
          <w:b/>
          <w:bCs/>
          <w:lang w:val="en-US" w:eastAsia="zh-CN"/>
        </w:rPr>
        <w:t>防洪减灾体系有待进一步健全</w:t>
      </w:r>
    </w:p>
    <w:p w14:paraId="19E48EC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eastAsia="zh-CN"/>
        </w:rPr>
        <w:t>红寺堡区</w:t>
      </w:r>
      <w:r>
        <w:rPr>
          <w:rFonts w:hint="eastAsia"/>
          <w:lang w:val="en-US" w:eastAsia="zh-CN"/>
        </w:rPr>
        <w:t>入黄河</w:t>
      </w:r>
      <w:r>
        <w:rPr>
          <w:rFonts w:hint="eastAsia"/>
          <w:lang w:eastAsia="zh-CN"/>
        </w:rPr>
        <w:t>的主要支流红柳沟、苦水河</w:t>
      </w:r>
      <w:r>
        <w:rPr>
          <w:rFonts w:hint="eastAsia"/>
          <w:lang w:val="en-US" w:eastAsia="zh-CN"/>
        </w:rPr>
        <w:t>和清水河</w:t>
      </w:r>
      <w:r>
        <w:rPr>
          <w:rFonts w:hint="eastAsia"/>
          <w:lang w:eastAsia="zh-CN"/>
        </w:rPr>
        <w:t>，结合《关于建设黄河流域生态保护和高质量发展先行区的实施意见》的指导思想，苦水河干流（银西高速～入黄口段）防洪标准为 20 年一遇（P=5%），其它段落及支流均为 10 年一遇（P=10%）。红寺堡区</w:t>
      </w:r>
      <w:r>
        <w:rPr>
          <w:rFonts w:hint="eastAsia"/>
          <w:lang w:val="en-US" w:eastAsia="zh-CN"/>
        </w:rPr>
        <w:t>三条入黄支流的支沟较多</w:t>
      </w:r>
      <w:r>
        <w:rPr>
          <w:rFonts w:hint="eastAsia"/>
          <w:lang w:eastAsia="zh-CN"/>
        </w:rPr>
        <w:t>，</w:t>
      </w:r>
      <w:r>
        <w:rPr>
          <w:rFonts w:hint="eastAsia"/>
          <w:lang w:val="en-US" w:eastAsia="zh-CN"/>
        </w:rPr>
        <w:t>沟</w:t>
      </w:r>
      <w:r>
        <w:rPr>
          <w:rFonts w:hint="eastAsia"/>
          <w:lang w:eastAsia="zh-CN"/>
        </w:rPr>
        <w:t>道防洪标准低，防洪基础设施薄弱，山洪灾害监测预警系统不完善，监测预警能力不足、群测群防体系建设存在差距。</w:t>
      </w:r>
    </w:p>
    <w:p w14:paraId="38803C2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（二）水网体系还不完善，水资源调配能力还不足。</w:t>
      </w:r>
    </w:p>
    <w:p w14:paraId="0085BBA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val="en-US" w:eastAsia="zh-CN"/>
        </w:rPr>
        <w:t>供水工程配水管网改造相对滞后，一是随着农村用水标准提升，现状部分管道输水能力不足。二是部分管网建设年代较早，建设标准不一。区域内配水管网供水规模增加，管网漏损率严重，管网供水能力不足等问题日益凸显。受资金限制，管网提标改造相对滞后，城乡供水安全保障有待进一步提升。区域内不同水源的调蓄水池独立运行，各调蓄水池间未连通，调蓄水池出现紧急情况大多无备用水源。</w:t>
      </w:r>
    </w:p>
    <w:p w14:paraId="69ADE9DD">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0" w:leftChars="0" w:firstLine="602" w:firstLineChars="200"/>
        <w:jc w:val="both"/>
        <w:textAlignment w:val="baseline"/>
        <w:rPr>
          <w:rFonts w:hint="eastAsia" w:ascii="仿宋_GB2312" w:hAnsi="仿宋_GB2312" w:eastAsia="仿宋_GB2312" w:cs="仿宋_GB2312"/>
          <w:b/>
          <w:bCs/>
          <w:color w:val="auto"/>
          <w:lang w:eastAsia="zh-CN"/>
        </w:rPr>
      </w:pPr>
      <w:r>
        <w:rPr>
          <w:rFonts w:hint="eastAsia" w:ascii="仿宋_GB2312" w:hAnsi="仿宋_GB2312" w:cs="仿宋_GB2312"/>
          <w:b/>
          <w:bCs/>
          <w:color w:val="auto"/>
          <w:lang w:eastAsia="zh-CN"/>
        </w:rPr>
        <w:t>（</w:t>
      </w:r>
      <w:r>
        <w:rPr>
          <w:rFonts w:hint="eastAsia" w:ascii="仿宋_GB2312" w:hAnsi="仿宋_GB2312" w:cs="仿宋_GB2312"/>
          <w:b/>
          <w:bCs/>
          <w:color w:val="auto"/>
          <w:lang w:val="en-US" w:eastAsia="zh-CN"/>
        </w:rPr>
        <w:t>三</w:t>
      </w:r>
      <w:r>
        <w:rPr>
          <w:rFonts w:hint="eastAsia" w:ascii="仿宋_GB2312" w:hAnsi="仿宋_GB2312" w:cs="仿宋_GB2312"/>
          <w:b/>
          <w:bCs/>
          <w:color w:val="auto"/>
          <w:lang w:eastAsia="zh-CN"/>
        </w:rPr>
        <w:t>）</w:t>
      </w:r>
      <w:r>
        <w:rPr>
          <w:rFonts w:hint="eastAsia" w:ascii="仿宋_GB2312" w:hAnsi="仿宋_GB2312" w:eastAsia="仿宋_GB2312" w:cs="仿宋_GB2312"/>
          <w:b/>
          <w:bCs/>
          <w:color w:val="auto"/>
          <w:lang w:eastAsia="zh-CN"/>
        </w:rPr>
        <w:t>农业用水量占比较高</w:t>
      </w:r>
      <w:r>
        <w:rPr>
          <w:rFonts w:hint="eastAsia" w:ascii="仿宋_GB2312" w:hAnsi="仿宋_GB2312" w:cs="仿宋_GB2312"/>
          <w:b/>
          <w:bCs/>
          <w:color w:val="auto"/>
          <w:lang w:eastAsia="zh-CN"/>
        </w:rPr>
        <w:t>，水资源利用结构不均衡。</w:t>
      </w:r>
    </w:p>
    <w:p w14:paraId="026A504A">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0" w:leftChars="0" w:firstLine="600" w:firstLineChars="200"/>
        <w:jc w:val="both"/>
        <w:textAlignment w:val="baseline"/>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红寺堡区农业灌溉面积7</w:t>
      </w:r>
      <w:r>
        <w:rPr>
          <w:rFonts w:hint="eastAsia" w:ascii="仿宋_GB2312" w:hAnsi="仿宋_GB2312" w:eastAsia="仿宋_GB2312" w:cs="仿宋_GB2312"/>
          <w:color w:val="auto"/>
          <w:lang w:val="en-US" w:eastAsia="zh-CN"/>
        </w:rPr>
        <w:t>3.2</w:t>
      </w:r>
      <w:r>
        <w:rPr>
          <w:rFonts w:hint="eastAsia" w:ascii="仿宋_GB2312" w:hAnsi="仿宋_GB2312" w:eastAsia="仿宋_GB2312" w:cs="仿宋_GB2312"/>
          <w:color w:val="auto"/>
          <w:lang w:eastAsia="zh-CN"/>
        </w:rPr>
        <w:t>万亩（不含复种），农业平均用水量2.473亿</w:t>
      </w:r>
      <w:r>
        <w:rPr>
          <w:rFonts w:hint="eastAsia" w:ascii="仿宋_GB2312" w:hAnsi="仿宋_GB2312" w:eastAsia="仿宋_GB2312" w:cs="仿宋_GB2312"/>
          <w:color w:val="auto"/>
          <w:lang w:val="en-US" w:eastAsia="zh-CN"/>
        </w:rPr>
        <w:t>m</w:t>
      </w:r>
      <w:r>
        <w:rPr>
          <w:rFonts w:hint="eastAsia" w:ascii="方正仿宋_GB2312" w:hAnsi="方正仿宋_GB2312" w:eastAsia="方正仿宋_GB2312" w:cs="方正仿宋_GB2312"/>
          <w:color w:val="auto"/>
          <w:vertAlign w:val="superscript"/>
          <w:lang w:val="en-US" w:eastAsia="zh-CN"/>
        </w:rPr>
        <w:t>3</w:t>
      </w:r>
      <w:r>
        <w:rPr>
          <w:rFonts w:hint="eastAsia" w:ascii="仿宋_GB2312" w:hAnsi="仿宋_GB2312" w:eastAsia="仿宋_GB2312" w:cs="仿宋_GB2312"/>
          <w:color w:val="auto"/>
          <w:lang w:eastAsia="zh-CN"/>
        </w:rPr>
        <w:t>，占红寺堡区用水指标的90.0%左右，农业耗水比例过大，农业灌溉水利用系数为</w:t>
      </w:r>
      <w:r>
        <w:rPr>
          <w:rFonts w:hint="eastAsia" w:ascii="仿宋_GB2312" w:hAnsi="仿宋_GB2312" w:cs="仿宋_GB2312"/>
          <w:color w:val="auto"/>
          <w:lang w:eastAsia="zh-CN"/>
        </w:rPr>
        <w:t>0.676</w:t>
      </w:r>
      <w:r>
        <w:rPr>
          <w:rFonts w:hint="eastAsia" w:ascii="仿宋_GB2312" w:hAnsi="仿宋_GB2312" w:eastAsia="仿宋_GB2312" w:cs="仿宋_GB2312"/>
          <w:color w:val="auto"/>
          <w:lang w:eastAsia="zh-CN"/>
        </w:rPr>
        <w:t>，用水效率低。2023年全区万元GDP用水量252m³，全国万元国内生产总值用水量为46.9立方米。是全国平均水平的5.37倍；单方水GDP产值仅40元，远低于全国175元、黄河流域187元的平均水平。经济社会发展严重依赖限量分配的黄河水，引黄水量占总供水量的90%。水资源利用结构不均衡对工业和服务业快速发展带来的巨大供水压力，严重制约红寺堡区经济社会发展。</w:t>
      </w:r>
      <w:r>
        <w:rPr>
          <w:rFonts w:hint="eastAsia" w:ascii="仿宋_GB2312" w:hAnsi="仿宋_GB2312" w:eastAsia="仿宋_GB2312" w:cs="仿宋_GB2312"/>
          <w:color w:val="auto"/>
          <w:lang w:val="en-US" w:eastAsia="zh-CN"/>
        </w:rPr>
        <w:t>农业灌溉中高效节灌占比偏低，农业用水占比在90%左右，农业用水量占比较高</w:t>
      </w:r>
      <w:bookmarkStart w:id="31" w:name="_Toc7543"/>
      <w:bookmarkStart w:id="32" w:name="_Toc13040"/>
      <w:bookmarkStart w:id="33" w:name="_Toc1419"/>
      <w:r>
        <w:rPr>
          <w:rFonts w:hint="eastAsia" w:ascii="仿宋_GB2312" w:hAnsi="仿宋_GB2312" w:eastAsia="仿宋_GB2312" w:cs="仿宋_GB2312"/>
          <w:color w:val="auto"/>
          <w:lang w:val="en-US" w:eastAsia="zh-CN"/>
        </w:rPr>
        <w:t>。</w:t>
      </w:r>
    </w:p>
    <w:bookmarkEnd w:id="31"/>
    <w:bookmarkEnd w:id="32"/>
    <w:bookmarkEnd w:id="33"/>
    <w:p w14:paraId="300C0DC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bookmarkStart w:id="34" w:name="_Toc4210"/>
      <w:bookmarkStart w:id="35" w:name="_Toc1371"/>
      <w:bookmarkStart w:id="36" w:name="_Toc31154"/>
      <w:r>
        <w:rPr>
          <w:rFonts w:hint="eastAsia"/>
          <w:b/>
          <w:bCs/>
          <w:lang w:eastAsia="zh-CN"/>
        </w:rPr>
        <w:t>（</w:t>
      </w:r>
      <w:r>
        <w:rPr>
          <w:rFonts w:hint="eastAsia"/>
          <w:b/>
          <w:bCs/>
          <w:lang w:val="en-US" w:eastAsia="zh-CN"/>
        </w:rPr>
        <w:t>四</w:t>
      </w:r>
      <w:r>
        <w:rPr>
          <w:rFonts w:hint="eastAsia"/>
          <w:b/>
          <w:bCs/>
          <w:lang w:eastAsia="zh-CN"/>
        </w:rPr>
        <w:t>）水生态环境依然脆弱。</w:t>
      </w:r>
      <w:bookmarkEnd w:id="34"/>
      <w:bookmarkEnd w:id="35"/>
      <w:bookmarkEnd w:id="36"/>
    </w:p>
    <w:p w14:paraId="714CA192">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0" w:leftChars="0" w:firstLine="600" w:firstLineChars="200"/>
        <w:jc w:val="both"/>
        <w:textAlignment w:val="baseline"/>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水生态环境本底脆弱，水源涵养能力弱，河湖水生态空间管控力度不够，部分水源地规范化建设滞后</w:t>
      </w:r>
      <w:r>
        <w:rPr>
          <w:rFonts w:hint="eastAsia" w:ascii="仿宋_GB2312" w:hAnsi="仿宋_GB2312" w:cs="仿宋_GB2312"/>
          <w:color w:val="auto"/>
          <w:lang w:val="en-US" w:eastAsia="zh-CN"/>
        </w:rPr>
        <w:t>,灌区土壤盐渍化问题突出</w:t>
      </w:r>
      <w:r>
        <w:rPr>
          <w:rFonts w:hint="eastAsia" w:ascii="仿宋_GB2312" w:hAnsi="仿宋_GB2312" w:eastAsia="仿宋_GB2312" w:cs="仿宋_GB2312"/>
          <w:color w:val="auto"/>
          <w:lang w:eastAsia="zh-CN"/>
        </w:rPr>
        <w:t>。苦水河、清水</w:t>
      </w:r>
      <w:r>
        <w:rPr>
          <w:rFonts w:hint="eastAsia" w:ascii="仿宋_GB2312" w:hAnsi="仿宋_GB2312" w:cs="仿宋_GB2312"/>
          <w:color w:val="auto"/>
          <w:lang w:val="en-US" w:eastAsia="zh-CN"/>
        </w:rPr>
        <w:t>河</w:t>
      </w:r>
      <w:r>
        <w:rPr>
          <w:rFonts w:hint="eastAsia" w:ascii="仿宋_GB2312" w:hAnsi="仿宋_GB2312" w:eastAsia="仿宋_GB2312" w:cs="仿宋_GB2312"/>
          <w:color w:val="auto"/>
          <w:lang w:eastAsia="zh-CN"/>
        </w:rPr>
        <w:t>、</w:t>
      </w:r>
      <w:r>
        <w:rPr>
          <w:rFonts w:hint="eastAsia" w:ascii="仿宋_GB2312" w:hAnsi="仿宋_GB2312" w:cs="仿宋_GB2312"/>
          <w:color w:val="auto"/>
          <w:lang w:val="en-US" w:eastAsia="zh-CN"/>
        </w:rPr>
        <w:t>红柳</w:t>
      </w:r>
      <w:r>
        <w:rPr>
          <w:rFonts w:hint="eastAsia" w:ascii="仿宋_GB2312" w:hAnsi="仿宋_GB2312" w:eastAsia="仿宋_GB2312" w:cs="仿宋_GB2312"/>
          <w:color w:val="auto"/>
          <w:lang w:eastAsia="zh-CN"/>
        </w:rPr>
        <w:t>沟等部分断面受农田面源污染，小微企业、家庭作坊污水处理配套措施有待完善，部分断面水质还不稳定，河湖沟道自净能力弱；部分农村饮用水水源地保护区存在管控能力不足，标志标识、宣传牌和隔离防护设施设置不到位，水源地保护措施有待进一步加强</w:t>
      </w:r>
      <w:r>
        <w:rPr>
          <w:rFonts w:hint="eastAsia" w:ascii="仿宋_GB2312" w:hAnsi="仿宋_GB2312" w:cs="仿宋_GB2312"/>
          <w:color w:val="auto"/>
          <w:lang w:val="en-US" w:eastAsia="zh-CN"/>
        </w:rPr>
        <w:t>。</w:t>
      </w:r>
    </w:p>
    <w:p w14:paraId="617A851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w:t>
      </w:r>
      <w:r>
        <w:rPr>
          <w:rFonts w:hint="eastAsia" w:ascii="仿宋_GB2312" w:hAnsi="仿宋_GB2312" w:cs="仿宋_GB2312"/>
          <w:b/>
          <w:bCs/>
          <w:color w:val="auto"/>
          <w:lang w:val="en-US" w:eastAsia="zh-CN"/>
        </w:rPr>
        <w:t>五</w:t>
      </w:r>
      <w:r>
        <w:rPr>
          <w:rFonts w:hint="eastAsia" w:ascii="仿宋_GB2312" w:hAnsi="仿宋_GB2312" w:eastAsia="仿宋_GB2312" w:cs="仿宋_GB2312"/>
          <w:b/>
          <w:bCs/>
          <w:color w:val="auto"/>
          <w:lang w:val="en-US" w:eastAsia="zh-CN"/>
        </w:rPr>
        <w:t>）水文化弘扬</w:t>
      </w:r>
      <w:r>
        <w:rPr>
          <w:rFonts w:hint="eastAsia" w:ascii="仿宋_GB2312" w:hAnsi="仿宋_GB2312" w:cs="仿宋_GB2312"/>
          <w:b/>
          <w:bCs/>
          <w:color w:val="auto"/>
          <w:lang w:val="en-US" w:eastAsia="zh-CN"/>
        </w:rPr>
        <w:t>传承</w:t>
      </w:r>
      <w:r>
        <w:rPr>
          <w:rFonts w:hint="eastAsia" w:ascii="仿宋_GB2312" w:hAnsi="仿宋_GB2312" w:eastAsia="仿宋_GB2312" w:cs="仿宋_GB2312"/>
          <w:b/>
          <w:bCs/>
          <w:color w:val="auto"/>
          <w:lang w:val="en-US" w:eastAsia="zh-CN"/>
        </w:rPr>
        <w:t>面临挑战。</w:t>
      </w:r>
    </w:p>
    <w:p w14:paraId="0DC9273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红寺堡区的开发及发展史是一部红寺堡区的水历史，红寺堡区扬水工程的建设是老一辈水利人心系国家、艰苦奋斗精神的彰显，从老一辈水利人的身上发掘传承这种水利精神正是水文化的集中体现。目前红寺堡区对于水文化的挖掘及建设力度尚显不足，水文化的弘扬面临诸多困难及挑战。</w:t>
      </w:r>
    </w:p>
    <w:p w14:paraId="2DD6887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r>
        <w:rPr>
          <w:rFonts w:hint="eastAsia"/>
          <w:b/>
          <w:bCs/>
          <w:lang w:val="en-US" w:eastAsia="zh-CN"/>
        </w:rPr>
        <w:t>（六）</w:t>
      </w:r>
      <w:r>
        <w:rPr>
          <w:rFonts w:hint="eastAsia"/>
          <w:b/>
          <w:bCs/>
          <w:lang w:eastAsia="zh-CN"/>
        </w:rPr>
        <w:t>水利智慧化水平还需进一步提升。</w:t>
      </w:r>
    </w:p>
    <w:p w14:paraId="03B1738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b/>
          <w:bCs/>
          <w:color w:val="auto"/>
          <w:lang w:eastAsia="zh-CN"/>
        </w:rPr>
      </w:pPr>
      <w:r>
        <w:rPr>
          <w:rFonts w:hint="eastAsia"/>
          <w:lang w:eastAsia="zh-CN"/>
        </w:rPr>
        <w:t>数字孪生水利体系建设才刚起步，利用空、天、地一体化的信息化监管手段还比较欠缺，感知覆盖范围和要素内容不全面，水利监测站网信息采集覆盖率、自动化率偏低，监测站点类型不足。各类水利设施的监测远未做到全面感知。</w:t>
      </w:r>
    </w:p>
    <w:p w14:paraId="31CCE292">
      <w:pPr>
        <w:pStyle w:val="3"/>
        <w:keepNext w:val="0"/>
        <w:keepLines w:val="0"/>
        <w:pageBreakBefore w:val="0"/>
        <w:widowControl w:val="0"/>
        <w:kinsoku/>
        <w:wordWrap/>
        <w:overflowPunct w:val="0"/>
        <w:topLinePunct w:val="0"/>
        <w:autoSpaceDE w:val="0"/>
        <w:autoSpaceDN w:val="0"/>
        <w:bidi w:val="0"/>
        <w:adjustRightInd w:val="0"/>
        <w:snapToGrid w:val="0"/>
        <w:rPr>
          <w:rFonts w:hint="default" w:ascii="黑体" w:hAnsi="黑体" w:eastAsia="黑体" w:cs="黑体"/>
          <w:color w:val="auto"/>
          <w:lang w:val="en-US" w:eastAsia="zh-CN"/>
        </w:rPr>
      </w:pPr>
      <w:bookmarkStart w:id="37" w:name="_Toc13151"/>
      <w:bookmarkStart w:id="38" w:name="_Toc4859"/>
      <w:bookmarkStart w:id="39" w:name="_Toc22462"/>
      <w:bookmarkStart w:id="40" w:name="_Toc29986"/>
      <w:r>
        <w:rPr>
          <w:rFonts w:hint="eastAsia" w:ascii="黑体" w:hAnsi="黑体" w:eastAsia="黑体" w:cs="黑体"/>
          <w:color w:val="auto"/>
          <w:lang w:eastAsia="zh-CN"/>
        </w:rPr>
        <w:t>第</w:t>
      </w:r>
      <w:r>
        <w:rPr>
          <w:rFonts w:hint="eastAsia" w:ascii="黑体" w:hAnsi="黑体" w:cs="黑体"/>
          <w:color w:val="auto"/>
          <w:lang w:val="en-US" w:eastAsia="zh-CN"/>
        </w:rPr>
        <w:t>五</w:t>
      </w:r>
      <w:r>
        <w:rPr>
          <w:rFonts w:hint="eastAsia" w:ascii="黑体" w:hAnsi="黑体" w:eastAsia="黑体" w:cs="黑体"/>
          <w:color w:val="auto"/>
          <w:lang w:eastAsia="zh-CN"/>
        </w:rPr>
        <w:t>节</w:t>
      </w:r>
      <w:bookmarkEnd w:id="37"/>
      <w:bookmarkEnd w:id="38"/>
      <w:bookmarkEnd w:id="39"/>
      <w:r>
        <w:rPr>
          <w:rFonts w:hint="eastAsia" w:ascii="黑体" w:hAnsi="黑体" w:cs="黑体"/>
          <w:color w:val="auto"/>
          <w:lang w:val="en-US" w:eastAsia="zh-CN"/>
        </w:rPr>
        <w:t xml:space="preserve">  面临形势与建设需求</w:t>
      </w:r>
      <w:bookmarkEnd w:id="40"/>
    </w:p>
    <w:p w14:paraId="54F5DE2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为落实党中央、国务院决策部署，做好与宁夏水网建设布局和重点任务的有效衔接，系统谋划、科学布局和整体推进红寺堡区水网工程建设，为红寺堡区</w:t>
      </w:r>
      <w:r>
        <w:rPr>
          <w:rFonts w:hint="eastAsia"/>
          <w:lang w:val="en-US" w:eastAsia="zh-CN"/>
        </w:rPr>
        <w:t>国民</w:t>
      </w:r>
      <w:r>
        <w:rPr>
          <w:rFonts w:hint="eastAsia"/>
          <w:lang w:eastAsia="zh-CN"/>
        </w:rPr>
        <w:t>经济和社会发展提供强有力的水安全保障,意义重大而深远。</w:t>
      </w:r>
    </w:p>
    <w:p w14:paraId="06734641">
      <w:pPr>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2" w:firstLineChars="200"/>
        <w:jc w:val="both"/>
        <w:textAlignment w:val="baseline"/>
        <w:rPr>
          <w:rFonts w:hint="eastAsia"/>
          <w:b/>
          <w:bCs/>
          <w:lang w:eastAsia="zh-CN"/>
        </w:rPr>
      </w:pPr>
      <w:r>
        <w:rPr>
          <w:rFonts w:hint="eastAsia" w:ascii="Times New Roman" w:hAnsi="Times New Roman" w:eastAsia="仿宋_GB2312" w:cs="Arial"/>
          <w:b/>
          <w:bCs/>
          <w:snapToGrid w:val="0"/>
          <w:color w:val="000000"/>
          <w:sz w:val="30"/>
          <w:szCs w:val="21"/>
          <w:lang w:val="en-US" w:eastAsia="zh-CN" w:bidi="ar-SA"/>
        </w:rPr>
        <w:t>（一）</w:t>
      </w:r>
      <w:r>
        <w:rPr>
          <w:rFonts w:hint="eastAsia"/>
          <w:b/>
          <w:bCs/>
          <w:lang w:eastAsia="zh-CN"/>
        </w:rPr>
        <w:t>建设红寺堡区现代水网是贯彻落实党中央重大决策部署的必然要求</w:t>
      </w:r>
    </w:p>
    <w:p w14:paraId="45E7D93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党的十九大报告明确提出要加强水利基础设施网络建设，十九届五中全会对实施国家水网重大工程作出战略部署。2022年4月中央财经委员会第十一次会议强调，全面加强水利等网络型基础设施建设。《国家水网建设规划纲要》要求加强国家骨干网、省市县水网之间的衔接，推进互联互通、联调联供、协同防控，逐步形成国家水网“一张网”，共同发挥保障水安全的作用，促进水资源与人口经济布局相均衡，支撑经济社会高质量发展。</w:t>
      </w:r>
    </w:p>
    <w:p w14:paraId="076E2C14">
      <w:pPr>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2" w:firstLineChars="200"/>
        <w:jc w:val="both"/>
        <w:textAlignment w:val="baseline"/>
        <w:rPr>
          <w:rFonts w:hint="eastAsia"/>
          <w:b/>
          <w:bCs/>
          <w:lang w:eastAsia="zh-CN"/>
        </w:rPr>
      </w:pPr>
      <w:r>
        <w:rPr>
          <w:rFonts w:hint="eastAsia" w:ascii="Times New Roman" w:hAnsi="Times New Roman" w:eastAsia="仿宋_GB2312" w:cs="Arial"/>
          <w:b/>
          <w:bCs/>
          <w:snapToGrid w:val="0"/>
          <w:color w:val="000000"/>
          <w:sz w:val="30"/>
          <w:szCs w:val="21"/>
          <w:lang w:val="en-US" w:eastAsia="zh-CN" w:bidi="ar-SA"/>
        </w:rPr>
        <w:t>（二）</w:t>
      </w:r>
      <w:r>
        <w:rPr>
          <w:rFonts w:hint="eastAsia"/>
          <w:b/>
          <w:bCs/>
          <w:lang w:eastAsia="zh-CN"/>
        </w:rPr>
        <w:t>建设红寺堡区现代水网是建设宁夏黄河流域生态保护和高质量发展先行区的重要组成部分</w:t>
      </w:r>
    </w:p>
    <w:p w14:paraId="0613529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2020年6月习近平总书记视察宁夏时，赋予了宁夏“努力建设黄河流域生态保护和高质量发展先行区”的使命任务，为宁夏高质量发展指明了方向。红寺堡区生态环境脆弱，水资源严重短缺、时空分布不均，经济社会布局与水资源条件不匹配，水资源一直是制约经济发展的最主要瓶颈。</w:t>
      </w:r>
    </w:p>
    <w:p w14:paraId="5BB0E41D">
      <w:pPr>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2" w:firstLineChars="200"/>
        <w:jc w:val="both"/>
        <w:textAlignment w:val="baseline"/>
        <w:rPr>
          <w:rFonts w:hint="eastAsia"/>
          <w:b/>
          <w:bCs/>
          <w:lang w:eastAsia="zh-CN"/>
        </w:rPr>
      </w:pPr>
      <w:r>
        <w:rPr>
          <w:rFonts w:hint="eastAsia" w:ascii="Times New Roman" w:hAnsi="Times New Roman" w:eastAsia="仿宋_GB2312" w:cs="Arial"/>
          <w:b/>
          <w:bCs/>
          <w:snapToGrid w:val="0"/>
          <w:color w:val="000000"/>
          <w:sz w:val="30"/>
          <w:szCs w:val="21"/>
          <w:lang w:val="en-US" w:eastAsia="zh-CN" w:bidi="ar-SA"/>
        </w:rPr>
        <w:t>（三）</w:t>
      </w:r>
      <w:r>
        <w:rPr>
          <w:rFonts w:hint="eastAsia"/>
          <w:b/>
          <w:bCs/>
          <w:lang w:eastAsia="zh-CN"/>
        </w:rPr>
        <w:t>建设红寺堡区现代水网是推进宁夏水利高质量发展的现实要求。</w:t>
      </w:r>
    </w:p>
    <w:p w14:paraId="66D125C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sectPr>
          <w:headerReference r:id="rId7" w:type="default"/>
          <w:footerReference r:id="rId8" w:type="default"/>
          <w:pgSz w:w="11907" w:h="16839"/>
          <w:pgMar w:top="1440" w:right="1803" w:bottom="1440" w:left="1803" w:header="0" w:footer="986" w:gutter="0"/>
          <w:pgBorders>
            <w:top w:val="none" w:sz="0" w:space="0"/>
            <w:left w:val="none" w:sz="0" w:space="0"/>
            <w:bottom w:val="none" w:sz="0" w:space="0"/>
            <w:right w:val="none" w:sz="0" w:space="0"/>
          </w:pgBorders>
          <w:pgNumType w:fmt="decimal" w:start="1"/>
          <w:cols w:space="0" w:num="1"/>
        </w:sectPr>
      </w:pPr>
      <w:r>
        <w:rPr>
          <w:rFonts w:hint="eastAsia"/>
          <w:lang w:eastAsia="zh-CN"/>
        </w:rPr>
        <w:t>2022年4月，国务院批复同意，国家发展改革委印发《支持宁夏建设黄河流域生态保护和高质量发展先行区实施方案》，明确</w:t>
      </w:r>
      <w:r>
        <w:rPr>
          <w:rFonts w:hint="eastAsia"/>
          <w:lang w:val="en-US" w:eastAsia="zh-CN"/>
        </w:rPr>
        <w:t>提出四水四定以及</w:t>
      </w:r>
      <w:r>
        <w:rPr>
          <w:rFonts w:hint="eastAsia"/>
          <w:lang w:eastAsia="zh-CN"/>
        </w:rPr>
        <w:t>推进黄河大保护。红寺堡区现代水网以河湖水系为基础、输排水工程为通道、控制性调蓄工程为节点、智能化调控为手段，集水灾害防控、水资源调配、水生态保护等功能于一体，红寺堡区现代水网建设推进落实“四水四定”建设的先导性任务、关键性举措。</w:t>
      </w:r>
    </w:p>
    <w:p w14:paraId="06B28287">
      <w:pPr>
        <w:pStyle w:val="2"/>
        <w:keepNext w:val="0"/>
        <w:keepLines w:val="0"/>
        <w:pageBreakBefore w:val="0"/>
        <w:widowControl w:val="0"/>
        <w:kinsoku/>
        <w:wordWrap/>
        <w:overflowPunct w:val="0"/>
        <w:topLinePunct w:val="0"/>
        <w:autoSpaceDE w:val="0"/>
        <w:autoSpaceDN w:val="0"/>
        <w:bidi w:val="0"/>
        <w:adjustRightInd w:val="0"/>
        <w:snapToGrid w:val="0"/>
        <w:rPr>
          <w:rFonts w:hint="default" w:ascii="黑体" w:hAnsi="黑体" w:eastAsia="黑体" w:cs="黑体"/>
          <w:color w:val="auto"/>
          <w:lang w:val="en-US" w:eastAsia="zh-CN"/>
        </w:rPr>
      </w:pPr>
      <w:bookmarkStart w:id="41" w:name="_Toc23695"/>
      <w:bookmarkStart w:id="42" w:name="_Toc21357"/>
      <w:bookmarkStart w:id="43" w:name="_Toc28814"/>
      <w:bookmarkStart w:id="44" w:name="_Toc11395"/>
      <w:bookmarkStart w:id="45" w:name="_Toc14784"/>
      <w:r>
        <w:rPr>
          <w:rFonts w:hint="eastAsia" w:ascii="黑体" w:hAnsi="黑体" w:eastAsia="黑体" w:cs="黑体"/>
          <w:color w:val="auto"/>
          <w:lang w:eastAsia="zh-CN"/>
        </w:rPr>
        <w:t>第二章</w:t>
      </w:r>
      <w:r>
        <w:rPr>
          <w:rFonts w:hint="eastAsia" w:ascii="黑体" w:hAnsi="黑体" w:cs="黑体"/>
          <w:color w:val="auto"/>
          <w:lang w:val="en-US" w:eastAsia="zh-CN"/>
        </w:rPr>
        <w:t xml:space="preserve">  </w:t>
      </w:r>
      <w:bookmarkEnd w:id="41"/>
      <w:bookmarkEnd w:id="42"/>
      <w:bookmarkEnd w:id="43"/>
      <w:bookmarkEnd w:id="44"/>
      <w:r>
        <w:rPr>
          <w:rFonts w:hint="eastAsia" w:ascii="黑体" w:hAnsi="黑体" w:cs="黑体"/>
          <w:color w:val="auto"/>
          <w:lang w:val="en-US" w:eastAsia="zh-CN"/>
        </w:rPr>
        <w:t>总体思路</w:t>
      </w:r>
      <w:bookmarkEnd w:id="45"/>
    </w:p>
    <w:p w14:paraId="7D3D6440">
      <w:pPr>
        <w:pStyle w:val="3"/>
        <w:keepNext w:val="0"/>
        <w:keepLines w:val="0"/>
        <w:pageBreakBefore w:val="0"/>
        <w:widowControl w:val="0"/>
        <w:kinsoku/>
        <w:wordWrap/>
        <w:overflowPunct w:val="0"/>
        <w:topLinePunct w:val="0"/>
        <w:autoSpaceDE w:val="0"/>
        <w:autoSpaceDN w:val="0"/>
        <w:bidi w:val="0"/>
        <w:adjustRightInd w:val="0"/>
        <w:snapToGrid w:val="0"/>
        <w:rPr>
          <w:rFonts w:hint="eastAsia" w:ascii="黑体" w:hAnsi="黑体" w:eastAsia="黑体" w:cs="黑体"/>
          <w:color w:val="auto"/>
          <w:lang w:eastAsia="zh-CN"/>
        </w:rPr>
      </w:pPr>
      <w:bookmarkStart w:id="46" w:name="_Toc21192"/>
      <w:bookmarkStart w:id="47" w:name="_Toc15090"/>
      <w:bookmarkStart w:id="48" w:name="_Toc23831"/>
      <w:bookmarkStart w:id="49" w:name="_Toc14835"/>
      <w:r>
        <w:rPr>
          <w:rFonts w:hint="eastAsia" w:ascii="黑体" w:hAnsi="黑体" w:eastAsia="黑体" w:cs="黑体"/>
          <w:color w:val="auto"/>
          <w:lang w:eastAsia="zh-CN"/>
        </w:rPr>
        <w:t>第一节</w:t>
      </w:r>
      <w:r>
        <w:rPr>
          <w:rFonts w:hint="eastAsia" w:ascii="黑体" w:hAnsi="黑体" w:cs="黑体"/>
          <w:color w:val="auto"/>
          <w:lang w:val="en-US" w:eastAsia="zh-CN"/>
        </w:rPr>
        <w:t xml:space="preserve">  </w:t>
      </w:r>
      <w:r>
        <w:rPr>
          <w:rFonts w:hint="eastAsia" w:ascii="黑体" w:hAnsi="黑体" w:eastAsia="黑体" w:cs="黑体"/>
          <w:color w:val="auto"/>
          <w:lang w:eastAsia="zh-CN"/>
        </w:rPr>
        <w:t>指导思想</w:t>
      </w:r>
      <w:bookmarkEnd w:id="46"/>
      <w:bookmarkEnd w:id="47"/>
      <w:bookmarkEnd w:id="48"/>
      <w:bookmarkEnd w:id="49"/>
    </w:p>
    <w:p w14:paraId="5E01A5A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spacing w:val="-6"/>
          <w:sz w:val="30"/>
          <w:lang w:eastAsia="zh-CN"/>
        </w:rPr>
      </w:pPr>
      <w:r>
        <w:rPr>
          <w:rFonts w:hint="eastAsia"/>
          <w:lang w:eastAsia="zh-CN"/>
        </w:rPr>
        <w:t>以习近平新时代中国特色社会主义思想为指导，深入贯彻党的二十大、习近平总书记视察宁夏重要讲话重要指示批示精神，遵循 “坚持以水定城、 以水定地、 以水定人、 以 水定产”的基本原则，全面落实自治区第十三次党代会部署要求，紧紧围绕建设黄河流域生态保护和高质量发展先行区使命任务，以推动新阶段县级水网作为省级水网的重要支撑为根本出发点，以自然河湖水系为基础、输排水工程为通道、调蓄工程为节点、智慧调控为手段、</w:t>
      </w:r>
      <w:r>
        <w:rPr>
          <w:rFonts w:hint="eastAsia"/>
          <w:spacing w:val="-6"/>
          <w:sz w:val="30"/>
          <w:lang w:eastAsia="zh-CN"/>
        </w:rPr>
        <w:t>体制机制法治管理为支撑，统筹存量和增量，加快联网、补网、强链，构建“系统完备、安全可靠，集约高效、绿色智能，循环通畅、调控有序”的红寺堡区现代水网，为全面建设经济繁荣、民族团结、环境优美、人民富裕的社会主义现代化美丽新红寺堡区提供有力的水安全保障。</w:t>
      </w:r>
    </w:p>
    <w:p w14:paraId="0153D943">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ascii="黑体" w:hAnsi="黑体" w:eastAsia="黑体" w:cs="黑体"/>
          <w:color w:val="auto"/>
          <w:lang w:eastAsia="zh-CN"/>
        </w:rPr>
      </w:pPr>
      <w:bookmarkStart w:id="50" w:name="_Toc9639"/>
      <w:bookmarkStart w:id="51" w:name="_Toc19317"/>
      <w:bookmarkStart w:id="52" w:name="_Toc4994"/>
      <w:bookmarkStart w:id="53" w:name="_Toc31930"/>
      <w:r>
        <w:rPr>
          <w:rFonts w:hint="eastAsia" w:ascii="黑体" w:hAnsi="黑体" w:eastAsia="黑体" w:cs="黑体"/>
          <w:color w:val="auto"/>
          <w:lang w:eastAsia="zh-CN"/>
        </w:rPr>
        <w:t>第二节</w:t>
      </w:r>
      <w:r>
        <w:rPr>
          <w:rFonts w:hint="eastAsia" w:ascii="黑体" w:hAnsi="黑体" w:cs="黑体"/>
          <w:color w:val="auto"/>
          <w:lang w:val="en-US" w:eastAsia="zh-CN"/>
        </w:rPr>
        <w:t xml:space="preserve">  </w:t>
      </w:r>
      <w:r>
        <w:rPr>
          <w:rFonts w:hint="eastAsia" w:ascii="黑体" w:hAnsi="黑体" w:eastAsia="黑体" w:cs="黑体"/>
          <w:color w:val="auto"/>
          <w:lang w:eastAsia="zh-CN"/>
        </w:rPr>
        <w:t>基本原则</w:t>
      </w:r>
      <w:bookmarkEnd w:id="50"/>
      <w:bookmarkEnd w:id="51"/>
      <w:bookmarkEnd w:id="52"/>
      <w:bookmarkEnd w:id="53"/>
    </w:p>
    <w:p w14:paraId="3064B56E">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立足全局，保障民生。</w:t>
      </w:r>
      <w:r>
        <w:rPr>
          <w:rFonts w:hint="eastAsia" w:ascii="仿宋_GB2312" w:hAnsi="仿宋_GB2312" w:eastAsia="仿宋_GB2312" w:cs="仿宋_GB2312"/>
          <w:color w:val="auto"/>
          <w:lang w:eastAsia="zh-CN"/>
        </w:rPr>
        <w:t>以国家和自治区省级水网建设为统领，以助力黄河流域生态保护和高质量发展先行区建设为使命，以县域为单元，牢固树立以人民为中心的思想，把满足人民群众对水服务水平不断提高、水产品需求日益多元作为奋斗目标。</w:t>
      </w:r>
    </w:p>
    <w:p w14:paraId="1C2A06F8">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节水优先，</w:t>
      </w:r>
      <w:r>
        <w:rPr>
          <w:rFonts w:hint="eastAsia" w:ascii="仿宋_GB2312" w:hAnsi="仿宋_GB2312" w:cs="仿宋_GB2312"/>
          <w:b/>
          <w:bCs/>
          <w:color w:val="auto"/>
          <w:lang w:val="en-US" w:eastAsia="zh-CN"/>
        </w:rPr>
        <w:t>空间均衡</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color w:val="auto"/>
          <w:lang w:eastAsia="zh-CN"/>
        </w:rPr>
        <w:t>坚持“四水四定”，深度开展节水控水，优化水资源空间配置，以节约用水扩大发展空间，实现用水方式由粗放低效向节约集约的根本转变，科学合理规划水网工程布局，提高重要区域水资源承载能力，促进人口、经济与资源环境均衡发展。</w:t>
      </w:r>
    </w:p>
    <w:p w14:paraId="24D7D5E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b/>
          <w:bCs/>
          <w:lang w:eastAsia="zh-CN"/>
        </w:rPr>
        <w:t>人水和谐、绿色生态。</w:t>
      </w:r>
      <w:r>
        <w:rPr>
          <w:rFonts w:hint="eastAsia"/>
          <w:lang w:eastAsia="zh-CN"/>
        </w:rPr>
        <w:t>牢固树立生态文明理念，坚持山水林田湖草沙系统治理，尊重自然、顺应自然、保护自然，把生态优先、绿色发展理念贯穿</w:t>
      </w:r>
      <w:r>
        <w:rPr>
          <w:rFonts w:hint="eastAsia"/>
          <w:lang w:val="en-US" w:eastAsia="zh-CN"/>
        </w:rPr>
        <w:t>于</w:t>
      </w:r>
      <w:r>
        <w:rPr>
          <w:rFonts w:hint="eastAsia"/>
          <w:lang w:eastAsia="zh-CN"/>
        </w:rPr>
        <w:t>水网建设和运行管理全过程，努力建设生态水利工程，持续改善水生态水环境，维护河湖生态系统完整性，实现人水和谐共生，促进可持续发展。</w:t>
      </w:r>
    </w:p>
    <w:p w14:paraId="06786B3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b/>
          <w:bCs/>
          <w:lang w:eastAsia="zh-CN"/>
        </w:rPr>
        <w:t>系统谋划、风险管控。</w:t>
      </w:r>
      <w:r>
        <w:rPr>
          <w:rFonts w:hint="eastAsia"/>
          <w:lang w:val="en-US" w:eastAsia="zh-CN"/>
        </w:rPr>
        <w:t>着力水网建设</w:t>
      </w:r>
      <w:r>
        <w:t>与发展规划</w:t>
      </w:r>
      <w:r>
        <w:rPr>
          <w:rFonts w:hint="eastAsia"/>
          <w:lang w:eastAsia="zh-CN"/>
        </w:rPr>
        <w:t>、</w:t>
      </w:r>
      <w:r>
        <w:t>空间规划</w:t>
      </w:r>
      <w:r>
        <w:rPr>
          <w:rFonts w:hint="eastAsia"/>
          <w:lang w:eastAsia="zh-CN"/>
        </w:rPr>
        <w:t>、</w:t>
      </w:r>
      <w:r>
        <w:t>区域规划</w:t>
      </w:r>
      <w:r>
        <w:rPr>
          <w:rFonts w:hint="eastAsia"/>
          <w:lang w:val="en-US" w:eastAsia="zh-CN"/>
        </w:rPr>
        <w:t>等</w:t>
      </w:r>
      <w:r>
        <w:t>相关专项规划的衔接协调</w:t>
      </w:r>
      <w:r>
        <w:rPr>
          <w:rFonts w:hint="eastAsia"/>
          <w:lang w:eastAsia="zh-CN"/>
        </w:rPr>
        <w:t>，</w:t>
      </w:r>
      <w:r>
        <w:t>立足流域整体和水资源空间均衡配置</w:t>
      </w:r>
      <w:r>
        <w:rPr>
          <w:rFonts w:hint="eastAsia"/>
          <w:lang w:eastAsia="zh-CN"/>
        </w:rPr>
        <w:t>。着力提升水网整体效能和全生命周期综合效益。强化底线思维，增强水安全风险防控的主动性和有效性。</w:t>
      </w:r>
    </w:p>
    <w:p w14:paraId="07F3597B">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b/>
          <w:bCs/>
          <w:lang w:eastAsia="zh-CN"/>
        </w:rPr>
        <w:t>改革创新、两手发力。</w:t>
      </w:r>
      <w:r>
        <w:t>创新水网</w:t>
      </w:r>
      <w:r>
        <w:rPr>
          <w:rFonts w:hint="eastAsia"/>
          <w:lang w:eastAsia="zh-CN"/>
        </w:rPr>
        <w:t>监管体制</w:t>
      </w:r>
      <w:r>
        <w:t>和投融资机制</w:t>
      </w:r>
      <w:r>
        <w:rPr>
          <w:rFonts w:hint="eastAsia"/>
          <w:lang w:eastAsia="zh-CN"/>
        </w:rPr>
        <w:t>，</w:t>
      </w:r>
      <w:r>
        <w:t>充分发挥市场在资源配置中的决定性作用</w:t>
      </w:r>
      <w:r>
        <w:rPr>
          <w:rFonts w:hint="eastAsia"/>
          <w:lang w:eastAsia="zh-CN"/>
        </w:rPr>
        <w:t>，</w:t>
      </w:r>
      <w:r>
        <w:t>更好地发挥政府</w:t>
      </w:r>
      <w:r>
        <w:rPr>
          <w:rFonts w:hint="eastAsia"/>
          <w:lang w:val="en-US" w:eastAsia="zh-CN"/>
        </w:rPr>
        <w:t>引领</w:t>
      </w:r>
      <w:r>
        <w:t>作用</w:t>
      </w:r>
      <w:r>
        <w:rPr>
          <w:rFonts w:hint="eastAsia"/>
          <w:lang w:eastAsia="zh-CN"/>
        </w:rPr>
        <w:t>，</w:t>
      </w:r>
      <w:r>
        <w:t>全力推进水网工程建设</w:t>
      </w:r>
      <w:r>
        <w:rPr>
          <w:rFonts w:hint="eastAsia"/>
          <w:lang w:eastAsia="zh-CN"/>
        </w:rPr>
        <w:t>。</w:t>
      </w:r>
      <w:r>
        <w:t>坚持科技引领和数字赋能</w:t>
      </w:r>
      <w:r>
        <w:rPr>
          <w:rFonts w:hint="eastAsia"/>
          <w:lang w:eastAsia="zh-CN"/>
        </w:rPr>
        <w:t>，</w:t>
      </w:r>
      <w:r>
        <w:t>大力推进水网数字化</w:t>
      </w:r>
      <w:r>
        <w:rPr>
          <w:rFonts w:hint="eastAsia"/>
          <w:lang w:eastAsia="zh-CN"/>
        </w:rPr>
        <w:t>、</w:t>
      </w:r>
      <w:r>
        <w:t>调度智能化</w:t>
      </w:r>
      <w:r>
        <w:rPr>
          <w:rFonts w:hint="eastAsia"/>
          <w:lang w:eastAsia="zh-CN"/>
        </w:rPr>
        <w:t>、</w:t>
      </w:r>
      <w:r>
        <w:t>监测预警自动化</w:t>
      </w:r>
      <w:r>
        <w:rPr>
          <w:rFonts w:hint="eastAsia"/>
          <w:lang w:eastAsia="zh-CN"/>
        </w:rPr>
        <w:t>，</w:t>
      </w:r>
      <w:r>
        <w:t>数字孪生水网建设取得积极进展</w:t>
      </w:r>
      <w:r>
        <w:rPr>
          <w:rFonts w:hint="eastAsia"/>
          <w:lang w:eastAsia="zh-CN"/>
        </w:rPr>
        <w:t>，</w:t>
      </w:r>
      <w:r>
        <w:t>提升水网管理现代化水平</w:t>
      </w:r>
      <w:r>
        <w:rPr>
          <w:rFonts w:hint="eastAsia"/>
          <w:lang w:eastAsia="zh-CN"/>
        </w:rPr>
        <w:t>。</w:t>
      </w:r>
    </w:p>
    <w:p w14:paraId="6D7281D4">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lang w:val="en-US" w:eastAsia="zh-CN"/>
        </w:rPr>
      </w:pPr>
      <w:bookmarkStart w:id="54" w:name="_Toc27854"/>
      <w:bookmarkStart w:id="55" w:name="_Toc31605"/>
      <w:bookmarkStart w:id="56" w:name="_Toc6327"/>
      <w:bookmarkStart w:id="57" w:name="_Toc2103"/>
      <w:bookmarkStart w:id="58" w:name="_Toc22754"/>
      <w:r>
        <w:t>第三节</w:t>
      </w:r>
      <w:r>
        <w:rPr>
          <w:rFonts w:hint="eastAsia"/>
          <w:lang w:val="en-US" w:eastAsia="zh-CN"/>
        </w:rPr>
        <w:t xml:space="preserve">  编制依据</w:t>
      </w:r>
      <w:bookmarkEnd w:id="54"/>
      <w:bookmarkEnd w:id="55"/>
    </w:p>
    <w:p w14:paraId="5B7BA7CF">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水利部《关于加快推动农村供水高质量发展的指导意见》（水农〔2023〕283号）；</w:t>
      </w:r>
    </w:p>
    <w:p w14:paraId="28CAEE24">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（2）水利部关于开展智慧水利先行先试工作的通知（水信息〔2020〕46号）</w:t>
      </w:r>
    </w:p>
    <w:p w14:paraId="45009DB1">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水利部办公厅《关于推进农村供水工程标准化管理的通知》（办农水〔2022〕307号）；</w:t>
      </w:r>
    </w:p>
    <w:p w14:paraId="7DA77EB8">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水利部关于印发数字孪生水网建设技术导则的通知（</w:t>
      </w:r>
      <w:r>
        <w:rPr>
          <w:rFonts w:hint="eastAsia"/>
          <w:lang w:val="en-US" w:eastAsia="zh-CN"/>
        </w:rPr>
        <w:t>水信息</w:t>
      </w:r>
      <w:r>
        <w:rPr>
          <w:rFonts w:hint="default"/>
          <w:lang w:val="en-US" w:eastAsia="zh-CN"/>
        </w:rPr>
        <w:t>〔2022〕</w:t>
      </w:r>
      <w:r>
        <w:rPr>
          <w:rFonts w:hint="eastAsia"/>
          <w:lang w:val="en-US" w:eastAsia="zh-CN"/>
        </w:rPr>
        <w:t>397</w:t>
      </w:r>
      <w:r>
        <w:rPr>
          <w:rFonts w:hint="default"/>
          <w:lang w:val="en-US" w:eastAsia="zh-CN"/>
        </w:rPr>
        <w:t>号）；</w:t>
      </w:r>
    </w:p>
    <w:p w14:paraId="56D79440">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水利部规划计划司关于加快推进市县水网建设规划编制工作的通知（</w:t>
      </w:r>
      <w:r>
        <w:rPr>
          <w:rFonts w:hint="eastAsia"/>
          <w:lang w:val="en-US" w:eastAsia="zh-CN"/>
        </w:rPr>
        <w:t>规计规函</w:t>
      </w: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18</w:t>
      </w:r>
      <w:r>
        <w:rPr>
          <w:rFonts w:hint="default"/>
          <w:lang w:val="en-US" w:eastAsia="zh-CN"/>
        </w:rPr>
        <w:t>号）；</w:t>
      </w:r>
    </w:p>
    <w:p w14:paraId="2545ECF3">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国家发展改革委《关于印发支持宁夏建设黄河流域生态保护和高质量发展先行区实施方案的通知》（发改地区〔2022〕654号）；</w:t>
      </w:r>
    </w:p>
    <w:p w14:paraId="7E61D88A">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宁夏回族自治区人民政府《关于印发宁夏回族自治区“互联网+城乡供水”示范省（区）建设实施方案（2021年—2025年）的通知》（宁政发〔2020〕35号）；</w:t>
      </w:r>
    </w:p>
    <w:p w14:paraId="79C357F2">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自治区人民政府办公厅《关于印发宁夏回族自治区水安全保障“十四五”规划的通知》（宁政办发〔2021〕82号）；</w:t>
      </w:r>
    </w:p>
    <w:p w14:paraId="3C1E7CE2">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《村镇供水工程技术规范》(GB/T 43824-2024)；</w:t>
      </w:r>
    </w:p>
    <w:p w14:paraId="58C03136">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《室外给水设计标准》（GB 50013—2018）；</w:t>
      </w:r>
    </w:p>
    <w:p w14:paraId="4FF7D229">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《地表水环境质量标准》（GB 3838-2002）；</w:t>
      </w:r>
    </w:p>
    <w:p w14:paraId="06F9F8D8">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《地下水质量标准》（GB/T 14848-2017）；</w:t>
      </w:r>
    </w:p>
    <w:p w14:paraId="55BAE43C">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《国家水网建设规划纲要》</w:t>
      </w:r>
    </w:p>
    <w:p w14:paraId="0FFE902D">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《宁夏回族自治区现代水网建设规划》；</w:t>
      </w:r>
    </w:p>
    <w:p w14:paraId="2CD879D2">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《宁夏“十四五”城乡供水规划》</w:t>
      </w:r>
      <w:r>
        <w:rPr>
          <w:rFonts w:hint="eastAsia"/>
          <w:lang w:val="en-US" w:eastAsia="zh-CN"/>
        </w:rPr>
        <w:t>；</w:t>
      </w:r>
    </w:p>
    <w:p w14:paraId="5B109D0A">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《吴忠市红寺堡区生态环境保护“十四五”规划》</w:t>
      </w:r>
      <w:r>
        <w:rPr>
          <w:rFonts w:hint="eastAsia"/>
          <w:lang w:val="en-US" w:eastAsia="zh-CN"/>
        </w:rPr>
        <w:t>；</w:t>
      </w:r>
    </w:p>
    <w:p w14:paraId="43844B5C">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w:t>
      </w:r>
      <w:r>
        <w:rPr>
          <w:rFonts w:hint="default"/>
          <w:lang w:val="en-US" w:eastAsia="zh-CN"/>
        </w:rPr>
        <w:t>吴忠市红寺堡区</w:t>
      </w:r>
      <w:r>
        <w:rPr>
          <w:rFonts w:hint="eastAsia"/>
          <w:lang w:val="en-US" w:eastAsia="zh-CN"/>
        </w:rPr>
        <w:t>水土保持</w:t>
      </w:r>
      <w:r>
        <w:rPr>
          <w:rFonts w:hint="default"/>
          <w:lang w:val="en-US" w:eastAsia="zh-CN"/>
        </w:rPr>
        <w:t>规划</w:t>
      </w:r>
      <w:r>
        <w:rPr>
          <w:rFonts w:hint="eastAsia"/>
          <w:lang w:val="en-US" w:eastAsia="zh-CN"/>
        </w:rPr>
        <w:t>》；</w:t>
      </w:r>
    </w:p>
    <w:p w14:paraId="193F838C">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《吴忠市红寺堡区防洪规划》；</w:t>
      </w:r>
    </w:p>
    <w:p w14:paraId="2A035FD6">
      <w:pPr>
        <w:keepNext w:val="0"/>
        <w:keepLines w:val="0"/>
        <w:pageBreakBefore w:val="0"/>
        <w:widowControl w:val="0"/>
        <w:numPr>
          <w:ilvl w:val="0"/>
          <w:numId w:val="2"/>
        </w:numPr>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《2022年宁夏回族自治区水土保持公报》；</w:t>
      </w:r>
    </w:p>
    <w:p w14:paraId="471D424E">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ascii="黑体" w:hAnsi="黑体" w:eastAsia="黑体" w:cs="黑体"/>
          <w:color w:val="auto"/>
          <w:lang w:eastAsia="zh-CN"/>
        </w:rPr>
      </w:pPr>
      <w:bookmarkStart w:id="59" w:name="_Toc8856"/>
      <w:r>
        <w:rPr>
          <w:rFonts w:hint="eastAsia" w:ascii="黑体" w:hAnsi="黑体" w:eastAsia="黑体" w:cs="黑体"/>
          <w:color w:val="auto"/>
          <w:lang w:eastAsia="zh-CN"/>
        </w:rPr>
        <w:t>第</w:t>
      </w:r>
      <w:r>
        <w:rPr>
          <w:rFonts w:hint="eastAsia" w:ascii="黑体" w:hAnsi="黑体" w:cs="黑体"/>
          <w:color w:val="auto"/>
          <w:lang w:val="en-US" w:eastAsia="zh-CN"/>
        </w:rPr>
        <w:t>四</w:t>
      </w:r>
      <w:r>
        <w:rPr>
          <w:rFonts w:hint="eastAsia" w:ascii="黑体" w:hAnsi="黑体" w:eastAsia="黑体" w:cs="黑体"/>
          <w:color w:val="auto"/>
          <w:lang w:eastAsia="zh-CN"/>
        </w:rPr>
        <w:t>节</w:t>
      </w:r>
      <w:r>
        <w:rPr>
          <w:rFonts w:hint="eastAsia" w:ascii="黑体" w:hAnsi="黑体" w:cs="黑体"/>
          <w:color w:val="auto"/>
          <w:lang w:val="en-US" w:eastAsia="zh-CN"/>
        </w:rPr>
        <w:t xml:space="preserve">  </w:t>
      </w:r>
      <w:r>
        <w:rPr>
          <w:rFonts w:hint="eastAsia" w:ascii="黑体" w:hAnsi="黑体" w:eastAsia="黑体" w:cs="黑体"/>
          <w:color w:val="auto"/>
          <w:lang w:eastAsia="zh-CN"/>
        </w:rPr>
        <w:t>规划范围与水平年</w:t>
      </w:r>
      <w:bookmarkEnd w:id="56"/>
      <w:bookmarkEnd w:id="57"/>
      <w:bookmarkEnd w:id="58"/>
      <w:bookmarkEnd w:id="59"/>
    </w:p>
    <w:p w14:paraId="68563BE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ascii="仿宋_GB2312" w:hAnsi="仿宋_GB2312" w:eastAsia="仿宋_GB2312" w:cs="仿宋_GB2312"/>
          <w:color w:val="auto"/>
          <w:lang w:eastAsia="zh-CN"/>
        </w:rPr>
        <w:t>规划范围为吴忠市红寺堡区，总面积2767</w:t>
      </w:r>
      <w:r>
        <w:rPr>
          <w:rFonts w:hint="eastAsia"/>
          <w:lang w:val="en-US" w:eastAsia="zh-CN"/>
        </w:rPr>
        <w:t>km</w:t>
      </w:r>
      <w:r>
        <w:rPr>
          <w:rFonts w:hint="eastAsia"/>
          <w:vertAlign w:val="superscript"/>
          <w:lang w:val="en-US" w:eastAsia="zh-CN"/>
        </w:rPr>
        <w:t>2</w:t>
      </w:r>
      <w:r>
        <w:rPr>
          <w:rFonts w:hint="eastAsia"/>
          <w:vertAlign w:val="baseline"/>
          <w:lang w:val="en-US" w:eastAsia="zh-CN"/>
        </w:rPr>
        <w:t>。</w:t>
      </w:r>
    </w:p>
    <w:p w14:paraId="4C0ABE5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现状水平年为：2023年；</w:t>
      </w:r>
    </w:p>
    <w:p w14:paraId="3E463C1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近期规划水平年为：203</w:t>
      </w:r>
      <w:r>
        <w:rPr>
          <w:rFonts w:hint="eastAsia"/>
          <w:lang w:val="en-US" w:eastAsia="zh-CN"/>
        </w:rPr>
        <w:t>0</w:t>
      </w:r>
      <w:r>
        <w:rPr>
          <w:rFonts w:hint="eastAsia"/>
          <w:lang w:eastAsia="zh-CN"/>
        </w:rPr>
        <w:t>年；</w:t>
      </w:r>
    </w:p>
    <w:p w14:paraId="6EB3ABE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远期规划水平年为：20</w:t>
      </w:r>
      <w:r>
        <w:rPr>
          <w:rFonts w:hint="eastAsia"/>
          <w:lang w:val="en-US" w:eastAsia="zh-CN"/>
        </w:rPr>
        <w:t>35</w:t>
      </w:r>
      <w:r>
        <w:rPr>
          <w:rFonts w:hint="eastAsia"/>
          <w:lang w:eastAsia="zh-CN"/>
        </w:rPr>
        <w:t>年。</w:t>
      </w:r>
    </w:p>
    <w:p w14:paraId="27AF32E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val="en-US" w:eastAsia="zh-CN"/>
        </w:rPr>
        <w:t>展望至</w:t>
      </w:r>
      <w:r>
        <w:rPr>
          <w:rFonts w:hint="eastAsia"/>
          <w:lang w:eastAsia="zh-CN"/>
        </w:rPr>
        <w:t>：20</w:t>
      </w:r>
      <w:r>
        <w:rPr>
          <w:rFonts w:hint="eastAsia"/>
          <w:lang w:val="en-US" w:eastAsia="zh-CN"/>
        </w:rPr>
        <w:t>50</w:t>
      </w:r>
      <w:r>
        <w:rPr>
          <w:rFonts w:hint="eastAsia"/>
          <w:lang w:eastAsia="zh-CN"/>
        </w:rPr>
        <w:t>年。</w:t>
      </w:r>
    </w:p>
    <w:p w14:paraId="3DEBFB05">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ascii="黑体" w:hAnsi="黑体" w:eastAsia="黑体" w:cs="黑体"/>
          <w:color w:val="auto"/>
          <w:lang w:eastAsia="zh-CN"/>
        </w:rPr>
      </w:pPr>
      <w:bookmarkStart w:id="60" w:name="_Toc25926"/>
      <w:bookmarkStart w:id="61" w:name="_Toc20995"/>
      <w:bookmarkStart w:id="62" w:name="_Toc16915"/>
      <w:bookmarkStart w:id="63" w:name="_Toc16361"/>
      <w:r>
        <w:rPr>
          <w:rFonts w:hint="eastAsia" w:ascii="黑体" w:hAnsi="黑体" w:eastAsia="黑体" w:cs="黑体"/>
          <w:color w:val="auto"/>
          <w:lang w:eastAsia="zh-CN"/>
        </w:rPr>
        <w:t>第</w:t>
      </w:r>
      <w:r>
        <w:rPr>
          <w:rFonts w:hint="eastAsia" w:ascii="黑体" w:hAnsi="黑体" w:cs="黑体"/>
          <w:color w:val="auto"/>
          <w:lang w:val="en-US" w:eastAsia="zh-CN"/>
        </w:rPr>
        <w:t>五</w:t>
      </w:r>
      <w:r>
        <w:rPr>
          <w:rFonts w:hint="eastAsia" w:ascii="黑体" w:hAnsi="黑体" w:eastAsia="黑体" w:cs="黑体"/>
          <w:color w:val="auto"/>
          <w:lang w:eastAsia="zh-CN"/>
        </w:rPr>
        <w:t>节</w:t>
      </w:r>
      <w:r>
        <w:rPr>
          <w:rFonts w:hint="eastAsia" w:ascii="黑体" w:hAnsi="黑体" w:cs="黑体"/>
          <w:color w:val="auto"/>
          <w:lang w:val="en-US" w:eastAsia="zh-CN"/>
        </w:rPr>
        <w:t xml:space="preserve">  </w:t>
      </w:r>
      <w:r>
        <w:rPr>
          <w:rFonts w:hint="eastAsia" w:ascii="黑体" w:hAnsi="黑体" w:eastAsia="黑体" w:cs="黑体"/>
          <w:color w:val="auto"/>
          <w:lang w:eastAsia="zh-CN"/>
        </w:rPr>
        <w:t>总体布局</w:t>
      </w:r>
      <w:bookmarkEnd w:id="60"/>
      <w:bookmarkEnd w:id="61"/>
      <w:bookmarkEnd w:id="62"/>
      <w:bookmarkEnd w:id="63"/>
    </w:p>
    <w:p w14:paraId="01A40C1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eastAsia="zh-CN"/>
        </w:rPr>
        <w:t>根据</w:t>
      </w:r>
      <w:r>
        <w:rPr>
          <w:rFonts w:hint="eastAsia"/>
          <w:lang w:val="en-US" w:eastAsia="zh-CN"/>
        </w:rPr>
        <w:t>红寺堡</w:t>
      </w:r>
      <w:r>
        <w:rPr>
          <w:rFonts w:hint="eastAsia"/>
          <w:lang w:eastAsia="zh-CN"/>
        </w:rPr>
        <w:t>自然河湖分布、水资源禀赋、国民经济布局、现有水利工程等情况，以提升水安全保障能力为目标，以供水保障、水旱灾害防御体系为主线，以苦水河、红柳沟、清水河等重点河道和现状红寺堡扬水工程等调水工程为骨架，以河湖水系连通和灌排渠系为脉络，以重点小型水库、重点地下水源地等为节点，以数字化、网络化、智慧化调控为手段，统筹供水保障、防洪排水、水系生态、智慧水务，构建“一</w:t>
      </w:r>
      <w:r>
        <w:rPr>
          <w:rFonts w:hint="eastAsia"/>
          <w:lang w:val="en-US" w:eastAsia="zh-CN"/>
        </w:rPr>
        <w:t>横</w:t>
      </w:r>
      <w:r>
        <w:rPr>
          <w:rFonts w:hint="eastAsia"/>
          <w:lang w:eastAsia="zh-CN"/>
        </w:rPr>
        <w:t>、三</w:t>
      </w:r>
      <w:r>
        <w:rPr>
          <w:rFonts w:hint="eastAsia"/>
          <w:lang w:val="en-US" w:eastAsia="zh-CN"/>
        </w:rPr>
        <w:t>纵</w:t>
      </w:r>
      <w:r>
        <w:rPr>
          <w:rFonts w:hint="eastAsia"/>
          <w:lang w:eastAsia="zh-CN"/>
        </w:rPr>
        <w:t>”的</w:t>
      </w:r>
      <w:r>
        <w:rPr>
          <w:rFonts w:hint="eastAsia"/>
          <w:lang w:val="en-US" w:eastAsia="zh-CN"/>
        </w:rPr>
        <w:t>基本</w:t>
      </w:r>
      <w:r>
        <w:rPr>
          <w:rFonts w:hint="eastAsia"/>
          <w:lang w:eastAsia="zh-CN"/>
        </w:rPr>
        <w:t>水网</w:t>
      </w:r>
      <w:r>
        <w:rPr>
          <w:rFonts w:hint="eastAsia"/>
          <w:lang w:val="en-US" w:eastAsia="zh-CN"/>
        </w:rPr>
        <w:t>格局</w:t>
      </w:r>
      <w:r>
        <w:rPr>
          <w:rFonts w:hint="eastAsia"/>
          <w:lang w:eastAsia="zh-CN"/>
        </w:rPr>
        <w:t>。</w:t>
      </w:r>
      <w:r>
        <w:rPr>
          <w:rFonts w:hint="eastAsia"/>
          <w:lang w:val="en-US" w:eastAsia="zh-CN"/>
        </w:rPr>
        <w:t>一横为灌溉水网的主动脉，三纵为防洪网的主通道。</w:t>
      </w:r>
    </w:p>
    <w:p w14:paraId="6064687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b/>
          <w:bCs/>
          <w:lang w:eastAsia="zh-CN"/>
        </w:rPr>
        <w:t>一横：</w:t>
      </w:r>
      <w:r>
        <w:rPr>
          <w:rFonts w:hint="eastAsia"/>
          <w:lang w:val="en-US" w:eastAsia="zh-CN"/>
        </w:rPr>
        <w:t>一横指红寺堡三干渠及红寺堡四干渠，红三干渠及红四干渠自西向东相接横穿红寺堡区，由红三干渠取水的各支渠向南北方向延伸灌溉区内田地，依托两条干渠及支干渠形成了发达的工业、农业、畜牧业产业链。</w:t>
      </w:r>
    </w:p>
    <w:p w14:paraId="7AB54466">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b/>
          <w:bCs/>
          <w:color w:val="auto"/>
          <w:lang w:val="en-US" w:eastAsia="zh-CN"/>
        </w:rPr>
        <w:t>三纵：</w:t>
      </w:r>
      <w:r>
        <w:rPr>
          <w:rFonts w:hint="eastAsia"/>
          <w:color w:val="auto"/>
          <w:lang w:val="en-US" w:eastAsia="zh-CN"/>
        </w:rPr>
        <w:t>指清水河、红柳沟、苦水河， 3 条骨干河道分别从南部蜿蜒曲折的向北穿过红寺堡区，最终汇入黄河，</w:t>
      </w:r>
      <w:r>
        <w:rPr>
          <w:rFonts w:hint="eastAsia"/>
          <w:color w:val="auto"/>
          <w:lang w:eastAsia="zh-CN"/>
        </w:rPr>
        <w:t>清水河、红柳沟和苦水河三条河流均为黄河的一级支流，构成了红寺堡区防洪排涝骨干水网体系，几条支流不仅承担着行洪任务，也兼具农田的排涝排渍及生态功能。</w:t>
      </w:r>
    </w:p>
    <w:p w14:paraId="231E2A38">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ascii="黑体" w:hAnsi="黑体" w:eastAsia="黑体" w:cs="黑体"/>
          <w:color w:val="auto"/>
          <w:lang w:eastAsia="zh-CN"/>
        </w:rPr>
      </w:pPr>
      <w:bookmarkStart w:id="64" w:name="_Toc19014"/>
      <w:bookmarkStart w:id="65" w:name="_Toc32334"/>
      <w:bookmarkStart w:id="66" w:name="_Toc18262"/>
      <w:bookmarkStart w:id="67" w:name="_Toc31666"/>
      <w:r>
        <w:rPr>
          <w:rFonts w:hint="eastAsia" w:ascii="黑体" w:hAnsi="黑体" w:eastAsia="黑体" w:cs="黑体"/>
          <w:color w:val="auto"/>
          <w:lang w:eastAsia="zh-CN"/>
        </w:rPr>
        <w:t>第</w:t>
      </w:r>
      <w:r>
        <w:rPr>
          <w:rFonts w:hint="eastAsia" w:ascii="黑体" w:hAnsi="黑体" w:cs="黑体"/>
          <w:color w:val="auto"/>
          <w:lang w:val="en-US" w:eastAsia="zh-CN"/>
        </w:rPr>
        <w:t>六</w:t>
      </w:r>
      <w:r>
        <w:rPr>
          <w:rFonts w:hint="eastAsia" w:ascii="黑体" w:hAnsi="黑体" w:eastAsia="黑体" w:cs="黑体"/>
          <w:color w:val="auto"/>
          <w:lang w:eastAsia="zh-CN"/>
        </w:rPr>
        <w:t>节</w:t>
      </w:r>
      <w:r>
        <w:rPr>
          <w:rFonts w:hint="eastAsia" w:ascii="黑体" w:hAnsi="黑体" w:cs="黑体"/>
          <w:color w:val="auto"/>
          <w:lang w:val="en-US" w:eastAsia="zh-CN"/>
        </w:rPr>
        <w:t xml:space="preserve">  </w:t>
      </w:r>
      <w:r>
        <w:rPr>
          <w:rFonts w:hint="eastAsia" w:ascii="黑体" w:hAnsi="黑体" w:eastAsia="黑体" w:cs="黑体"/>
          <w:color w:val="auto"/>
          <w:lang w:eastAsia="zh-CN"/>
        </w:rPr>
        <w:t>主要</w:t>
      </w:r>
      <w:r>
        <w:rPr>
          <w:rFonts w:hint="eastAsia" w:ascii="黑体" w:hAnsi="黑体" w:cs="黑体"/>
          <w:color w:val="auto"/>
          <w:lang w:val="en-US" w:eastAsia="zh-CN"/>
        </w:rPr>
        <w:t>建设</w:t>
      </w:r>
      <w:r>
        <w:rPr>
          <w:rFonts w:hint="eastAsia" w:ascii="黑体" w:hAnsi="黑体" w:eastAsia="黑体" w:cs="黑体"/>
          <w:color w:val="auto"/>
          <w:lang w:eastAsia="zh-CN"/>
        </w:rPr>
        <w:t>任务</w:t>
      </w:r>
      <w:bookmarkEnd w:id="64"/>
      <w:bookmarkEnd w:id="65"/>
      <w:bookmarkEnd w:id="66"/>
      <w:bookmarkEnd w:id="67"/>
    </w:p>
    <w:p w14:paraId="5A7C1A9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依托自治区骨干水网总体布局，</w:t>
      </w:r>
      <w:r>
        <w:rPr>
          <w:rFonts w:hint="eastAsia"/>
          <w:lang w:val="en-US" w:eastAsia="zh-CN"/>
        </w:rPr>
        <w:t>衔接</w:t>
      </w:r>
      <w:r>
        <w:rPr>
          <w:rFonts w:hint="eastAsia"/>
          <w:lang w:eastAsia="zh-CN"/>
        </w:rPr>
        <w:t>吴忠市现代水网建设规划的</w:t>
      </w:r>
      <w:r>
        <w:rPr>
          <w:rFonts w:hint="eastAsia"/>
          <w:lang w:val="en-US" w:eastAsia="zh-CN"/>
        </w:rPr>
        <w:t>总体布局，结合</w:t>
      </w:r>
      <w:r>
        <w:rPr>
          <w:rFonts w:hint="eastAsia"/>
          <w:lang w:eastAsia="zh-CN"/>
        </w:rPr>
        <w:t>红寺堡区自然河湖水系特点和水利基础设施网络布局，遵循“确有需要、生态安全、可以持续”的重大水利工程论证原则，以重大引调水工程和骨干输配水通道为“纲”、以区域河湖水系连通工程和供水渠（管）道为“目”、以控制性调蓄工程为“结”，构建完善的红寺堡区现代水网，全面增强红寺堡区水资源统筹调配能力、供水保障能力、战略储备能力。</w:t>
      </w:r>
    </w:p>
    <w:p w14:paraId="43CB03F8">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cs="仿宋_GB2312"/>
          <w:color w:val="auto"/>
          <w:lang w:eastAsia="zh-CN"/>
        </w:rPr>
      </w:pPr>
      <w:r>
        <w:rPr>
          <w:rFonts w:hint="eastAsia" w:ascii="仿宋_GB2312" w:hAnsi="仿宋_GB2312" w:cs="仿宋_GB2312"/>
          <w:b/>
          <w:bCs/>
          <w:color w:val="auto"/>
          <w:lang w:val="en-US" w:eastAsia="zh-CN"/>
        </w:rPr>
        <w:t>完善</w:t>
      </w:r>
      <w:r>
        <w:rPr>
          <w:rFonts w:hint="eastAsia" w:ascii="仿宋_GB2312" w:hAnsi="仿宋_GB2312" w:eastAsia="仿宋_GB2312" w:cs="仿宋_GB2312"/>
          <w:b/>
          <w:bCs/>
          <w:color w:val="auto"/>
          <w:lang w:eastAsia="zh-CN"/>
        </w:rPr>
        <w:t>红寺堡区水网之“纲”。</w:t>
      </w:r>
      <w:r>
        <w:rPr>
          <w:rFonts w:hint="eastAsia" w:ascii="仿宋_GB2312" w:hAnsi="仿宋_GB2312" w:eastAsia="仿宋_GB2312" w:cs="仿宋_GB2312"/>
          <w:color w:val="auto"/>
          <w:lang w:eastAsia="zh-CN"/>
        </w:rPr>
        <w:t>以</w:t>
      </w:r>
      <w:r>
        <w:rPr>
          <w:rFonts w:hint="eastAsia" w:ascii="仿宋_GB2312" w:hAnsi="仿宋_GB2312" w:eastAsia="仿宋_GB2312" w:cs="仿宋_GB2312"/>
          <w:color w:val="auto"/>
          <w:lang w:val="en-US" w:eastAsia="zh-CN"/>
        </w:rPr>
        <w:t>苦水河、清水河及红柳沟</w:t>
      </w:r>
      <w:r>
        <w:rPr>
          <w:rFonts w:hint="eastAsia" w:ascii="仿宋_GB2312" w:hAnsi="仿宋_GB2312" w:eastAsia="仿宋_GB2312" w:cs="仿宋_GB2312"/>
          <w:color w:val="auto"/>
          <w:lang w:eastAsia="zh-CN"/>
        </w:rPr>
        <w:t>、湖泊</w:t>
      </w:r>
      <w:r>
        <w:rPr>
          <w:rFonts w:hint="eastAsia" w:ascii="仿宋_GB2312" w:hAnsi="仿宋_GB2312" w:eastAsia="仿宋_GB2312" w:cs="仿宋_GB2312"/>
          <w:color w:val="auto"/>
          <w:lang w:val="en-US" w:eastAsia="zh-CN"/>
        </w:rPr>
        <w:t>等重要河流和红三干渠、红四干渠第二个骨干渠道</w:t>
      </w:r>
      <w:r>
        <w:rPr>
          <w:rFonts w:hint="eastAsia" w:ascii="仿宋_GB2312" w:hAnsi="仿宋_GB2312" w:eastAsia="仿宋_GB2312" w:cs="仿宋_GB2312"/>
          <w:color w:val="auto"/>
          <w:lang w:eastAsia="zh-CN"/>
        </w:rPr>
        <w:t>为基础，推进黄河干流红寺堡区段堤防达标提标建设，加快构建苦水河、清水河及红柳沟重要河流绿色生态廊道</w:t>
      </w:r>
      <w:r>
        <w:rPr>
          <w:rFonts w:hint="eastAsia" w:ascii="仿宋_GB2312" w:hAnsi="仿宋_GB2312" w:cs="仿宋_GB2312"/>
          <w:color w:val="auto"/>
          <w:lang w:eastAsia="zh-CN"/>
        </w:rPr>
        <w:t>。</w:t>
      </w:r>
    </w:p>
    <w:p w14:paraId="48C42CCC">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织密红寺堡区水网之“目”。</w:t>
      </w:r>
      <w:r>
        <w:rPr>
          <w:rFonts w:hint="eastAsia" w:ascii="仿宋_GB2312" w:hAnsi="仿宋_GB2312" w:eastAsia="仿宋_GB2312" w:cs="仿宋_GB2312"/>
          <w:color w:val="auto"/>
          <w:lang w:eastAsia="zh-CN"/>
        </w:rPr>
        <w:t>结合</w:t>
      </w:r>
      <w:r>
        <w:rPr>
          <w:rFonts w:hint="eastAsia" w:ascii="仿宋_GB2312" w:hAnsi="仿宋_GB2312" w:eastAsia="仿宋_GB2312" w:cs="仿宋_GB2312"/>
          <w:color w:val="auto"/>
          <w:lang w:val="en-US" w:eastAsia="zh-CN"/>
        </w:rPr>
        <w:t>红寺堡区</w:t>
      </w:r>
      <w:r>
        <w:rPr>
          <w:rFonts w:hint="eastAsia" w:ascii="仿宋_GB2312" w:hAnsi="仿宋_GB2312" w:eastAsia="仿宋_GB2312" w:cs="仿宋_GB2312"/>
          <w:color w:val="auto"/>
          <w:lang w:eastAsia="zh-CN"/>
        </w:rPr>
        <w:t>水安全保障需求，加强红寺堡区供水管网与自治区级重要水资源配置工程的互联互通，推进城乡供水一体化建设，促进城乡联网供水、公共服务均等化；推进主要支流及中小河流综合治理、河湖水系连通工程。形成城乡一体、互联互通的</w:t>
      </w:r>
      <w:r>
        <w:rPr>
          <w:rFonts w:hint="eastAsia" w:ascii="仿宋_GB2312" w:hAnsi="仿宋_GB2312" w:eastAsia="仿宋_GB2312" w:cs="仿宋_GB2312"/>
          <w:color w:val="auto"/>
          <w:lang w:val="en-US" w:eastAsia="zh-CN"/>
        </w:rPr>
        <w:t>红寺堡区</w:t>
      </w:r>
      <w:r>
        <w:rPr>
          <w:rFonts w:hint="eastAsia" w:ascii="仿宋_GB2312" w:hAnsi="仿宋_GB2312" w:eastAsia="仿宋_GB2312" w:cs="仿宋_GB2312"/>
          <w:color w:val="auto"/>
          <w:lang w:eastAsia="zh-CN"/>
        </w:rPr>
        <w:t>水网体系。</w:t>
      </w:r>
    </w:p>
    <w:p w14:paraId="357C7690">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cs="仿宋_GB2312"/>
          <w:b/>
          <w:bCs/>
          <w:color w:val="auto"/>
          <w:lang w:val="en-US" w:eastAsia="zh-CN"/>
        </w:rPr>
        <w:t>健全</w:t>
      </w:r>
      <w:r>
        <w:rPr>
          <w:rFonts w:hint="eastAsia" w:ascii="仿宋_GB2312" w:hAnsi="仿宋_GB2312" w:eastAsia="仿宋_GB2312" w:cs="仿宋_GB2312"/>
          <w:b/>
          <w:bCs/>
          <w:color w:val="auto"/>
          <w:lang w:eastAsia="zh-CN"/>
        </w:rPr>
        <w:t>红寺堡区水网之“结”。</w:t>
      </w:r>
      <w:r>
        <w:rPr>
          <w:rFonts w:hint="eastAsia" w:ascii="仿宋_GB2312" w:hAnsi="仿宋_GB2312" w:eastAsia="仿宋_GB2312" w:cs="仿宋_GB2312"/>
          <w:color w:val="auto"/>
          <w:lang w:val="en-US" w:eastAsia="zh-CN"/>
        </w:rPr>
        <w:t>红寺堡区</w:t>
      </w:r>
      <w:r>
        <w:rPr>
          <w:rFonts w:hint="eastAsia" w:ascii="仿宋_GB2312" w:hAnsi="仿宋_GB2312" w:eastAsia="仿宋_GB2312" w:cs="仿宋_GB2312"/>
          <w:color w:val="auto"/>
          <w:lang w:eastAsia="zh-CN"/>
        </w:rPr>
        <w:t>充分挖掘现有重点调蓄水库的调蓄能力、供水工程的供水能力</w:t>
      </w:r>
      <w:r>
        <w:rPr>
          <w:rFonts w:hint="eastAsia" w:ascii="仿宋_GB2312" w:hAnsi="仿宋_GB2312" w:eastAsia="仿宋_GB2312" w:cs="仿宋_GB2312"/>
          <w:color w:val="auto"/>
          <w:lang w:val="en-US" w:eastAsia="zh-CN"/>
        </w:rPr>
        <w:t>及新建一批调蓄水库</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加快</w:t>
      </w:r>
      <w:r>
        <w:rPr>
          <w:rFonts w:hint="eastAsia" w:ascii="仿宋_GB2312" w:hAnsi="仿宋_GB2312" w:eastAsia="仿宋_GB2312" w:cs="仿宋_GB2312"/>
          <w:color w:val="auto"/>
          <w:lang w:eastAsia="zh-CN"/>
        </w:rPr>
        <w:t>鲁家窑水库的扩容改造工程的建设</w:t>
      </w:r>
      <w:r>
        <w:rPr>
          <w:rFonts w:hint="eastAsia" w:ascii="仿宋_GB2312" w:hAnsi="仿宋_GB2312" w:cs="仿宋_GB2312"/>
          <w:color w:val="auto"/>
          <w:lang w:eastAsia="zh-CN"/>
        </w:rPr>
        <w:t>，</w:t>
      </w:r>
      <w:r>
        <w:rPr>
          <w:rFonts w:hint="eastAsia" w:ascii="仿宋_GB2312" w:hAnsi="仿宋_GB2312" w:eastAsia="仿宋_GB2312" w:cs="仿宋_GB2312"/>
          <w:color w:val="auto"/>
          <w:lang w:eastAsia="zh-CN"/>
        </w:rPr>
        <w:t>加强区域水工程联合调度，提升水资源调控能力，发挥综合功能和效益。</w:t>
      </w:r>
    </w:p>
    <w:p w14:paraId="349F8B40">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ascii="方正仿宋_GB2312" w:hAnsi="方正仿宋_GB2312" w:eastAsia="方正仿宋_GB2312" w:cs="方正仿宋_GB2312"/>
          <w:color w:val="auto"/>
          <w:lang w:eastAsia="zh-CN"/>
        </w:rPr>
      </w:pPr>
      <w:bookmarkStart w:id="68" w:name="_Toc26537"/>
      <w:bookmarkStart w:id="69" w:name="_Toc5713"/>
      <w:bookmarkStart w:id="70" w:name="_Toc162"/>
      <w:bookmarkStart w:id="71" w:name="_Toc6198"/>
      <w:bookmarkStart w:id="72" w:name="_Toc15806"/>
      <w:bookmarkStart w:id="73" w:name="_Toc834"/>
      <w:bookmarkStart w:id="74" w:name="_Toc14700"/>
      <w:r>
        <w:rPr>
          <w:rFonts w:hint="eastAsia" w:ascii="黑体" w:hAnsi="黑体" w:eastAsia="黑体" w:cs="黑体"/>
          <w:color w:val="auto"/>
          <w:lang w:eastAsia="zh-CN"/>
        </w:rPr>
        <w:t>第</w:t>
      </w:r>
      <w:r>
        <w:rPr>
          <w:rFonts w:hint="eastAsia" w:ascii="黑体" w:hAnsi="黑体" w:cs="黑体"/>
          <w:color w:val="auto"/>
          <w:lang w:val="en-US" w:eastAsia="zh-CN"/>
        </w:rPr>
        <w:t>七</w:t>
      </w:r>
      <w:r>
        <w:rPr>
          <w:rFonts w:hint="eastAsia" w:ascii="黑体" w:hAnsi="黑体" w:eastAsia="黑体" w:cs="黑体"/>
          <w:color w:val="auto"/>
          <w:lang w:eastAsia="zh-CN"/>
        </w:rPr>
        <w:t>节</w:t>
      </w:r>
      <w:r>
        <w:rPr>
          <w:rFonts w:hint="eastAsia" w:ascii="黑体" w:hAnsi="黑体" w:cs="黑体"/>
          <w:color w:val="auto"/>
          <w:lang w:val="en-US" w:eastAsia="zh-CN"/>
        </w:rPr>
        <w:t xml:space="preserve">  规划</w:t>
      </w:r>
      <w:r>
        <w:rPr>
          <w:rFonts w:hint="eastAsia" w:ascii="黑体" w:hAnsi="黑体" w:eastAsia="黑体" w:cs="黑体"/>
          <w:color w:val="auto"/>
          <w:lang w:eastAsia="zh-CN"/>
        </w:rPr>
        <w:t>目标</w:t>
      </w:r>
      <w:bookmarkEnd w:id="68"/>
      <w:bookmarkEnd w:id="69"/>
      <w:bookmarkEnd w:id="70"/>
      <w:bookmarkEnd w:id="71"/>
    </w:p>
    <w:p w14:paraId="0A3EF29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到2030年，</w:t>
      </w:r>
      <w:r>
        <w:rPr>
          <w:rFonts w:hint="eastAsia"/>
          <w:lang w:val="en-US" w:eastAsia="zh-CN"/>
        </w:rPr>
        <w:t>红寺堡</w:t>
      </w:r>
      <w:r>
        <w:rPr>
          <w:rFonts w:hint="eastAsia"/>
          <w:lang w:eastAsia="zh-CN"/>
        </w:rPr>
        <w:t>区县级水网骨干工程基本建设完成，着力补齐水资源配置、城乡供水、防洪排涝、水生态保护、水网智能化等短板和薄弱环节，水旱灾害防御能力、水资源节约集约利用能力、水资源优化配置能力、河湖水系生态保护治理能力进一步提高。</w:t>
      </w:r>
    </w:p>
    <w:p w14:paraId="0F8F969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到2035年，依托自治区水网，全面建成红寺堡区水网骨干工程体系，区内水网基本完善，水资源集约节约利用能力、水资源优化配置能力、水旱灾害防御能力、河湖生态保护治理能力、水网智慧化水平、体制机制法治管理水平明显提高，水安全保障能力显著增强，全面建成与社会主义现代化相适应的水安全保障体系。</w:t>
      </w:r>
    </w:p>
    <w:p w14:paraId="40C9DFC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到2050年，全面建成与黄河流域生态保护和高质量发展先行区要求相协调，与经济繁荣、民族团结、环境优美、人民富裕的美丽新宁夏相适应的现代水网体系。</w:t>
      </w:r>
    </w:p>
    <w:p w14:paraId="4932BDDC">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cs="仿宋_GB2312"/>
          <w:color w:val="auto"/>
          <w:lang w:val="en-US" w:eastAsia="zh-CN"/>
        </w:rPr>
      </w:pPr>
      <w:r>
        <w:rPr>
          <w:rFonts w:hint="eastAsia" w:ascii="仿宋_GB2312" w:hAnsi="仿宋_GB2312" w:eastAsia="仿宋_GB2312" w:cs="仿宋_GB2312"/>
          <w:b/>
          <w:bCs/>
          <w:color w:val="auto"/>
          <w:lang w:eastAsia="zh-CN"/>
        </w:rPr>
        <w:t>水资源优化配置。</w:t>
      </w:r>
      <w:r>
        <w:rPr>
          <w:rFonts w:hint="eastAsia" w:ascii="仿宋_GB2312" w:hAnsi="仿宋_GB2312" w:eastAsia="仿宋_GB2312" w:cs="仿宋_GB2312"/>
          <w:color w:val="auto"/>
          <w:lang w:eastAsia="zh-CN"/>
        </w:rPr>
        <w:t>全面建成与经济社会发展相适应的水资源配置体系，水资源统筹调配和供用水安全保障能力显著提升。</w:t>
      </w:r>
      <w:r>
        <w:rPr>
          <w:rFonts w:hint="eastAsia" w:ascii="仿宋_GB2312" w:hAnsi="仿宋_GB2312" w:cs="仿宋_GB2312"/>
          <w:color w:val="auto"/>
          <w:lang w:val="en-US" w:eastAsia="zh-CN"/>
        </w:rPr>
        <w:t xml:space="preserve">  </w:t>
      </w:r>
    </w:p>
    <w:p w14:paraId="37CF516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防洪减灾。</w:t>
      </w:r>
      <w:r>
        <w:rPr>
          <w:rFonts w:hint="eastAsia" w:ascii="仿宋_GB2312" w:hAnsi="仿宋_GB2312" w:eastAsia="仿宋_GB2312" w:cs="仿宋_GB2312"/>
          <w:color w:val="auto"/>
          <w:lang w:eastAsia="zh-CN"/>
        </w:rPr>
        <w:t>全面建成以河道及堤防为主要组成的防洪工程体系，黄河干流红寺堡区段全面达标，清水河、苦水河等重要支流重点河段防洪标准达到20年一遇，</w:t>
      </w:r>
      <w:r>
        <w:rPr>
          <w:rFonts w:hint="eastAsia" w:ascii="仿宋_GB2312" w:hAnsi="仿宋_GB2312" w:eastAsia="仿宋_GB2312" w:cs="仿宋_GB2312"/>
          <w:color w:val="auto"/>
          <w:lang w:val="en-US" w:eastAsia="zh-CN"/>
        </w:rPr>
        <w:t>其他</w:t>
      </w:r>
      <w:r>
        <w:rPr>
          <w:rFonts w:hint="eastAsia" w:ascii="仿宋_GB2312" w:hAnsi="仿宋_GB2312" w:eastAsia="仿宋_GB2312" w:cs="仿宋_GB2312"/>
          <w:color w:val="auto"/>
          <w:lang w:eastAsia="zh-CN"/>
        </w:rPr>
        <w:t>中小河流达到规划的防洪标准，城市防洪治涝、水旱灾害防御能力显著提升。</w:t>
      </w:r>
    </w:p>
    <w:p w14:paraId="04F3A03A">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cs="仿宋_GB2312"/>
          <w:b/>
          <w:bCs/>
          <w:color w:val="auto"/>
          <w:lang w:val="en-US" w:eastAsia="zh-CN"/>
        </w:rPr>
        <w:t>城乡供水。</w:t>
      </w:r>
      <w:r>
        <w:rPr>
          <w:rFonts w:hint="eastAsia" w:ascii="仿宋_GB2312" w:hAnsi="仿宋_GB2312" w:eastAsia="仿宋_GB2312" w:cs="仿宋_GB2312"/>
          <w:color w:val="auto"/>
          <w:lang w:eastAsia="zh-CN"/>
        </w:rPr>
        <w:t>建成“城乡一体，集约高效、格局合理、多源互补、丰枯调剂”的供水安全保障体系。用水方式向节约集约根本转变，用水效率和效益显著提高。</w:t>
      </w:r>
    </w:p>
    <w:p w14:paraId="0325E7FC">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default" w:ascii="仿宋_GB2312" w:hAnsi="仿宋_GB2312" w:cs="仿宋_GB2312"/>
          <w:b/>
          <w:bCs/>
          <w:color w:val="auto"/>
          <w:lang w:val="en-US" w:eastAsia="zh-CN"/>
        </w:rPr>
      </w:pPr>
      <w:r>
        <w:rPr>
          <w:rFonts w:hint="eastAsia" w:ascii="仿宋_GB2312" w:hAnsi="仿宋_GB2312" w:cs="仿宋_GB2312"/>
          <w:b/>
          <w:bCs/>
          <w:color w:val="auto"/>
          <w:lang w:val="en-US" w:eastAsia="zh-CN"/>
        </w:rPr>
        <w:t>灌溉排水。</w:t>
      </w:r>
      <w:r>
        <w:rPr>
          <w:rFonts w:hint="eastAsia" w:ascii="仿宋_GB2312" w:hAnsi="仿宋_GB2312" w:eastAsia="仿宋_GB2312" w:cs="仿宋_GB2312"/>
          <w:color w:val="auto"/>
          <w:lang w:val="en-US" w:eastAsia="zh-CN"/>
        </w:rPr>
        <w:t>以发展现代节水灌溉农业为基础，围绕深化农业水价综合改革推进现代化灌区建设总体部署，持续推动灌区建设高质量发展。</w:t>
      </w:r>
    </w:p>
    <w:p w14:paraId="6A57F5A5">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水生态保护。</w:t>
      </w:r>
      <w:r>
        <w:rPr>
          <w:rFonts w:hint="eastAsia" w:ascii="仿宋_GB2312" w:hAnsi="仿宋_GB2312" w:eastAsia="仿宋_GB2312" w:cs="仿宋_GB2312"/>
          <w:color w:val="auto"/>
          <w:lang w:val="en-US" w:eastAsia="zh-CN"/>
        </w:rPr>
        <w:t>按照</w:t>
      </w:r>
      <w:r>
        <w:rPr>
          <w:rFonts w:hint="eastAsia" w:ascii="仿宋_GB2312" w:hAnsi="仿宋_GB2312" w:eastAsia="仿宋_GB2312" w:cs="仿宋_GB2312"/>
          <w:color w:val="auto"/>
          <w:lang w:eastAsia="zh-CN"/>
        </w:rPr>
        <w:t>黄河流域生态保护和高质量发展先行区建设取得重大战略成果，水生态环境根本转变、持续向好，生态系统功能完善、稳定高效。河湖水生态空间得到有效保护和管控，清水河和苦水河等确定了生态流量或水量的达到生态底线要求，水源涵养与保护能力显著提升。</w:t>
      </w:r>
    </w:p>
    <w:p w14:paraId="7F5BB21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ascii="仿宋_GB2312" w:hAnsi="仿宋_GB2312" w:eastAsia="仿宋_GB2312" w:cs="仿宋_GB2312"/>
          <w:b/>
          <w:bCs/>
          <w:color w:val="auto"/>
          <w:lang w:eastAsia="zh-CN"/>
        </w:rPr>
        <w:t>水网智慧化。</w:t>
      </w:r>
      <w:r>
        <w:rPr>
          <w:rFonts w:hint="eastAsia"/>
          <w:lang w:eastAsia="zh-CN"/>
        </w:rPr>
        <w:t>以数字化、网络化、智能化为主线，以数字化场景、智慧化模拟、精准化决策为路径，全面推进算据、算法、算力建设。在重点防洪地区实现“四预”，跨区域重大引调水工程基本实现水资源管理与调配“四预”，N项业务应用水平明显提升，水网模拟仿真与调度等应用取得突破，水网综合调度管理水平明显提升。</w:t>
      </w:r>
    </w:p>
    <w:p w14:paraId="4A8BD3F3">
      <w:pPr>
        <w:keepNext w:val="0"/>
        <w:keepLines w:val="0"/>
        <w:pageBreakBefore w:val="0"/>
        <w:widowControl w:val="0"/>
        <w:kinsoku/>
        <w:wordWrap/>
        <w:overflowPunct w:val="0"/>
        <w:topLinePunct w:val="0"/>
        <w:autoSpaceDE w:val="0"/>
        <w:autoSpaceDN w:val="0"/>
        <w:bidi w:val="0"/>
        <w:adjustRightInd w:val="0"/>
        <w:snapToGrid w:val="0"/>
        <w:jc w:val="center"/>
        <w:rPr>
          <w:rFonts w:hint="eastAsia" w:ascii="黑体" w:hAnsi="黑体" w:eastAsia="黑体" w:cs="黑体"/>
          <w:sz w:val="28"/>
          <w:szCs w:val="28"/>
          <w:lang w:val="en-US" w:eastAsia="zh-CN"/>
        </w:rPr>
      </w:pPr>
      <w:bookmarkStart w:id="75" w:name="_Toc1299"/>
      <w:bookmarkStart w:id="76" w:name="_Toc1795"/>
      <w:bookmarkStart w:id="77" w:name="_Toc5971"/>
      <w:r>
        <w:rPr>
          <w:rFonts w:hint="eastAsia" w:ascii="黑体" w:hAnsi="黑体" w:eastAsia="黑体" w:cs="黑体"/>
          <w:sz w:val="28"/>
          <w:szCs w:val="28"/>
          <w:lang w:val="en-US" w:eastAsia="zh-CN"/>
        </w:rPr>
        <w:t>专栏1 红寺堡区现代水网建设规划主要指标</w:t>
      </w:r>
      <w:bookmarkEnd w:id="75"/>
      <w:bookmarkEnd w:id="76"/>
      <w:bookmarkEnd w:id="77"/>
    </w:p>
    <w:p w14:paraId="05EE7743">
      <w:pPr>
        <w:keepNext w:val="0"/>
        <w:keepLines w:val="0"/>
        <w:pageBreakBefore w:val="0"/>
        <w:widowControl w:val="0"/>
        <w:kinsoku/>
        <w:wordWrap/>
        <w:overflowPunct w:val="0"/>
        <w:topLinePunct w:val="0"/>
        <w:autoSpaceDE w:val="0"/>
        <w:autoSpaceDN w:val="0"/>
        <w:bidi w:val="0"/>
        <w:adjustRightInd w:val="0"/>
        <w:snapToGrid w:val="0"/>
        <w:spacing w:line="30" w:lineRule="exact"/>
        <w:ind w:firstLine="560"/>
        <w:rPr>
          <w:rFonts w:hint="eastAsia" w:ascii="方正仿宋_GB2312" w:hAnsi="方正仿宋_GB2312" w:eastAsia="方正仿宋_GB2312" w:cs="方正仿宋_GB2312"/>
          <w:color w:val="auto"/>
          <w:sz w:val="24"/>
          <w:szCs w:val="24"/>
          <w:lang w:eastAsia="zh-CN"/>
        </w:rPr>
      </w:pPr>
    </w:p>
    <w:tbl>
      <w:tblPr>
        <w:tblStyle w:val="21"/>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499"/>
        <w:gridCol w:w="3270"/>
        <w:gridCol w:w="518"/>
        <w:gridCol w:w="859"/>
        <w:gridCol w:w="791"/>
        <w:gridCol w:w="859"/>
        <w:gridCol w:w="793"/>
      </w:tblGrid>
      <w:tr w14:paraId="19E3D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blHeader/>
          <w:jc w:val="center"/>
        </w:trPr>
        <w:tc>
          <w:tcPr>
            <w:tcW w:w="937" w:type="dxa"/>
            <w:tcBorders>
              <w:top w:val="single" w:color="000000" w:sz="12" w:space="0"/>
              <w:left w:val="single" w:color="000000" w:sz="12" w:space="0"/>
              <w:bottom w:val="single" w:color="000000" w:sz="4" w:space="0"/>
              <w:right w:val="single" w:color="000000" w:sz="4" w:space="0"/>
            </w:tcBorders>
            <w:vAlign w:val="center"/>
          </w:tcPr>
          <w:p w14:paraId="02CE03E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7"/>
                <w:sz w:val="19"/>
                <w:szCs w:val="19"/>
              </w:rPr>
              <w:t>指</w:t>
            </w:r>
            <w:r>
              <w:rPr>
                <w:rFonts w:ascii="仿宋" w:hAnsi="仿宋" w:eastAsia="仿宋" w:cs="仿宋"/>
                <w:color w:val="auto"/>
                <w:spacing w:val="6"/>
                <w:sz w:val="19"/>
                <w:szCs w:val="19"/>
              </w:rPr>
              <w:t>标类型</w:t>
            </w:r>
          </w:p>
        </w:tc>
        <w:tc>
          <w:tcPr>
            <w:tcW w:w="499" w:type="dxa"/>
            <w:tcBorders>
              <w:top w:val="single" w:color="000000" w:sz="12" w:space="0"/>
              <w:left w:val="single" w:color="000000" w:sz="4" w:space="0"/>
              <w:bottom w:val="single" w:color="000000" w:sz="4" w:space="0"/>
              <w:right w:val="single" w:color="000000" w:sz="4" w:space="0"/>
            </w:tcBorders>
            <w:textDirection w:val="tbRlV"/>
            <w:vAlign w:val="center"/>
          </w:tcPr>
          <w:p w14:paraId="04562D7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14"/>
                <w:sz w:val="19"/>
                <w:szCs w:val="19"/>
              </w:rPr>
              <w:t>序</w:t>
            </w:r>
            <w:r>
              <w:rPr>
                <w:rFonts w:ascii="仿宋" w:hAnsi="仿宋" w:eastAsia="仿宋" w:cs="仿宋"/>
                <w:color w:val="auto"/>
                <w:spacing w:val="13"/>
                <w:sz w:val="19"/>
                <w:szCs w:val="19"/>
              </w:rPr>
              <w:t>号</w:t>
            </w:r>
          </w:p>
        </w:tc>
        <w:tc>
          <w:tcPr>
            <w:tcW w:w="3270" w:type="dxa"/>
            <w:tcBorders>
              <w:top w:val="single" w:color="000000" w:sz="12" w:space="0"/>
              <w:left w:val="single" w:color="000000" w:sz="4" w:space="0"/>
              <w:bottom w:val="single" w:color="000000" w:sz="4" w:space="0"/>
              <w:right w:val="single" w:color="000000" w:sz="4" w:space="0"/>
            </w:tcBorders>
            <w:vAlign w:val="center"/>
          </w:tcPr>
          <w:p w14:paraId="5DB9C88E">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7"/>
                <w:sz w:val="19"/>
                <w:szCs w:val="19"/>
              </w:rPr>
              <w:t>指</w:t>
            </w:r>
            <w:r>
              <w:rPr>
                <w:rFonts w:ascii="仿宋" w:hAnsi="仿宋" w:eastAsia="仿宋" w:cs="仿宋"/>
                <w:color w:val="auto"/>
                <w:spacing w:val="6"/>
                <w:sz w:val="19"/>
                <w:szCs w:val="19"/>
              </w:rPr>
              <w:t>标名称</w:t>
            </w:r>
          </w:p>
        </w:tc>
        <w:tc>
          <w:tcPr>
            <w:tcW w:w="518" w:type="dxa"/>
            <w:tcBorders>
              <w:top w:val="single" w:color="000000" w:sz="12" w:space="0"/>
              <w:left w:val="single" w:color="000000" w:sz="4" w:space="0"/>
              <w:bottom w:val="single" w:color="000000" w:sz="4" w:space="0"/>
              <w:right w:val="single" w:color="000000" w:sz="4" w:space="0"/>
            </w:tcBorders>
            <w:textDirection w:val="tbRlV"/>
            <w:vAlign w:val="center"/>
          </w:tcPr>
          <w:p w14:paraId="10AFC15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14"/>
                <w:sz w:val="19"/>
                <w:szCs w:val="19"/>
              </w:rPr>
              <w:t>单</w:t>
            </w:r>
            <w:r>
              <w:rPr>
                <w:rFonts w:ascii="仿宋" w:hAnsi="仿宋" w:eastAsia="仿宋" w:cs="仿宋"/>
                <w:color w:val="auto"/>
                <w:spacing w:val="13"/>
                <w:sz w:val="19"/>
                <w:szCs w:val="19"/>
              </w:rPr>
              <w:t>位</w:t>
            </w:r>
          </w:p>
        </w:tc>
        <w:tc>
          <w:tcPr>
            <w:tcW w:w="859" w:type="dxa"/>
            <w:tcBorders>
              <w:top w:val="single" w:color="000000" w:sz="12" w:space="0"/>
              <w:left w:val="single" w:color="000000" w:sz="4" w:space="0"/>
              <w:bottom w:val="single" w:color="000000" w:sz="4" w:space="0"/>
              <w:right w:val="single" w:color="000000" w:sz="4" w:space="0"/>
            </w:tcBorders>
            <w:vAlign w:val="center"/>
          </w:tcPr>
          <w:p w14:paraId="58A0AAC4">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4"/>
                <w:sz w:val="19"/>
                <w:szCs w:val="19"/>
              </w:rPr>
              <w:t>20</w:t>
            </w:r>
            <w:r>
              <w:rPr>
                <w:rFonts w:ascii="仿宋" w:hAnsi="仿宋" w:eastAsia="仿宋" w:cs="仿宋"/>
                <w:color w:val="auto"/>
                <w:spacing w:val="-3"/>
                <w:sz w:val="19"/>
                <w:szCs w:val="19"/>
              </w:rPr>
              <w:t>2</w:t>
            </w:r>
            <w:r>
              <w:rPr>
                <w:rFonts w:ascii="仿宋" w:hAnsi="仿宋" w:eastAsia="仿宋" w:cs="仿宋"/>
                <w:color w:val="auto"/>
                <w:spacing w:val="-2"/>
                <w:sz w:val="19"/>
                <w:szCs w:val="19"/>
              </w:rPr>
              <w:t>3年</w:t>
            </w:r>
          </w:p>
        </w:tc>
        <w:tc>
          <w:tcPr>
            <w:tcW w:w="791" w:type="dxa"/>
            <w:tcBorders>
              <w:top w:val="single" w:color="000000" w:sz="12" w:space="0"/>
              <w:left w:val="single" w:color="000000" w:sz="4" w:space="0"/>
              <w:bottom w:val="single" w:color="000000" w:sz="4" w:space="0"/>
              <w:right w:val="single" w:color="000000" w:sz="4" w:space="0"/>
            </w:tcBorders>
            <w:vAlign w:val="center"/>
          </w:tcPr>
          <w:p w14:paraId="60D06425">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4"/>
                <w:sz w:val="19"/>
                <w:szCs w:val="19"/>
              </w:rPr>
              <w:t>2</w:t>
            </w:r>
            <w:r>
              <w:rPr>
                <w:rFonts w:ascii="仿宋" w:hAnsi="仿宋" w:eastAsia="仿宋" w:cs="仿宋"/>
                <w:color w:val="auto"/>
                <w:spacing w:val="-3"/>
                <w:sz w:val="19"/>
                <w:szCs w:val="19"/>
              </w:rPr>
              <w:t>030年</w:t>
            </w:r>
          </w:p>
        </w:tc>
        <w:tc>
          <w:tcPr>
            <w:tcW w:w="859" w:type="dxa"/>
            <w:tcBorders>
              <w:top w:val="single" w:color="000000" w:sz="12" w:space="0"/>
              <w:left w:val="single" w:color="000000" w:sz="4" w:space="0"/>
              <w:bottom w:val="single" w:color="000000" w:sz="4" w:space="0"/>
              <w:right w:val="single" w:color="000000" w:sz="4" w:space="0"/>
            </w:tcBorders>
            <w:vAlign w:val="center"/>
          </w:tcPr>
          <w:p w14:paraId="171C53EF">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4"/>
                <w:sz w:val="19"/>
                <w:szCs w:val="19"/>
              </w:rPr>
              <w:t>2</w:t>
            </w:r>
            <w:r>
              <w:rPr>
                <w:rFonts w:ascii="仿宋" w:hAnsi="仿宋" w:eastAsia="仿宋" w:cs="仿宋"/>
                <w:color w:val="auto"/>
                <w:spacing w:val="-3"/>
                <w:sz w:val="19"/>
                <w:szCs w:val="19"/>
              </w:rPr>
              <w:t>035年</w:t>
            </w:r>
          </w:p>
        </w:tc>
        <w:tc>
          <w:tcPr>
            <w:tcW w:w="793" w:type="dxa"/>
            <w:tcBorders>
              <w:top w:val="single" w:color="000000" w:sz="12" w:space="0"/>
              <w:left w:val="single" w:color="000000" w:sz="4" w:space="0"/>
              <w:bottom w:val="single" w:color="000000" w:sz="4" w:space="0"/>
              <w:right w:val="single" w:color="000000" w:sz="12" w:space="0"/>
            </w:tcBorders>
            <w:vAlign w:val="center"/>
          </w:tcPr>
          <w:p w14:paraId="1F8A2BD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3"/>
                <w:sz w:val="19"/>
                <w:szCs w:val="19"/>
              </w:rPr>
              <w:t>属</w:t>
            </w:r>
            <w:r>
              <w:rPr>
                <w:rFonts w:ascii="仿宋" w:hAnsi="仿宋" w:eastAsia="仿宋" w:cs="仿宋"/>
                <w:color w:val="auto"/>
                <w:spacing w:val="2"/>
                <w:sz w:val="19"/>
                <w:szCs w:val="19"/>
              </w:rPr>
              <w:t>性</w:t>
            </w:r>
          </w:p>
        </w:tc>
      </w:tr>
      <w:tr w14:paraId="34DF1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tcBorders>
              <w:top w:val="single" w:color="000000" w:sz="4" w:space="0"/>
              <w:left w:val="single" w:color="000000" w:sz="12" w:space="0"/>
              <w:right w:val="single" w:color="000000" w:sz="4" w:space="0"/>
            </w:tcBorders>
            <w:vAlign w:val="center"/>
          </w:tcPr>
          <w:p w14:paraId="72DFEABA">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仿宋" w:hAnsi="仿宋" w:eastAsia="仿宋" w:cs="仿宋"/>
                <w:color w:val="auto"/>
                <w:spacing w:val="8"/>
                <w:sz w:val="19"/>
                <w:szCs w:val="19"/>
                <w:lang w:val="en-US" w:eastAsia="zh-CN"/>
              </w:rPr>
            </w:pPr>
            <w:r>
              <w:rPr>
                <w:rFonts w:hint="eastAsia" w:ascii="仿宋" w:hAnsi="仿宋" w:eastAsia="仿宋" w:cs="仿宋"/>
                <w:color w:val="auto"/>
                <w:spacing w:val="8"/>
                <w:sz w:val="19"/>
                <w:szCs w:val="19"/>
                <w:lang w:val="en-US" w:eastAsia="zh-CN"/>
              </w:rPr>
              <w:t>防洪减灾</w:t>
            </w:r>
          </w:p>
        </w:tc>
        <w:tc>
          <w:tcPr>
            <w:tcW w:w="499" w:type="dxa"/>
            <w:tcBorders>
              <w:top w:val="single" w:color="000000" w:sz="4" w:space="0"/>
              <w:left w:val="single" w:color="000000" w:sz="4" w:space="0"/>
              <w:bottom w:val="single" w:color="000000" w:sz="4" w:space="0"/>
              <w:right w:val="single" w:color="000000" w:sz="4" w:space="0"/>
            </w:tcBorders>
            <w:vAlign w:val="center"/>
          </w:tcPr>
          <w:p w14:paraId="6B9B6973">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eastAsia" w:ascii="仿宋" w:hAnsi="仿宋" w:eastAsia="仿宋" w:cs="仿宋"/>
                <w:color w:val="auto"/>
                <w:sz w:val="19"/>
                <w:szCs w:val="19"/>
                <w:lang w:val="en-US" w:eastAsia="zh-CN"/>
              </w:rPr>
            </w:pPr>
            <w:r>
              <w:rPr>
                <w:rFonts w:hint="eastAsia" w:ascii="仿宋" w:hAnsi="仿宋" w:eastAsia="仿宋" w:cs="仿宋"/>
                <w:color w:val="auto"/>
                <w:sz w:val="19"/>
                <w:szCs w:val="19"/>
                <w:lang w:val="en-US" w:eastAsia="zh-CN"/>
              </w:rPr>
              <w:t>1</w:t>
            </w:r>
          </w:p>
        </w:tc>
        <w:tc>
          <w:tcPr>
            <w:tcW w:w="3270" w:type="dxa"/>
            <w:tcBorders>
              <w:top w:val="single" w:color="000000" w:sz="4" w:space="0"/>
              <w:left w:val="single" w:color="000000" w:sz="4" w:space="0"/>
              <w:bottom w:val="single" w:color="000000" w:sz="4" w:space="0"/>
              <w:right w:val="single" w:color="000000" w:sz="4" w:space="0"/>
            </w:tcBorders>
            <w:vAlign w:val="center"/>
          </w:tcPr>
          <w:p w14:paraId="28819AAB">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仿宋" w:hAnsi="仿宋" w:eastAsia="仿宋" w:cs="仿宋"/>
                <w:color w:val="auto"/>
                <w:spacing w:val="7"/>
                <w:sz w:val="19"/>
                <w:szCs w:val="19"/>
              </w:rPr>
            </w:pPr>
            <w:r>
              <w:rPr>
                <w:rFonts w:ascii="仿宋" w:hAnsi="仿宋" w:eastAsia="仿宋" w:cs="仿宋"/>
                <w:color w:val="auto"/>
                <w:spacing w:val="4"/>
                <w:sz w:val="19"/>
                <w:szCs w:val="19"/>
              </w:rPr>
              <w:t>5</w:t>
            </w:r>
            <w:r>
              <w:rPr>
                <w:rFonts w:ascii="仿宋" w:hAnsi="仿宋" w:eastAsia="仿宋" w:cs="仿宋"/>
                <w:color w:val="auto"/>
                <w:spacing w:val="3"/>
                <w:sz w:val="19"/>
                <w:szCs w:val="19"/>
              </w:rPr>
              <w:t>级</w:t>
            </w:r>
            <w:r>
              <w:rPr>
                <w:rFonts w:ascii="仿宋" w:hAnsi="仿宋" w:eastAsia="仿宋" w:cs="仿宋"/>
                <w:color w:val="auto"/>
                <w:spacing w:val="2"/>
                <w:sz w:val="19"/>
                <w:szCs w:val="19"/>
              </w:rPr>
              <w:t>以上堤防达标率</w:t>
            </w:r>
          </w:p>
        </w:tc>
        <w:tc>
          <w:tcPr>
            <w:tcW w:w="518" w:type="dxa"/>
            <w:tcBorders>
              <w:top w:val="single" w:color="000000" w:sz="4" w:space="0"/>
              <w:left w:val="single" w:color="000000" w:sz="4" w:space="0"/>
              <w:bottom w:val="single" w:color="000000" w:sz="4" w:space="0"/>
              <w:right w:val="single" w:color="000000" w:sz="4" w:space="0"/>
            </w:tcBorders>
            <w:vAlign w:val="center"/>
          </w:tcPr>
          <w:p w14:paraId="2139DA6D">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仿宋" w:hAnsi="仿宋" w:eastAsia="仿宋" w:cs="仿宋"/>
                <w:color w:val="auto"/>
                <w:position w:val="-1"/>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4" w:space="0"/>
              <w:right w:val="single" w:color="000000" w:sz="4" w:space="0"/>
            </w:tcBorders>
            <w:vAlign w:val="center"/>
          </w:tcPr>
          <w:p w14:paraId="0A7BBCE2">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3"/>
                <w:sz w:val="19"/>
                <w:szCs w:val="19"/>
                <w:lang w:val="en-US" w:eastAsia="zh-CN"/>
              </w:rPr>
            </w:pPr>
            <w:r>
              <w:rPr>
                <w:rFonts w:ascii="Times New Roman" w:hAnsi="Times New Roman" w:eastAsia="Times New Roman" w:cs="Times New Roman"/>
                <w:color w:val="auto"/>
                <w:spacing w:val="1"/>
                <w:sz w:val="19"/>
                <w:szCs w:val="19"/>
              </w:rPr>
              <w:t>75</w:t>
            </w:r>
          </w:p>
        </w:tc>
        <w:tc>
          <w:tcPr>
            <w:tcW w:w="791" w:type="dxa"/>
            <w:tcBorders>
              <w:top w:val="single" w:color="000000" w:sz="4" w:space="0"/>
              <w:left w:val="single" w:color="000000" w:sz="4" w:space="0"/>
              <w:bottom w:val="single" w:color="000000" w:sz="4" w:space="0"/>
              <w:right w:val="single" w:color="000000" w:sz="4" w:space="0"/>
            </w:tcBorders>
            <w:vAlign w:val="center"/>
          </w:tcPr>
          <w:p w14:paraId="1F06B104">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eastAsia="宋体" w:cs="Times New Roman"/>
                <w:color w:val="auto"/>
                <w:sz w:val="19"/>
                <w:szCs w:val="19"/>
                <w:lang w:val="en-US" w:eastAsia="zh-C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F151C21">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eastAsia="宋体" w:cs="Times New Roman"/>
                <w:color w:val="auto"/>
                <w:sz w:val="19"/>
                <w:szCs w:val="19"/>
                <w:lang w:val="en-US" w:eastAsia="zh-CN"/>
              </w:rPr>
            </w:pPr>
            <w:r>
              <w:rPr>
                <w:rFonts w:ascii="Times New Roman" w:hAnsi="Times New Roman" w:eastAsia="Times New Roman" w:cs="Times New Roman"/>
                <w:color w:val="auto"/>
                <w:spacing w:val="-4"/>
                <w:sz w:val="19"/>
                <w:szCs w:val="19"/>
              </w:rPr>
              <w:t>1</w:t>
            </w:r>
            <w:r>
              <w:rPr>
                <w:rFonts w:ascii="Times New Roman" w:hAnsi="Times New Roman" w:eastAsia="Times New Roman" w:cs="Times New Roman"/>
                <w:color w:val="auto"/>
                <w:spacing w:val="-2"/>
                <w:sz w:val="19"/>
                <w:szCs w:val="19"/>
              </w:rPr>
              <w:t>00</w:t>
            </w:r>
          </w:p>
        </w:tc>
        <w:tc>
          <w:tcPr>
            <w:tcW w:w="793" w:type="dxa"/>
            <w:tcBorders>
              <w:top w:val="single" w:color="000000" w:sz="4" w:space="0"/>
              <w:left w:val="single" w:color="000000" w:sz="4" w:space="0"/>
              <w:bottom w:val="single" w:color="000000" w:sz="4" w:space="0"/>
              <w:right w:val="single" w:color="000000" w:sz="12" w:space="0"/>
            </w:tcBorders>
            <w:vAlign w:val="center"/>
          </w:tcPr>
          <w:p w14:paraId="644FCCA1">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仿宋" w:hAnsi="仿宋" w:eastAsia="仿宋" w:cs="仿宋"/>
                <w:color w:val="auto"/>
                <w:spacing w:val="5"/>
                <w:sz w:val="19"/>
                <w:szCs w:val="19"/>
              </w:rPr>
            </w:pPr>
            <w:r>
              <w:rPr>
                <w:rFonts w:ascii="仿宋" w:hAnsi="仿宋" w:eastAsia="仿宋" w:cs="仿宋"/>
                <w:color w:val="auto"/>
                <w:spacing w:val="5"/>
                <w:sz w:val="19"/>
                <w:szCs w:val="19"/>
              </w:rPr>
              <w:t>预期性</w:t>
            </w:r>
          </w:p>
        </w:tc>
      </w:tr>
      <w:tr w14:paraId="321F4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exact"/>
          <w:jc w:val="center"/>
        </w:trPr>
        <w:tc>
          <w:tcPr>
            <w:tcW w:w="937" w:type="dxa"/>
            <w:vMerge w:val="restart"/>
            <w:tcBorders>
              <w:top w:val="single" w:color="000000" w:sz="4" w:space="0"/>
              <w:left w:val="single" w:color="000000" w:sz="12" w:space="0"/>
              <w:right w:val="single" w:color="000000" w:sz="4" w:space="0"/>
            </w:tcBorders>
            <w:vAlign w:val="center"/>
          </w:tcPr>
          <w:p w14:paraId="239EBDD4">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hint="eastAsia" w:ascii="Arial"/>
                <w:color w:val="auto"/>
                <w:sz w:val="21"/>
                <w:lang w:val="en-US" w:eastAsia="zh-CN"/>
              </w:rPr>
              <w:t>城乡供水</w:t>
            </w:r>
          </w:p>
        </w:tc>
        <w:tc>
          <w:tcPr>
            <w:tcW w:w="499" w:type="dxa"/>
            <w:tcBorders>
              <w:top w:val="single" w:color="000000" w:sz="4" w:space="0"/>
              <w:left w:val="single" w:color="000000" w:sz="4" w:space="0"/>
              <w:bottom w:val="single" w:color="000000" w:sz="4" w:space="0"/>
              <w:right w:val="single" w:color="000000" w:sz="4" w:space="0"/>
            </w:tcBorders>
            <w:vAlign w:val="center"/>
          </w:tcPr>
          <w:p w14:paraId="2BF62445">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eastAsia" w:ascii="仿宋" w:hAnsi="仿宋" w:eastAsia="仿宋" w:cs="仿宋"/>
                <w:color w:val="auto"/>
                <w:sz w:val="19"/>
                <w:szCs w:val="19"/>
                <w:lang w:eastAsia="zh-CN"/>
              </w:rPr>
            </w:pPr>
            <w:r>
              <w:rPr>
                <w:rFonts w:hint="eastAsia" w:ascii="仿宋" w:hAnsi="仿宋" w:eastAsia="仿宋" w:cs="仿宋"/>
                <w:color w:val="auto"/>
                <w:sz w:val="19"/>
                <w:szCs w:val="19"/>
                <w:lang w:val="en-US" w:eastAsia="zh-CN"/>
              </w:rPr>
              <w:t>2</w:t>
            </w:r>
          </w:p>
        </w:tc>
        <w:tc>
          <w:tcPr>
            <w:tcW w:w="3270" w:type="dxa"/>
            <w:tcBorders>
              <w:top w:val="single" w:color="000000" w:sz="4" w:space="0"/>
              <w:left w:val="single" w:color="000000" w:sz="4" w:space="0"/>
              <w:bottom w:val="single" w:color="000000" w:sz="4" w:space="0"/>
              <w:right w:val="single" w:color="000000" w:sz="4" w:space="0"/>
            </w:tcBorders>
            <w:vAlign w:val="center"/>
          </w:tcPr>
          <w:p w14:paraId="6378C61A">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7"/>
                <w:sz w:val="19"/>
                <w:szCs w:val="19"/>
              </w:rPr>
              <w:t>用</w:t>
            </w:r>
            <w:r>
              <w:rPr>
                <w:rFonts w:ascii="仿宋" w:hAnsi="仿宋" w:eastAsia="仿宋" w:cs="仿宋"/>
                <w:color w:val="auto"/>
                <w:spacing w:val="6"/>
                <w:sz w:val="19"/>
                <w:szCs w:val="19"/>
              </w:rPr>
              <w:t>水总量</w:t>
            </w:r>
          </w:p>
        </w:tc>
        <w:tc>
          <w:tcPr>
            <w:tcW w:w="518" w:type="dxa"/>
            <w:tcBorders>
              <w:top w:val="single" w:color="000000" w:sz="4" w:space="0"/>
              <w:left w:val="single" w:color="000000" w:sz="4" w:space="0"/>
              <w:bottom w:val="single" w:color="000000" w:sz="4" w:space="0"/>
              <w:right w:val="single" w:color="000000" w:sz="4" w:space="0"/>
            </w:tcBorders>
            <w:vAlign w:val="center"/>
          </w:tcPr>
          <w:p w14:paraId="0D67286A">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position w:val="8"/>
                <w:sz w:val="19"/>
                <w:szCs w:val="19"/>
              </w:rPr>
              <w:t>亿</w:t>
            </w:r>
          </w:p>
          <w:p w14:paraId="12CBC429">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0"/>
                <w:szCs w:val="10"/>
              </w:rPr>
            </w:pPr>
            <w:r>
              <w:rPr>
                <w:rFonts w:ascii="仿宋" w:hAnsi="仿宋" w:eastAsia="仿宋" w:cs="仿宋"/>
                <w:color w:val="auto"/>
                <w:position w:val="-1"/>
                <w:sz w:val="19"/>
                <w:szCs w:val="19"/>
              </w:rPr>
              <w:t>m</w:t>
            </w:r>
            <w:r>
              <w:rPr>
                <w:rFonts w:ascii="仿宋" w:hAnsi="仿宋" w:eastAsia="仿宋" w:cs="仿宋"/>
                <w:color w:val="auto"/>
                <w:spacing w:val="4"/>
                <w:position w:val="9"/>
                <w:sz w:val="10"/>
                <w:szCs w:val="10"/>
              </w:rPr>
              <w:t>3</w:t>
            </w:r>
          </w:p>
        </w:tc>
        <w:tc>
          <w:tcPr>
            <w:tcW w:w="859" w:type="dxa"/>
            <w:tcBorders>
              <w:top w:val="single" w:color="000000" w:sz="4" w:space="0"/>
              <w:left w:val="single" w:color="000000" w:sz="4" w:space="0"/>
              <w:bottom w:val="single" w:color="000000" w:sz="4" w:space="0"/>
              <w:right w:val="single" w:color="000000" w:sz="4" w:space="0"/>
            </w:tcBorders>
            <w:vAlign w:val="center"/>
          </w:tcPr>
          <w:p w14:paraId="0C51A925">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9"/>
                <w:szCs w:val="19"/>
                <w:lang w:val="en-US" w:eastAsia="zh-CN"/>
              </w:rPr>
            </w:pPr>
            <w:r>
              <w:rPr>
                <w:rFonts w:hint="eastAsia" w:ascii="Times New Roman" w:hAnsi="Times New Roman" w:eastAsia="宋体" w:cs="Times New Roman"/>
                <w:color w:val="auto"/>
                <w:spacing w:val="3"/>
                <w:sz w:val="19"/>
                <w:szCs w:val="19"/>
                <w:lang w:val="en-US" w:eastAsia="zh-CN"/>
              </w:rPr>
              <w:t>2.484</w:t>
            </w:r>
          </w:p>
        </w:tc>
        <w:tc>
          <w:tcPr>
            <w:tcW w:w="791" w:type="dxa"/>
            <w:tcBorders>
              <w:top w:val="single" w:color="000000" w:sz="4" w:space="0"/>
              <w:left w:val="single" w:color="000000" w:sz="4" w:space="0"/>
              <w:bottom w:val="single" w:color="000000" w:sz="4" w:space="0"/>
              <w:right w:val="single" w:color="000000" w:sz="4" w:space="0"/>
            </w:tcBorders>
            <w:vAlign w:val="center"/>
          </w:tcPr>
          <w:p w14:paraId="7811945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9"/>
                <w:szCs w:val="19"/>
                <w:lang w:val="en-US" w:eastAsia="zh-CN"/>
              </w:rPr>
            </w:pPr>
            <w:r>
              <w:rPr>
                <w:rFonts w:hint="eastAsia" w:eastAsia="宋体" w:cs="Times New Roman"/>
                <w:color w:val="auto"/>
                <w:sz w:val="19"/>
                <w:szCs w:val="19"/>
                <w:lang w:val="en-US" w:eastAsia="zh-CN"/>
              </w:rPr>
              <w:t>不大于分配指标</w:t>
            </w:r>
          </w:p>
        </w:tc>
        <w:tc>
          <w:tcPr>
            <w:tcW w:w="859" w:type="dxa"/>
            <w:tcBorders>
              <w:top w:val="single" w:color="000000" w:sz="4" w:space="0"/>
              <w:left w:val="single" w:color="000000" w:sz="4" w:space="0"/>
              <w:bottom w:val="single" w:color="000000" w:sz="4" w:space="0"/>
              <w:right w:val="single" w:color="000000" w:sz="4" w:space="0"/>
            </w:tcBorders>
            <w:vAlign w:val="center"/>
          </w:tcPr>
          <w:p w14:paraId="4D8D9D0F">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hint="eastAsia" w:eastAsia="宋体" w:cs="Times New Roman"/>
                <w:color w:val="auto"/>
                <w:sz w:val="19"/>
                <w:szCs w:val="19"/>
                <w:lang w:val="en-US" w:eastAsia="zh-CN"/>
              </w:rPr>
              <w:t>不大于分配指标</w:t>
            </w:r>
          </w:p>
        </w:tc>
        <w:tc>
          <w:tcPr>
            <w:tcW w:w="793" w:type="dxa"/>
            <w:tcBorders>
              <w:top w:val="single" w:color="000000" w:sz="4" w:space="0"/>
              <w:left w:val="single" w:color="000000" w:sz="4" w:space="0"/>
              <w:bottom w:val="single" w:color="000000" w:sz="4" w:space="0"/>
              <w:right w:val="single" w:color="000000" w:sz="12" w:space="0"/>
            </w:tcBorders>
            <w:vAlign w:val="center"/>
          </w:tcPr>
          <w:p w14:paraId="4B866935">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约束性</w:t>
            </w:r>
          </w:p>
        </w:tc>
      </w:tr>
      <w:tr w14:paraId="273FD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vMerge w:val="continue"/>
            <w:tcBorders>
              <w:left w:val="single" w:color="000000" w:sz="12" w:space="0"/>
              <w:right w:val="single" w:color="000000" w:sz="4" w:space="0"/>
            </w:tcBorders>
            <w:vAlign w:val="center"/>
          </w:tcPr>
          <w:p w14:paraId="3C053A0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499" w:type="dxa"/>
            <w:tcBorders>
              <w:top w:val="single" w:color="000000" w:sz="4" w:space="0"/>
              <w:left w:val="single" w:color="000000" w:sz="4" w:space="0"/>
              <w:bottom w:val="single" w:color="000000" w:sz="4" w:space="0"/>
              <w:right w:val="single" w:color="000000" w:sz="4" w:space="0"/>
            </w:tcBorders>
            <w:vAlign w:val="center"/>
          </w:tcPr>
          <w:p w14:paraId="2906978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eastAsia" w:ascii="仿宋" w:hAnsi="仿宋" w:eastAsia="仿宋" w:cs="仿宋"/>
                <w:color w:val="auto"/>
                <w:sz w:val="19"/>
                <w:szCs w:val="19"/>
                <w:lang w:eastAsia="zh-CN"/>
              </w:rPr>
            </w:pPr>
            <w:r>
              <w:rPr>
                <w:rFonts w:hint="eastAsia" w:ascii="仿宋" w:hAnsi="仿宋" w:eastAsia="仿宋" w:cs="仿宋"/>
                <w:color w:val="auto"/>
                <w:sz w:val="19"/>
                <w:szCs w:val="19"/>
                <w:lang w:val="en-US" w:eastAsia="zh-CN"/>
              </w:rPr>
              <w:t>3</w:t>
            </w:r>
          </w:p>
        </w:tc>
        <w:tc>
          <w:tcPr>
            <w:tcW w:w="3270" w:type="dxa"/>
            <w:tcBorders>
              <w:top w:val="single" w:color="000000" w:sz="4" w:space="0"/>
              <w:left w:val="single" w:color="000000" w:sz="4" w:space="0"/>
              <w:bottom w:val="single" w:color="000000" w:sz="4" w:space="0"/>
              <w:right w:val="single" w:color="000000" w:sz="4" w:space="0"/>
            </w:tcBorders>
            <w:vAlign w:val="center"/>
          </w:tcPr>
          <w:p w14:paraId="047E0E5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1"/>
                <w:sz w:val="19"/>
                <w:szCs w:val="19"/>
              </w:rPr>
              <w:t>万元G</w:t>
            </w:r>
            <w:r>
              <w:rPr>
                <w:rFonts w:ascii="仿宋" w:hAnsi="仿宋" w:eastAsia="仿宋" w:cs="仿宋"/>
                <w:color w:val="auto"/>
                <w:sz w:val="19"/>
                <w:szCs w:val="19"/>
              </w:rPr>
              <w:t>DP</w:t>
            </w:r>
            <w:r>
              <w:rPr>
                <w:rFonts w:ascii="仿宋" w:hAnsi="仿宋" w:eastAsia="仿宋" w:cs="仿宋"/>
                <w:color w:val="auto"/>
                <w:spacing w:val="-1"/>
                <w:sz w:val="19"/>
                <w:szCs w:val="19"/>
              </w:rPr>
              <w:t>用水量下降率</w:t>
            </w:r>
          </w:p>
        </w:tc>
        <w:tc>
          <w:tcPr>
            <w:tcW w:w="518" w:type="dxa"/>
            <w:tcBorders>
              <w:top w:val="single" w:color="000000" w:sz="4" w:space="0"/>
              <w:left w:val="single" w:color="000000" w:sz="4" w:space="0"/>
              <w:bottom w:val="single" w:color="000000" w:sz="4" w:space="0"/>
              <w:right w:val="single" w:color="000000" w:sz="4" w:space="0"/>
            </w:tcBorders>
            <w:vAlign w:val="center"/>
          </w:tcPr>
          <w:p w14:paraId="37582D75">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4" w:space="0"/>
              <w:right w:val="single" w:color="000000" w:sz="4" w:space="0"/>
            </w:tcBorders>
            <w:vAlign w:val="center"/>
          </w:tcPr>
          <w:p w14:paraId="6945FAF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2"/>
                <w:position w:val="2"/>
                <w:sz w:val="19"/>
                <w:szCs w:val="19"/>
              </w:rPr>
              <w:t>/</w:t>
            </w:r>
          </w:p>
        </w:tc>
        <w:tc>
          <w:tcPr>
            <w:tcW w:w="791" w:type="dxa"/>
            <w:tcBorders>
              <w:top w:val="single" w:color="000000" w:sz="4" w:space="0"/>
              <w:left w:val="single" w:color="000000" w:sz="4" w:space="0"/>
              <w:bottom w:val="single" w:color="000000" w:sz="4" w:space="0"/>
              <w:right w:val="single" w:color="000000" w:sz="4" w:space="0"/>
            </w:tcBorders>
            <w:vAlign w:val="center"/>
          </w:tcPr>
          <w:p w14:paraId="169D228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2F5DA7C3">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2"/>
                <w:szCs w:val="12"/>
              </w:rPr>
            </w:pPr>
            <w:r>
              <w:rPr>
                <w:rFonts w:ascii="Times New Roman" w:hAnsi="Times New Roman" w:eastAsia="Times New Roman" w:cs="Times New Roman"/>
                <w:color w:val="auto"/>
                <w:spacing w:val="-4"/>
                <w:position w:val="-1"/>
                <w:sz w:val="19"/>
                <w:szCs w:val="19"/>
              </w:rPr>
              <w:t>1</w:t>
            </w:r>
            <w:r>
              <w:rPr>
                <w:rFonts w:ascii="Times New Roman" w:hAnsi="Times New Roman" w:eastAsia="Times New Roman" w:cs="Times New Roman"/>
                <w:color w:val="auto"/>
                <w:spacing w:val="-3"/>
                <w:position w:val="-1"/>
                <w:sz w:val="19"/>
                <w:szCs w:val="19"/>
              </w:rPr>
              <w:t>6</w:t>
            </w:r>
            <w:r>
              <w:rPr>
                <w:rFonts w:ascii="Times New Roman" w:hAnsi="Times New Roman" w:eastAsia="Times New Roman" w:cs="Times New Roman"/>
                <w:color w:val="auto"/>
                <w:spacing w:val="-3"/>
                <w:position w:val="5"/>
                <w:sz w:val="12"/>
                <w:szCs w:val="12"/>
              </w:rPr>
              <w:t>1</w:t>
            </w:r>
          </w:p>
        </w:tc>
        <w:tc>
          <w:tcPr>
            <w:tcW w:w="793" w:type="dxa"/>
            <w:tcBorders>
              <w:top w:val="single" w:color="000000" w:sz="4" w:space="0"/>
              <w:left w:val="single" w:color="000000" w:sz="4" w:space="0"/>
              <w:bottom w:val="single" w:color="000000" w:sz="4" w:space="0"/>
              <w:right w:val="single" w:color="000000" w:sz="12" w:space="0"/>
            </w:tcBorders>
            <w:vAlign w:val="center"/>
          </w:tcPr>
          <w:p w14:paraId="77D9A0F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r w14:paraId="07AB8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vMerge w:val="continue"/>
            <w:tcBorders>
              <w:left w:val="single" w:color="000000" w:sz="12" w:space="0"/>
              <w:right w:val="single" w:color="000000" w:sz="4" w:space="0"/>
            </w:tcBorders>
            <w:vAlign w:val="center"/>
          </w:tcPr>
          <w:p w14:paraId="38F03580">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499" w:type="dxa"/>
            <w:tcBorders>
              <w:top w:val="single" w:color="000000" w:sz="4" w:space="0"/>
              <w:left w:val="single" w:color="000000" w:sz="4" w:space="0"/>
              <w:bottom w:val="single" w:color="000000" w:sz="4" w:space="0"/>
              <w:right w:val="single" w:color="000000" w:sz="4" w:space="0"/>
            </w:tcBorders>
            <w:vAlign w:val="center"/>
          </w:tcPr>
          <w:p w14:paraId="3EDB9DF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eastAsia" w:ascii="仿宋" w:hAnsi="仿宋" w:eastAsia="仿宋" w:cs="仿宋"/>
                <w:color w:val="auto"/>
                <w:sz w:val="19"/>
                <w:szCs w:val="19"/>
                <w:lang w:eastAsia="zh-CN"/>
              </w:rPr>
            </w:pPr>
            <w:r>
              <w:rPr>
                <w:rFonts w:hint="eastAsia" w:ascii="仿宋" w:hAnsi="仿宋" w:eastAsia="仿宋" w:cs="仿宋"/>
                <w:color w:val="auto"/>
                <w:sz w:val="19"/>
                <w:szCs w:val="19"/>
                <w:lang w:val="en-US" w:eastAsia="zh-CN"/>
              </w:rPr>
              <w:t>4</w:t>
            </w:r>
          </w:p>
        </w:tc>
        <w:tc>
          <w:tcPr>
            <w:tcW w:w="3270" w:type="dxa"/>
            <w:tcBorders>
              <w:top w:val="single" w:color="000000" w:sz="4" w:space="0"/>
              <w:left w:val="single" w:color="000000" w:sz="4" w:space="0"/>
              <w:bottom w:val="single" w:color="000000" w:sz="4" w:space="0"/>
              <w:right w:val="single" w:color="000000" w:sz="4" w:space="0"/>
            </w:tcBorders>
            <w:vAlign w:val="center"/>
          </w:tcPr>
          <w:p w14:paraId="2B91C7B8">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13"/>
                <w:sz w:val="19"/>
                <w:szCs w:val="19"/>
              </w:rPr>
              <w:t>万</w:t>
            </w:r>
            <w:r>
              <w:rPr>
                <w:rFonts w:ascii="仿宋" w:hAnsi="仿宋" w:eastAsia="仿宋" w:cs="仿宋"/>
                <w:color w:val="auto"/>
                <w:spacing w:val="8"/>
                <w:sz w:val="19"/>
                <w:szCs w:val="19"/>
              </w:rPr>
              <w:t>元工业增加值用水量下</w:t>
            </w:r>
            <w:r>
              <w:rPr>
                <w:rFonts w:ascii="仿宋" w:hAnsi="仿宋" w:eastAsia="仿宋" w:cs="仿宋"/>
                <w:color w:val="auto"/>
                <w:spacing w:val="-4"/>
                <w:sz w:val="19"/>
                <w:szCs w:val="19"/>
              </w:rPr>
              <w:t>降</w:t>
            </w:r>
            <w:r>
              <w:rPr>
                <w:rFonts w:ascii="仿宋" w:hAnsi="仿宋" w:eastAsia="仿宋" w:cs="仿宋"/>
                <w:color w:val="auto"/>
                <w:spacing w:val="-2"/>
                <w:sz w:val="19"/>
                <w:szCs w:val="19"/>
              </w:rPr>
              <w:t>率</w:t>
            </w:r>
          </w:p>
        </w:tc>
        <w:tc>
          <w:tcPr>
            <w:tcW w:w="518" w:type="dxa"/>
            <w:tcBorders>
              <w:top w:val="single" w:color="000000" w:sz="4" w:space="0"/>
              <w:left w:val="single" w:color="000000" w:sz="4" w:space="0"/>
              <w:bottom w:val="single" w:color="000000" w:sz="4" w:space="0"/>
              <w:right w:val="single" w:color="000000" w:sz="4" w:space="0"/>
            </w:tcBorders>
            <w:vAlign w:val="center"/>
          </w:tcPr>
          <w:p w14:paraId="7D4124D5">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4" w:space="0"/>
              <w:right w:val="single" w:color="000000" w:sz="4" w:space="0"/>
            </w:tcBorders>
            <w:vAlign w:val="center"/>
          </w:tcPr>
          <w:p w14:paraId="3E938B9A">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2"/>
                <w:position w:val="2"/>
                <w:sz w:val="19"/>
                <w:szCs w:val="19"/>
              </w:rPr>
              <w:t>/</w:t>
            </w:r>
          </w:p>
        </w:tc>
        <w:tc>
          <w:tcPr>
            <w:tcW w:w="791" w:type="dxa"/>
            <w:tcBorders>
              <w:top w:val="single" w:color="000000" w:sz="4" w:space="0"/>
              <w:left w:val="single" w:color="000000" w:sz="4" w:space="0"/>
              <w:bottom w:val="single" w:color="000000" w:sz="4" w:space="0"/>
              <w:right w:val="single" w:color="000000" w:sz="4" w:space="0"/>
            </w:tcBorders>
            <w:vAlign w:val="center"/>
          </w:tcPr>
          <w:p w14:paraId="6F8FA0A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08E4F5D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7"/>
                <w:sz w:val="19"/>
                <w:szCs w:val="19"/>
              </w:rPr>
              <w:t>1</w:t>
            </w:r>
            <w:r>
              <w:rPr>
                <w:rFonts w:ascii="Times New Roman" w:hAnsi="Times New Roman" w:eastAsia="Times New Roman" w:cs="Times New Roman"/>
                <w:color w:val="auto"/>
                <w:spacing w:val="-6"/>
                <w:sz w:val="19"/>
                <w:szCs w:val="19"/>
              </w:rPr>
              <w:t>0</w:t>
            </w:r>
          </w:p>
        </w:tc>
        <w:tc>
          <w:tcPr>
            <w:tcW w:w="793" w:type="dxa"/>
            <w:tcBorders>
              <w:top w:val="single" w:color="000000" w:sz="4" w:space="0"/>
              <w:left w:val="single" w:color="000000" w:sz="4" w:space="0"/>
              <w:bottom w:val="single" w:color="000000" w:sz="4" w:space="0"/>
              <w:right w:val="single" w:color="000000" w:sz="12" w:space="0"/>
            </w:tcBorders>
            <w:vAlign w:val="center"/>
          </w:tcPr>
          <w:p w14:paraId="4958E7F3">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r w14:paraId="3974D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vMerge w:val="continue"/>
            <w:tcBorders>
              <w:left w:val="single" w:color="000000" w:sz="12" w:space="0"/>
              <w:right w:val="single" w:color="000000" w:sz="4" w:space="0"/>
            </w:tcBorders>
            <w:vAlign w:val="center"/>
          </w:tcPr>
          <w:p w14:paraId="7D296E15">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499" w:type="dxa"/>
            <w:tcBorders>
              <w:top w:val="single" w:color="000000" w:sz="4" w:space="0"/>
              <w:left w:val="single" w:color="000000" w:sz="4" w:space="0"/>
              <w:bottom w:val="single" w:color="000000" w:sz="4" w:space="0"/>
              <w:right w:val="single" w:color="000000" w:sz="4" w:space="0"/>
            </w:tcBorders>
            <w:vAlign w:val="center"/>
          </w:tcPr>
          <w:p w14:paraId="41A1ACA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eastAsia" w:ascii="仿宋" w:hAnsi="仿宋" w:eastAsia="仿宋" w:cs="仿宋"/>
                <w:color w:val="auto"/>
                <w:sz w:val="19"/>
                <w:szCs w:val="19"/>
                <w:lang w:eastAsia="zh-CN"/>
              </w:rPr>
            </w:pPr>
            <w:r>
              <w:rPr>
                <w:rFonts w:hint="eastAsia" w:ascii="仿宋" w:hAnsi="仿宋" w:eastAsia="仿宋" w:cs="仿宋"/>
                <w:color w:val="auto"/>
                <w:sz w:val="19"/>
                <w:szCs w:val="19"/>
                <w:lang w:val="en-US" w:eastAsia="zh-CN"/>
              </w:rPr>
              <w:t>5</w:t>
            </w:r>
          </w:p>
        </w:tc>
        <w:tc>
          <w:tcPr>
            <w:tcW w:w="3270" w:type="dxa"/>
            <w:tcBorders>
              <w:top w:val="single" w:color="000000" w:sz="4" w:space="0"/>
              <w:left w:val="single" w:color="000000" w:sz="4" w:space="0"/>
              <w:bottom w:val="single" w:color="000000" w:sz="4" w:space="0"/>
              <w:right w:val="single" w:color="000000" w:sz="4" w:space="0"/>
            </w:tcBorders>
            <w:vAlign w:val="center"/>
          </w:tcPr>
          <w:p w14:paraId="4A017D9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0"/>
                <w:szCs w:val="10"/>
              </w:rPr>
            </w:pPr>
            <w:r>
              <w:rPr>
                <w:rFonts w:ascii="仿宋" w:hAnsi="仿宋" w:eastAsia="仿宋" w:cs="仿宋"/>
                <w:color w:val="auto"/>
                <w:spacing w:val="6"/>
                <w:sz w:val="19"/>
                <w:szCs w:val="19"/>
              </w:rPr>
              <w:t>城乡</w:t>
            </w:r>
            <w:r>
              <w:rPr>
                <w:rFonts w:ascii="仿宋" w:hAnsi="仿宋" w:eastAsia="仿宋" w:cs="仿宋"/>
                <w:color w:val="auto"/>
                <w:spacing w:val="3"/>
                <w:sz w:val="19"/>
                <w:szCs w:val="19"/>
              </w:rPr>
              <w:t>供水一体化覆盖率</w:t>
            </w:r>
            <w:r>
              <w:rPr>
                <w:rFonts w:ascii="仿宋" w:hAnsi="仿宋" w:eastAsia="仿宋" w:cs="仿宋"/>
                <w:color w:val="auto"/>
                <w:spacing w:val="3"/>
                <w:position w:val="9"/>
                <w:sz w:val="10"/>
                <w:szCs w:val="10"/>
              </w:rPr>
              <w:t>2</w:t>
            </w:r>
          </w:p>
        </w:tc>
        <w:tc>
          <w:tcPr>
            <w:tcW w:w="518" w:type="dxa"/>
            <w:tcBorders>
              <w:top w:val="single" w:color="000000" w:sz="4" w:space="0"/>
              <w:left w:val="single" w:color="000000" w:sz="4" w:space="0"/>
              <w:bottom w:val="single" w:color="000000" w:sz="4" w:space="0"/>
              <w:right w:val="single" w:color="000000" w:sz="4" w:space="0"/>
            </w:tcBorders>
            <w:vAlign w:val="center"/>
          </w:tcPr>
          <w:p w14:paraId="58957BF4">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4" w:space="0"/>
              <w:right w:val="single" w:color="000000" w:sz="4" w:space="0"/>
            </w:tcBorders>
            <w:vAlign w:val="center"/>
          </w:tcPr>
          <w:p w14:paraId="2DF7E81E">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19"/>
                <w:szCs w:val="19"/>
              </w:rPr>
              <w:t>8</w:t>
            </w:r>
            <w:r>
              <w:rPr>
                <w:rFonts w:ascii="Times New Roman" w:hAnsi="Times New Roman" w:eastAsia="Times New Roman" w:cs="Times New Roman"/>
                <w:color w:val="auto"/>
                <w:spacing w:val="-1"/>
                <w:sz w:val="20"/>
                <w:szCs w:val="20"/>
              </w:rPr>
              <w:t>5</w:t>
            </w:r>
          </w:p>
        </w:tc>
        <w:tc>
          <w:tcPr>
            <w:tcW w:w="791" w:type="dxa"/>
            <w:tcBorders>
              <w:top w:val="single" w:color="000000" w:sz="4" w:space="0"/>
              <w:left w:val="single" w:color="000000" w:sz="4" w:space="0"/>
              <w:bottom w:val="single" w:color="000000" w:sz="4" w:space="0"/>
              <w:right w:val="single" w:color="000000" w:sz="4" w:space="0"/>
            </w:tcBorders>
            <w:vAlign w:val="center"/>
          </w:tcPr>
          <w:p w14:paraId="1BBAD9C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1"/>
                <w:sz w:val="19"/>
                <w:szCs w:val="19"/>
              </w:rPr>
              <w:t>90</w:t>
            </w:r>
          </w:p>
        </w:tc>
        <w:tc>
          <w:tcPr>
            <w:tcW w:w="859" w:type="dxa"/>
            <w:tcBorders>
              <w:top w:val="single" w:color="000000" w:sz="4" w:space="0"/>
              <w:left w:val="single" w:color="000000" w:sz="4" w:space="0"/>
              <w:bottom w:val="single" w:color="000000" w:sz="4" w:space="0"/>
              <w:right w:val="single" w:color="000000" w:sz="4" w:space="0"/>
            </w:tcBorders>
            <w:vAlign w:val="center"/>
          </w:tcPr>
          <w:p w14:paraId="586C16AA">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1"/>
                <w:sz w:val="19"/>
                <w:szCs w:val="19"/>
              </w:rPr>
              <w:t>95</w:t>
            </w:r>
          </w:p>
        </w:tc>
        <w:tc>
          <w:tcPr>
            <w:tcW w:w="793" w:type="dxa"/>
            <w:tcBorders>
              <w:top w:val="single" w:color="000000" w:sz="4" w:space="0"/>
              <w:left w:val="single" w:color="000000" w:sz="4" w:space="0"/>
              <w:bottom w:val="single" w:color="000000" w:sz="4" w:space="0"/>
              <w:right w:val="single" w:color="000000" w:sz="12" w:space="0"/>
            </w:tcBorders>
            <w:vAlign w:val="center"/>
          </w:tcPr>
          <w:p w14:paraId="11A5384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r w14:paraId="56B93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vMerge w:val="continue"/>
            <w:tcBorders>
              <w:left w:val="single" w:color="000000" w:sz="12" w:space="0"/>
              <w:bottom w:val="single" w:color="000000" w:sz="4" w:space="0"/>
              <w:right w:val="single" w:color="000000" w:sz="4" w:space="0"/>
            </w:tcBorders>
            <w:vAlign w:val="center"/>
          </w:tcPr>
          <w:p w14:paraId="61E933B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499" w:type="dxa"/>
            <w:tcBorders>
              <w:top w:val="single" w:color="000000" w:sz="4" w:space="0"/>
              <w:left w:val="single" w:color="000000" w:sz="4" w:space="0"/>
              <w:bottom w:val="single" w:color="000000" w:sz="4" w:space="0"/>
              <w:right w:val="single" w:color="000000" w:sz="4" w:space="0"/>
            </w:tcBorders>
            <w:vAlign w:val="center"/>
          </w:tcPr>
          <w:p w14:paraId="5ADAE6F9">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eastAsia" w:ascii="仿宋" w:hAnsi="仿宋" w:eastAsia="仿宋" w:cs="仿宋"/>
                <w:color w:val="auto"/>
                <w:sz w:val="19"/>
                <w:szCs w:val="19"/>
                <w:lang w:eastAsia="zh-CN"/>
              </w:rPr>
            </w:pPr>
            <w:r>
              <w:rPr>
                <w:rFonts w:hint="eastAsia" w:ascii="仿宋" w:hAnsi="仿宋" w:eastAsia="仿宋" w:cs="仿宋"/>
                <w:color w:val="auto"/>
                <w:sz w:val="19"/>
                <w:szCs w:val="19"/>
                <w:lang w:val="en-US" w:eastAsia="zh-CN"/>
              </w:rPr>
              <w:t>6</w:t>
            </w:r>
          </w:p>
        </w:tc>
        <w:tc>
          <w:tcPr>
            <w:tcW w:w="3270" w:type="dxa"/>
            <w:tcBorders>
              <w:top w:val="single" w:color="000000" w:sz="4" w:space="0"/>
              <w:left w:val="single" w:color="000000" w:sz="4" w:space="0"/>
              <w:bottom w:val="single" w:color="000000" w:sz="4" w:space="0"/>
              <w:right w:val="single" w:color="000000" w:sz="4" w:space="0"/>
            </w:tcBorders>
            <w:vAlign w:val="center"/>
          </w:tcPr>
          <w:p w14:paraId="6036664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10"/>
                <w:sz w:val="19"/>
                <w:szCs w:val="19"/>
              </w:rPr>
              <w:t>城</w:t>
            </w:r>
            <w:r>
              <w:rPr>
                <w:rFonts w:ascii="仿宋" w:hAnsi="仿宋" w:eastAsia="仿宋" w:cs="仿宋"/>
                <w:color w:val="auto"/>
                <w:spacing w:val="8"/>
                <w:sz w:val="19"/>
                <w:szCs w:val="19"/>
              </w:rPr>
              <w:t>镇公共供水管网漏损率</w:t>
            </w:r>
          </w:p>
        </w:tc>
        <w:tc>
          <w:tcPr>
            <w:tcW w:w="518" w:type="dxa"/>
            <w:tcBorders>
              <w:top w:val="single" w:color="000000" w:sz="4" w:space="0"/>
              <w:left w:val="single" w:color="000000" w:sz="4" w:space="0"/>
              <w:bottom w:val="single" w:color="000000" w:sz="4" w:space="0"/>
              <w:right w:val="single" w:color="000000" w:sz="4" w:space="0"/>
            </w:tcBorders>
            <w:vAlign w:val="center"/>
          </w:tcPr>
          <w:p w14:paraId="2F941AE0">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4" w:space="0"/>
              <w:right w:val="single" w:color="000000" w:sz="4" w:space="0"/>
            </w:tcBorders>
            <w:vAlign w:val="center"/>
          </w:tcPr>
          <w:p w14:paraId="32A3B689">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7"/>
                <w:sz w:val="19"/>
                <w:szCs w:val="19"/>
              </w:rPr>
              <w:t>1</w:t>
            </w:r>
            <w:r>
              <w:rPr>
                <w:rFonts w:ascii="Times New Roman" w:hAnsi="Times New Roman" w:eastAsia="Times New Roman" w:cs="Times New Roman"/>
                <w:color w:val="auto"/>
                <w:spacing w:val="-6"/>
                <w:sz w:val="19"/>
                <w:szCs w:val="19"/>
              </w:rPr>
              <w:t>2</w:t>
            </w:r>
          </w:p>
        </w:tc>
        <w:tc>
          <w:tcPr>
            <w:tcW w:w="791" w:type="dxa"/>
            <w:tcBorders>
              <w:top w:val="single" w:color="000000" w:sz="4" w:space="0"/>
              <w:left w:val="single" w:color="000000" w:sz="4" w:space="0"/>
              <w:bottom w:val="single" w:color="000000" w:sz="4" w:space="0"/>
              <w:right w:val="single" w:color="000000" w:sz="4" w:space="0"/>
            </w:tcBorders>
            <w:vAlign w:val="center"/>
          </w:tcPr>
          <w:p w14:paraId="559EE2D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z w:val="19"/>
                <w:szCs w:val="19"/>
              </w:rPr>
              <w:t>9</w:t>
            </w:r>
          </w:p>
        </w:tc>
        <w:tc>
          <w:tcPr>
            <w:tcW w:w="859" w:type="dxa"/>
            <w:tcBorders>
              <w:top w:val="single" w:color="000000" w:sz="4" w:space="0"/>
              <w:left w:val="single" w:color="000000" w:sz="4" w:space="0"/>
              <w:bottom w:val="single" w:color="000000" w:sz="4" w:space="0"/>
              <w:right w:val="single" w:color="000000" w:sz="4" w:space="0"/>
            </w:tcBorders>
            <w:vAlign w:val="center"/>
          </w:tcPr>
          <w:p w14:paraId="674AC8AA">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仿宋" w:hAnsi="仿宋" w:eastAsia="仿宋" w:cs="仿宋"/>
                <w:color w:val="auto"/>
                <w:spacing w:val="-4"/>
                <w:position w:val="1"/>
                <w:sz w:val="19"/>
                <w:szCs w:val="19"/>
              </w:rPr>
              <w:t>＜</w:t>
            </w:r>
            <w:r>
              <w:rPr>
                <w:rFonts w:ascii="Times New Roman" w:hAnsi="Times New Roman" w:eastAsia="Times New Roman" w:cs="Times New Roman"/>
                <w:color w:val="auto"/>
                <w:spacing w:val="-3"/>
                <w:position w:val="1"/>
                <w:sz w:val="19"/>
                <w:szCs w:val="19"/>
              </w:rPr>
              <w:t>9</w:t>
            </w:r>
          </w:p>
        </w:tc>
        <w:tc>
          <w:tcPr>
            <w:tcW w:w="793" w:type="dxa"/>
            <w:tcBorders>
              <w:top w:val="single" w:color="000000" w:sz="4" w:space="0"/>
              <w:left w:val="single" w:color="000000" w:sz="4" w:space="0"/>
              <w:bottom w:val="single" w:color="000000" w:sz="4" w:space="0"/>
              <w:right w:val="single" w:color="000000" w:sz="12" w:space="0"/>
            </w:tcBorders>
            <w:vAlign w:val="center"/>
          </w:tcPr>
          <w:p w14:paraId="64BA84E7">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r w14:paraId="4829A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vMerge w:val="restart"/>
            <w:tcBorders>
              <w:top w:val="single" w:color="000000" w:sz="4" w:space="0"/>
              <w:left w:val="single" w:color="000000" w:sz="12" w:space="0"/>
              <w:right w:val="single" w:color="000000" w:sz="4" w:space="0"/>
            </w:tcBorders>
            <w:vAlign w:val="center"/>
          </w:tcPr>
          <w:p w14:paraId="41ED76EE">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Arial" w:eastAsia="仿宋_GB2312"/>
                <w:color w:val="auto"/>
                <w:sz w:val="21"/>
                <w:lang w:val="en-US" w:eastAsia="zh-CN"/>
              </w:rPr>
            </w:pPr>
            <w:r>
              <w:rPr>
                <w:rFonts w:hint="eastAsia" w:ascii="Arial"/>
                <w:color w:val="auto"/>
                <w:sz w:val="21"/>
                <w:lang w:val="en-US" w:eastAsia="zh-CN"/>
              </w:rPr>
              <w:t>灌溉排水</w:t>
            </w:r>
          </w:p>
        </w:tc>
        <w:tc>
          <w:tcPr>
            <w:tcW w:w="499" w:type="dxa"/>
            <w:tcBorders>
              <w:top w:val="single" w:color="000000" w:sz="4" w:space="0"/>
              <w:left w:val="single" w:color="000000" w:sz="4" w:space="0"/>
              <w:bottom w:val="single" w:color="000000" w:sz="4" w:space="0"/>
              <w:right w:val="single" w:color="000000" w:sz="4" w:space="0"/>
            </w:tcBorders>
            <w:vAlign w:val="center"/>
          </w:tcPr>
          <w:p w14:paraId="16804B77">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eastAsia" w:ascii="仿宋" w:hAnsi="仿宋" w:eastAsia="仿宋" w:cs="仿宋"/>
                <w:color w:val="auto"/>
                <w:sz w:val="19"/>
                <w:szCs w:val="19"/>
                <w:lang w:eastAsia="zh-CN"/>
              </w:rPr>
            </w:pPr>
            <w:r>
              <w:rPr>
                <w:rFonts w:hint="eastAsia" w:ascii="仿宋" w:hAnsi="仿宋" w:eastAsia="仿宋" w:cs="仿宋"/>
                <w:color w:val="auto"/>
                <w:sz w:val="19"/>
                <w:szCs w:val="19"/>
                <w:lang w:val="en-US" w:eastAsia="zh-CN"/>
              </w:rPr>
              <w:t>7</w:t>
            </w:r>
          </w:p>
        </w:tc>
        <w:tc>
          <w:tcPr>
            <w:tcW w:w="3270" w:type="dxa"/>
            <w:tcBorders>
              <w:top w:val="single" w:color="000000" w:sz="4" w:space="0"/>
              <w:left w:val="single" w:color="000000" w:sz="4" w:space="0"/>
              <w:bottom w:val="single" w:color="000000" w:sz="4" w:space="0"/>
              <w:right w:val="single" w:color="000000" w:sz="4" w:space="0"/>
            </w:tcBorders>
            <w:vAlign w:val="center"/>
          </w:tcPr>
          <w:p w14:paraId="12C8C044">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14"/>
                <w:sz w:val="19"/>
                <w:szCs w:val="19"/>
              </w:rPr>
              <w:t>农</w:t>
            </w:r>
            <w:r>
              <w:rPr>
                <w:rFonts w:ascii="仿宋" w:hAnsi="仿宋" w:eastAsia="仿宋" w:cs="仿宋"/>
                <w:color w:val="auto"/>
                <w:spacing w:val="8"/>
                <w:sz w:val="19"/>
                <w:szCs w:val="19"/>
              </w:rPr>
              <w:t>田灌溉水有效利用系数</w:t>
            </w:r>
          </w:p>
        </w:tc>
        <w:tc>
          <w:tcPr>
            <w:tcW w:w="518" w:type="dxa"/>
            <w:tcBorders>
              <w:top w:val="single" w:color="000000" w:sz="4" w:space="0"/>
              <w:left w:val="single" w:color="000000" w:sz="4" w:space="0"/>
              <w:bottom w:val="single" w:color="000000" w:sz="4" w:space="0"/>
              <w:right w:val="single" w:color="000000" w:sz="4" w:space="0"/>
            </w:tcBorders>
            <w:vAlign w:val="center"/>
          </w:tcPr>
          <w:p w14:paraId="60D1B90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404D5A3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9"/>
                <w:szCs w:val="19"/>
                <w:lang w:val="en-US" w:eastAsia="zh-CN"/>
              </w:rPr>
            </w:pPr>
            <w:r>
              <w:rPr>
                <w:rFonts w:hint="eastAsia" w:ascii="Times New Roman" w:hAnsi="Times New Roman" w:eastAsia="Times New Roman" w:cs="Times New Roman"/>
                <w:color w:val="auto"/>
                <w:spacing w:val="-7"/>
                <w:sz w:val="19"/>
                <w:szCs w:val="19"/>
                <w:lang w:val="en-US" w:eastAsia="zh-CN"/>
              </w:rPr>
              <w:t>0.6</w:t>
            </w:r>
            <w:r>
              <w:rPr>
                <w:rFonts w:hint="eastAsia" w:eastAsia="Times New Roman" w:cs="Times New Roman"/>
                <w:color w:val="auto"/>
                <w:spacing w:val="-7"/>
                <w:sz w:val="19"/>
                <w:szCs w:val="19"/>
                <w:lang w:val="en-US" w:eastAsia="zh-CN"/>
              </w:rPr>
              <w:t>76</w:t>
            </w:r>
          </w:p>
        </w:tc>
        <w:tc>
          <w:tcPr>
            <w:tcW w:w="791" w:type="dxa"/>
            <w:tcBorders>
              <w:top w:val="single" w:color="000000" w:sz="4" w:space="0"/>
              <w:left w:val="single" w:color="000000" w:sz="4" w:space="0"/>
              <w:bottom w:val="single" w:color="000000" w:sz="4" w:space="0"/>
              <w:right w:val="single" w:color="000000" w:sz="4" w:space="0"/>
            </w:tcBorders>
            <w:vAlign w:val="center"/>
          </w:tcPr>
          <w:p w14:paraId="6A2A337D">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9"/>
                <w:szCs w:val="19"/>
                <w:lang w:val="en-US" w:eastAsia="zh-CN"/>
              </w:rPr>
            </w:pPr>
            <w:r>
              <w:rPr>
                <w:rFonts w:hint="eastAsia" w:ascii="Times New Roman" w:hAnsi="Times New Roman" w:eastAsia="宋体" w:cs="Times New Roman"/>
                <w:color w:val="auto"/>
                <w:spacing w:val="3"/>
                <w:sz w:val="19"/>
                <w:szCs w:val="19"/>
                <w:lang w:val="en-US" w:eastAsia="zh-CN"/>
              </w:rPr>
              <w:t>0.</w:t>
            </w:r>
            <w:r>
              <w:rPr>
                <w:rFonts w:hint="eastAsia" w:eastAsia="宋体" w:cs="Times New Roman"/>
                <w:color w:val="auto"/>
                <w:spacing w:val="3"/>
                <w:sz w:val="19"/>
                <w:szCs w:val="19"/>
                <w:lang w:val="en-US" w:eastAsia="zh-CN"/>
              </w:rPr>
              <w:t>7</w:t>
            </w:r>
          </w:p>
        </w:tc>
        <w:tc>
          <w:tcPr>
            <w:tcW w:w="859" w:type="dxa"/>
            <w:tcBorders>
              <w:top w:val="single" w:color="000000" w:sz="4" w:space="0"/>
              <w:left w:val="single" w:color="000000" w:sz="4" w:space="0"/>
              <w:bottom w:val="single" w:color="000000" w:sz="4" w:space="0"/>
              <w:right w:val="single" w:color="000000" w:sz="4" w:space="0"/>
            </w:tcBorders>
            <w:vAlign w:val="center"/>
          </w:tcPr>
          <w:p w14:paraId="6C664533">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9"/>
                <w:szCs w:val="19"/>
                <w:lang w:val="en-US" w:eastAsia="zh-CN"/>
              </w:rPr>
            </w:pPr>
            <w:r>
              <w:rPr>
                <w:rFonts w:hint="eastAsia" w:ascii="Times New Roman" w:hAnsi="Times New Roman" w:eastAsia="Times New Roman" w:cs="Times New Roman"/>
                <w:color w:val="auto"/>
                <w:spacing w:val="1"/>
                <w:sz w:val="19"/>
                <w:szCs w:val="19"/>
              </w:rPr>
              <w:t>≥0.</w:t>
            </w:r>
            <w:r>
              <w:rPr>
                <w:rFonts w:hint="eastAsia" w:ascii="Times New Roman" w:hAnsi="Times New Roman" w:eastAsia="Times New Roman" w:cs="Times New Roman"/>
                <w:color w:val="auto"/>
                <w:spacing w:val="1"/>
                <w:sz w:val="19"/>
                <w:szCs w:val="19"/>
                <w:lang w:val="en-US" w:eastAsia="zh-CN"/>
              </w:rPr>
              <w:t>7</w:t>
            </w:r>
          </w:p>
        </w:tc>
        <w:tc>
          <w:tcPr>
            <w:tcW w:w="793" w:type="dxa"/>
            <w:tcBorders>
              <w:top w:val="single" w:color="000000" w:sz="4" w:space="0"/>
              <w:left w:val="single" w:color="000000" w:sz="4" w:space="0"/>
              <w:bottom w:val="single" w:color="000000" w:sz="4" w:space="0"/>
              <w:right w:val="single" w:color="000000" w:sz="12" w:space="0"/>
            </w:tcBorders>
            <w:vAlign w:val="center"/>
          </w:tcPr>
          <w:p w14:paraId="6DB7F9A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r w14:paraId="10347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vMerge w:val="continue"/>
            <w:tcBorders>
              <w:left w:val="single" w:color="000000" w:sz="12" w:space="0"/>
              <w:bottom w:val="single" w:color="000000" w:sz="4" w:space="0"/>
              <w:right w:val="single" w:color="000000" w:sz="4" w:space="0"/>
            </w:tcBorders>
            <w:vAlign w:val="center"/>
          </w:tcPr>
          <w:p w14:paraId="02564332">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p>
        </w:tc>
        <w:tc>
          <w:tcPr>
            <w:tcW w:w="499" w:type="dxa"/>
            <w:tcBorders>
              <w:top w:val="single" w:color="000000" w:sz="4" w:space="0"/>
              <w:left w:val="single" w:color="000000" w:sz="4" w:space="0"/>
              <w:bottom w:val="single" w:color="000000" w:sz="4" w:space="0"/>
              <w:right w:val="single" w:color="000000" w:sz="4" w:space="0"/>
            </w:tcBorders>
            <w:vAlign w:val="center"/>
          </w:tcPr>
          <w:p w14:paraId="6DC35DD0">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eastAsia" w:ascii="仿宋" w:hAnsi="仿宋" w:eastAsia="仿宋" w:cs="仿宋"/>
                <w:color w:val="auto"/>
                <w:sz w:val="19"/>
                <w:szCs w:val="19"/>
                <w:lang w:eastAsia="zh-CN"/>
              </w:rPr>
            </w:pPr>
            <w:r>
              <w:rPr>
                <w:rFonts w:hint="eastAsia" w:ascii="仿宋" w:hAnsi="仿宋" w:eastAsia="仿宋" w:cs="仿宋"/>
                <w:color w:val="auto"/>
                <w:sz w:val="19"/>
                <w:szCs w:val="19"/>
                <w:lang w:val="en-US" w:eastAsia="zh-CN"/>
              </w:rPr>
              <w:t>8</w:t>
            </w:r>
          </w:p>
        </w:tc>
        <w:tc>
          <w:tcPr>
            <w:tcW w:w="3270" w:type="dxa"/>
            <w:tcBorders>
              <w:top w:val="single" w:color="000000" w:sz="4" w:space="0"/>
              <w:left w:val="single" w:color="000000" w:sz="4" w:space="0"/>
              <w:bottom w:val="single" w:color="000000" w:sz="4" w:space="0"/>
              <w:right w:val="single" w:color="000000" w:sz="4" w:space="0"/>
            </w:tcBorders>
            <w:vAlign w:val="center"/>
          </w:tcPr>
          <w:p w14:paraId="00862B4F">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仿宋" w:hAnsi="仿宋" w:eastAsia="仿宋" w:cs="仿宋"/>
                <w:color w:val="auto"/>
                <w:sz w:val="19"/>
                <w:szCs w:val="19"/>
              </w:rPr>
            </w:pPr>
            <w:r>
              <w:rPr>
                <w:rFonts w:hint="eastAsia" w:ascii="仿宋" w:hAnsi="仿宋" w:eastAsia="仿宋" w:cs="仿宋"/>
                <w:color w:val="auto"/>
                <w:spacing w:val="8"/>
                <w:sz w:val="19"/>
                <w:szCs w:val="19"/>
                <w:lang w:val="en-US" w:eastAsia="zh-CN"/>
              </w:rPr>
              <w:t>再生利用率</w:t>
            </w:r>
          </w:p>
        </w:tc>
        <w:tc>
          <w:tcPr>
            <w:tcW w:w="518" w:type="dxa"/>
            <w:tcBorders>
              <w:top w:val="single" w:color="000000" w:sz="4" w:space="0"/>
              <w:left w:val="single" w:color="000000" w:sz="4" w:space="0"/>
              <w:bottom w:val="single" w:color="000000" w:sz="4" w:space="0"/>
              <w:right w:val="single" w:color="000000" w:sz="4" w:space="0"/>
            </w:tcBorders>
            <w:vAlign w:val="center"/>
          </w:tcPr>
          <w:p w14:paraId="1A0763F9">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4" w:space="0"/>
              <w:right w:val="single" w:color="000000" w:sz="4" w:space="0"/>
            </w:tcBorders>
            <w:vAlign w:val="center"/>
          </w:tcPr>
          <w:p w14:paraId="511E570F">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2"/>
                <w:position w:val="2"/>
                <w:sz w:val="19"/>
                <w:szCs w:val="19"/>
              </w:rPr>
              <w:t>/</w:t>
            </w:r>
          </w:p>
        </w:tc>
        <w:tc>
          <w:tcPr>
            <w:tcW w:w="791" w:type="dxa"/>
            <w:tcBorders>
              <w:top w:val="single" w:color="000000" w:sz="4" w:space="0"/>
              <w:left w:val="single" w:color="000000" w:sz="4" w:space="0"/>
              <w:bottom w:val="single" w:color="000000" w:sz="4" w:space="0"/>
              <w:right w:val="single" w:color="000000" w:sz="4" w:space="0"/>
            </w:tcBorders>
            <w:vAlign w:val="center"/>
          </w:tcPr>
          <w:p w14:paraId="7EC7D7D1">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Arial"/>
                <w:color w:val="auto"/>
                <w:sz w:val="21"/>
              </w:rPr>
            </w:pPr>
            <w:r>
              <w:rPr>
                <w:rFonts w:hint="eastAsia" w:eastAsia="宋体" w:cs="Times New Roman"/>
                <w:color w:val="auto"/>
                <w:spacing w:val="3"/>
                <w:sz w:val="19"/>
                <w:szCs w:val="19"/>
                <w:lang w:val="en-US" w:eastAsia="zh-CN"/>
              </w:rPr>
              <w:t>50</w:t>
            </w:r>
          </w:p>
        </w:tc>
        <w:tc>
          <w:tcPr>
            <w:tcW w:w="859" w:type="dxa"/>
            <w:tcBorders>
              <w:top w:val="single" w:color="000000" w:sz="4" w:space="0"/>
              <w:left w:val="single" w:color="000000" w:sz="4" w:space="0"/>
              <w:bottom w:val="single" w:color="000000" w:sz="4" w:space="0"/>
              <w:right w:val="single" w:color="000000" w:sz="4" w:space="0"/>
            </w:tcBorders>
            <w:vAlign w:val="center"/>
          </w:tcPr>
          <w:p w14:paraId="4667BF72">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color w:val="auto"/>
                <w:sz w:val="19"/>
                <w:szCs w:val="19"/>
              </w:rPr>
            </w:pPr>
            <w:r>
              <w:rPr>
                <w:rFonts w:hint="eastAsia" w:eastAsia="宋体" w:cs="Times New Roman"/>
                <w:color w:val="auto"/>
                <w:spacing w:val="3"/>
                <w:sz w:val="19"/>
                <w:szCs w:val="19"/>
                <w:lang w:val="en-US" w:eastAsia="zh-CN"/>
              </w:rPr>
              <w:t>60</w:t>
            </w:r>
          </w:p>
        </w:tc>
        <w:tc>
          <w:tcPr>
            <w:tcW w:w="793" w:type="dxa"/>
            <w:tcBorders>
              <w:top w:val="single" w:color="000000" w:sz="4" w:space="0"/>
              <w:left w:val="single" w:color="000000" w:sz="4" w:space="0"/>
              <w:bottom w:val="single" w:color="000000" w:sz="4" w:space="0"/>
              <w:right w:val="single" w:color="000000" w:sz="12" w:space="0"/>
            </w:tcBorders>
            <w:vAlign w:val="center"/>
          </w:tcPr>
          <w:p w14:paraId="1DA659D4">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r w14:paraId="26ECE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vMerge w:val="restart"/>
            <w:tcBorders>
              <w:top w:val="single" w:color="000000" w:sz="4" w:space="0"/>
              <w:left w:val="single" w:color="000000" w:sz="12" w:space="0"/>
              <w:bottom w:val="single" w:color="000000" w:sz="4" w:space="0"/>
              <w:right w:val="single" w:color="000000" w:sz="4" w:space="0"/>
            </w:tcBorders>
            <w:vAlign w:val="center"/>
          </w:tcPr>
          <w:p w14:paraId="1A60456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p w14:paraId="6911A4E5">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仿宋" w:hAnsi="仿宋" w:eastAsia="仿宋" w:cs="仿宋"/>
                <w:color w:val="auto"/>
                <w:sz w:val="19"/>
                <w:szCs w:val="19"/>
                <w:lang w:val="en-US" w:eastAsia="zh-CN"/>
              </w:rPr>
            </w:pPr>
            <w:r>
              <w:rPr>
                <w:rFonts w:hint="eastAsia" w:ascii="仿宋" w:hAnsi="仿宋" w:eastAsia="仿宋" w:cs="仿宋"/>
                <w:color w:val="auto"/>
                <w:spacing w:val="8"/>
                <w:sz w:val="19"/>
                <w:szCs w:val="19"/>
                <w:lang w:val="en-US" w:eastAsia="zh-CN"/>
              </w:rPr>
              <w:t>河湖生态</w:t>
            </w:r>
          </w:p>
        </w:tc>
        <w:tc>
          <w:tcPr>
            <w:tcW w:w="499" w:type="dxa"/>
            <w:tcBorders>
              <w:top w:val="single" w:color="000000" w:sz="4" w:space="0"/>
              <w:left w:val="single" w:color="000000" w:sz="4" w:space="0"/>
              <w:bottom w:val="single" w:color="000000" w:sz="4" w:space="0"/>
              <w:right w:val="single" w:color="000000" w:sz="4" w:space="0"/>
            </w:tcBorders>
            <w:vAlign w:val="center"/>
          </w:tcPr>
          <w:p w14:paraId="4E207898">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eastAsia" w:ascii="仿宋" w:hAnsi="仿宋" w:eastAsia="仿宋" w:cs="仿宋"/>
                <w:color w:val="auto"/>
                <w:sz w:val="19"/>
                <w:szCs w:val="19"/>
                <w:lang w:eastAsia="zh-CN"/>
              </w:rPr>
            </w:pPr>
            <w:r>
              <w:rPr>
                <w:rFonts w:hint="eastAsia" w:ascii="仿宋" w:hAnsi="仿宋" w:eastAsia="仿宋" w:cs="仿宋"/>
                <w:color w:val="auto"/>
                <w:sz w:val="19"/>
                <w:szCs w:val="19"/>
                <w:lang w:val="en-US" w:eastAsia="zh-CN"/>
              </w:rPr>
              <w:t>9</w:t>
            </w:r>
          </w:p>
        </w:tc>
        <w:tc>
          <w:tcPr>
            <w:tcW w:w="3270" w:type="dxa"/>
            <w:tcBorders>
              <w:top w:val="single" w:color="000000" w:sz="4" w:space="0"/>
              <w:left w:val="single" w:color="000000" w:sz="4" w:space="0"/>
              <w:bottom w:val="single" w:color="000000" w:sz="4" w:space="0"/>
              <w:right w:val="single" w:color="000000" w:sz="4" w:space="0"/>
            </w:tcBorders>
            <w:vAlign w:val="center"/>
          </w:tcPr>
          <w:p w14:paraId="1E3116B9">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7"/>
                <w:sz w:val="19"/>
                <w:szCs w:val="19"/>
              </w:rPr>
              <w:t>水土保持率</w:t>
            </w:r>
          </w:p>
        </w:tc>
        <w:tc>
          <w:tcPr>
            <w:tcW w:w="518" w:type="dxa"/>
            <w:tcBorders>
              <w:top w:val="single" w:color="000000" w:sz="4" w:space="0"/>
              <w:left w:val="single" w:color="000000" w:sz="4" w:space="0"/>
              <w:bottom w:val="single" w:color="000000" w:sz="4" w:space="0"/>
              <w:right w:val="single" w:color="000000" w:sz="4" w:space="0"/>
            </w:tcBorders>
            <w:vAlign w:val="center"/>
          </w:tcPr>
          <w:p w14:paraId="30538F7A">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4" w:space="0"/>
              <w:right w:val="single" w:color="000000" w:sz="4" w:space="0"/>
            </w:tcBorders>
            <w:vAlign w:val="center"/>
          </w:tcPr>
          <w:p w14:paraId="371DAFCB">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9"/>
                <w:szCs w:val="19"/>
                <w:lang w:val="en-US" w:eastAsia="zh-CN"/>
              </w:rPr>
            </w:pPr>
            <w:r>
              <w:rPr>
                <w:rFonts w:hint="eastAsia" w:eastAsia="宋体" w:cs="Times New Roman"/>
                <w:color w:val="auto"/>
                <w:spacing w:val="3"/>
                <w:sz w:val="19"/>
                <w:szCs w:val="19"/>
                <w:lang w:val="en-US" w:eastAsia="zh-CN"/>
              </w:rPr>
              <w:t>78.10</w:t>
            </w:r>
          </w:p>
        </w:tc>
        <w:tc>
          <w:tcPr>
            <w:tcW w:w="791" w:type="dxa"/>
            <w:tcBorders>
              <w:top w:val="single" w:color="000000" w:sz="4" w:space="0"/>
              <w:left w:val="single" w:color="000000" w:sz="4" w:space="0"/>
              <w:bottom w:val="single" w:color="000000" w:sz="4" w:space="0"/>
              <w:right w:val="single" w:color="000000" w:sz="4" w:space="0"/>
            </w:tcBorders>
            <w:vAlign w:val="center"/>
          </w:tcPr>
          <w:p w14:paraId="6610C93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Arial" w:eastAsia="仿宋_GB2312"/>
                <w:color w:val="auto"/>
                <w:sz w:val="21"/>
                <w:lang w:val="en-US" w:eastAsia="zh-CN"/>
              </w:rPr>
            </w:pPr>
            <w:r>
              <w:rPr>
                <w:rFonts w:hint="eastAsia" w:eastAsia="宋体" w:cs="Times New Roman"/>
                <w:color w:val="auto"/>
                <w:spacing w:val="4"/>
                <w:sz w:val="19"/>
                <w:szCs w:val="19"/>
                <w:lang w:val="en-US" w:eastAsia="zh-CN"/>
              </w:rPr>
              <w:t>79.79</w:t>
            </w:r>
          </w:p>
        </w:tc>
        <w:tc>
          <w:tcPr>
            <w:tcW w:w="859" w:type="dxa"/>
            <w:tcBorders>
              <w:top w:val="single" w:color="000000" w:sz="4" w:space="0"/>
              <w:left w:val="single" w:color="000000" w:sz="4" w:space="0"/>
              <w:bottom w:val="single" w:color="000000" w:sz="4" w:space="0"/>
              <w:right w:val="single" w:color="000000" w:sz="4" w:space="0"/>
            </w:tcBorders>
            <w:vAlign w:val="center"/>
          </w:tcPr>
          <w:p w14:paraId="68E7F3B8">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9"/>
                <w:szCs w:val="19"/>
                <w:lang w:val="en-US" w:eastAsia="zh-CN"/>
              </w:rPr>
            </w:pPr>
            <w:r>
              <w:rPr>
                <w:rFonts w:hint="eastAsia" w:ascii="Times New Roman" w:hAnsi="Times New Roman" w:eastAsia="宋体" w:cs="Times New Roman"/>
                <w:color w:val="auto"/>
                <w:spacing w:val="4"/>
                <w:sz w:val="19"/>
                <w:szCs w:val="19"/>
                <w:lang w:val="en-US" w:eastAsia="zh-CN"/>
              </w:rPr>
              <w:t>8</w:t>
            </w:r>
            <w:r>
              <w:rPr>
                <w:rFonts w:hint="eastAsia" w:eastAsia="宋体" w:cs="Times New Roman"/>
                <w:color w:val="auto"/>
                <w:spacing w:val="4"/>
                <w:sz w:val="19"/>
                <w:szCs w:val="19"/>
                <w:lang w:val="en-US" w:eastAsia="zh-CN"/>
              </w:rPr>
              <w:t>0.99</w:t>
            </w:r>
          </w:p>
        </w:tc>
        <w:tc>
          <w:tcPr>
            <w:tcW w:w="793" w:type="dxa"/>
            <w:tcBorders>
              <w:top w:val="single" w:color="000000" w:sz="4" w:space="0"/>
              <w:left w:val="single" w:color="000000" w:sz="4" w:space="0"/>
              <w:bottom w:val="single" w:color="000000" w:sz="4" w:space="0"/>
              <w:right w:val="single" w:color="000000" w:sz="12" w:space="0"/>
            </w:tcBorders>
            <w:vAlign w:val="center"/>
          </w:tcPr>
          <w:p w14:paraId="5DA027B5">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r w14:paraId="634C8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exact"/>
          <w:jc w:val="center"/>
        </w:trPr>
        <w:tc>
          <w:tcPr>
            <w:tcW w:w="937" w:type="dxa"/>
            <w:vMerge w:val="continue"/>
            <w:tcBorders>
              <w:top w:val="single" w:color="000000" w:sz="4" w:space="0"/>
              <w:left w:val="single" w:color="000000" w:sz="12" w:space="0"/>
              <w:bottom w:val="single" w:color="000000" w:sz="4" w:space="0"/>
              <w:right w:val="single" w:color="000000" w:sz="4" w:space="0"/>
            </w:tcBorders>
            <w:vAlign w:val="center"/>
          </w:tcPr>
          <w:p w14:paraId="10272438">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499" w:type="dxa"/>
            <w:tcBorders>
              <w:top w:val="single" w:color="000000" w:sz="4" w:space="0"/>
              <w:left w:val="single" w:color="000000" w:sz="4" w:space="0"/>
              <w:bottom w:val="single" w:color="000000" w:sz="4" w:space="0"/>
              <w:right w:val="single" w:color="000000" w:sz="4" w:space="0"/>
            </w:tcBorders>
            <w:vAlign w:val="center"/>
          </w:tcPr>
          <w:p w14:paraId="2649EAD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仿宋" w:hAnsi="仿宋" w:eastAsia="仿宋" w:cs="仿宋"/>
                <w:color w:val="auto"/>
                <w:sz w:val="19"/>
                <w:szCs w:val="19"/>
                <w:lang w:val="en-US" w:eastAsia="zh-CN"/>
              </w:rPr>
            </w:pPr>
            <w:r>
              <w:rPr>
                <w:rFonts w:hint="eastAsia" w:ascii="仿宋" w:hAnsi="仿宋" w:eastAsia="仿宋" w:cs="仿宋"/>
                <w:color w:val="auto"/>
                <w:sz w:val="19"/>
                <w:szCs w:val="19"/>
                <w:lang w:val="en-US" w:eastAsia="zh-CN"/>
              </w:rPr>
              <w:t>10</w:t>
            </w:r>
          </w:p>
        </w:tc>
        <w:tc>
          <w:tcPr>
            <w:tcW w:w="3270" w:type="dxa"/>
            <w:tcBorders>
              <w:top w:val="single" w:color="000000" w:sz="4" w:space="0"/>
              <w:left w:val="single" w:color="000000" w:sz="4" w:space="0"/>
              <w:bottom w:val="single" w:color="000000" w:sz="4" w:space="0"/>
              <w:right w:val="single" w:color="000000" w:sz="4" w:space="0"/>
            </w:tcBorders>
            <w:vAlign w:val="center"/>
          </w:tcPr>
          <w:p w14:paraId="3C3A254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0"/>
                <w:szCs w:val="10"/>
              </w:rPr>
            </w:pPr>
            <w:r>
              <w:rPr>
                <w:rFonts w:ascii="仿宋" w:hAnsi="仿宋" w:eastAsia="仿宋" w:cs="仿宋"/>
                <w:color w:val="auto"/>
                <w:spacing w:val="8"/>
                <w:sz w:val="19"/>
                <w:szCs w:val="19"/>
              </w:rPr>
              <w:t>重要河流控制断面生态水</w:t>
            </w:r>
            <w:r>
              <w:rPr>
                <w:rFonts w:ascii="仿宋" w:hAnsi="仿宋" w:eastAsia="仿宋" w:cs="仿宋"/>
                <w:color w:val="auto"/>
                <w:spacing w:val="17"/>
                <w:sz w:val="19"/>
                <w:szCs w:val="19"/>
              </w:rPr>
              <w:t>(</w:t>
            </w:r>
            <w:r>
              <w:rPr>
                <w:rFonts w:ascii="仿宋" w:hAnsi="仿宋" w:eastAsia="仿宋" w:cs="仿宋"/>
                <w:color w:val="auto"/>
                <w:spacing w:val="10"/>
                <w:sz w:val="19"/>
                <w:szCs w:val="19"/>
              </w:rPr>
              <w:t>流)量保证率</w:t>
            </w:r>
            <w:r>
              <w:rPr>
                <w:rFonts w:ascii="仿宋" w:hAnsi="仿宋" w:eastAsia="仿宋" w:cs="仿宋"/>
                <w:color w:val="auto"/>
                <w:spacing w:val="10"/>
                <w:position w:val="9"/>
                <w:sz w:val="10"/>
                <w:szCs w:val="10"/>
              </w:rPr>
              <w:t>3</w:t>
            </w:r>
          </w:p>
        </w:tc>
        <w:tc>
          <w:tcPr>
            <w:tcW w:w="518" w:type="dxa"/>
            <w:tcBorders>
              <w:top w:val="single" w:color="000000" w:sz="4" w:space="0"/>
              <w:left w:val="single" w:color="000000" w:sz="4" w:space="0"/>
              <w:bottom w:val="single" w:color="000000" w:sz="4" w:space="0"/>
              <w:right w:val="single" w:color="000000" w:sz="4" w:space="0"/>
            </w:tcBorders>
            <w:vAlign w:val="center"/>
          </w:tcPr>
          <w:p w14:paraId="4E1043A2">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4" w:space="0"/>
              <w:right w:val="single" w:color="000000" w:sz="4" w:space="0"/>
            </w:tcBorders>
            <w:vAlign w:val="center"/>
          </w:tcPr>
          <w:p w14:paraId="7F9B26CE">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p w14:paraId="5F8862DD">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z w:val="19"/>
                <w:szCs w:val="19"/>
              </w:rPr>
              <w:t>-</w:t>
            </w:r>
          </w:p>
        </w:tc>
        <w:tc>
          <w:tcPr>
            <w:tcW w:w="791" w:type="dxa"/>
            <w:tcBorders>
              <w:top w:val="single" w:color="000000" w:sz="4" w:space="0"/>
              <w:left w:val="single" w:color="000000" w:sz="4" w:space="0"/>
              <w:bottom w:val="single" w:color="000000" w:sz="4" w:space="0"/>
              <w:right w:val="single" w:color="000000" w:sz="4" w:space="0"/>
            </w:tcBorders>
            <w:vAlign w:val="center"/>
          </w:tcPr>
          <w:p w14:paraId="732C9FD9">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44B48BE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6"/>
                <w:position w:val="2"/>
                <w:sz w:val="19"/>
                <w:szCs w:val="19"/>
              </w:rPr>
              <w:t>≥</w:t>
            </w:r>
            <w:r>
              <w:rPr>
                <w:rFonts w:ascii="Times New Roman" w:hAnsi="Times New Roman" w:eastAsia="Times New Roman" w:cs="Times New Roman"/>
                <w:color w:val="auto"/>
                <w:spacing w:val="4"/>
                <w:position w:val="2"/>
                <w:sz w:val="19"/>
                <w:szCs w:val="19"/>
              </w:rPr>
              <w:t>95</w:t>
            </w:r>
          </w:p>
        </w:tc>
        <w:tc>
          <w:tcPr>
            <w:tcW w:w="793" w:type="dxa"/>
            <w:tcBorders>
              <w:top w:val="single" w:color="000000" w:sz="4" w:space="0"/>
              <w:left w:val="single" w:color="000000" w:sz="4" w:space="0"/>
              <w:bottom w:val="single" w:color="000000" w:sz="4" w:space="0"/>
              <w:right w:val="single" w:color="000000" w:sz="12" w:space="0"/>
            </w:tcBorders>
            <w:vAlign w:val="center"/>
          </w:tcPr>
          <w:p w14:paraId="478E42CA">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r w14:paraId="096C7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vMerge w:val="restart"/>
            <w:tcBorders>
              <w:top w:val="single" w:color="000000" w:sz="4" w:space="0"/>
              <w:left w:val="single" w:color="000000" w:sz="12" w:space="0"/>
              <w:bottom w:val="single" w:color="000000" w:sz="4" w:space="0"/>
              <w:right w:val="single" w:color="000000" w:sz="4" w:space="0"/>
            </w:tcBorders>
            <w:vAlign w:val="center"/>
          </w:tcPr>
          <w:p w14:paraId="7005AFB0">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8"/>
                <w:sz w:val="19"/>
                <w:szCs w:val="19"/>
              </w:rPr>
              <w:t>水</w:t>
            </w:r>
            <w:r>
              <w:rPr>
                <w:rFonts w:ascii="仿宋" w:hAnsi="仿宋" w:eastAsia="仿宋" w:cs="仿宋"/>
                <w:color w:val="auto"/>
                <w:spacing w:val="6"/>
                <w:sz w:val="19"/>
                <w:szCs w:val="19"/>
              </w:rPr>
              <w:t>网智慧</w:t>
            </w:r>
            <w:r>
              <w:rPr>
                <w:rFonts w:ascii="仿宋" w:hAnsi="仿宋" w:eastAsia="仿宋" w:cs="仿宋"/>
                <w:color w:val="auto"/>
                <w:sz w:val="19"/>
                <w:szCs w:val="19"/>
              </w:rPr>
              <w:t>化</w:t>
            </w:r>
          </w:p>
        </w:tc>
        <w:tc>
          <w:tcPr>
            <w:tcW w:w="499" w:type="dxa"/>
            <w:tcBorders>
              <w:top w:val="single" w:color="000000" w:sz="4" w:space="0"/>
              <w:left w:val="single" w:color="000000" w:sz="4" w:space="0"/>
              <w:bottom w:val="single" w:color="000000" w:sz="4" w:space="0"/>
              <w:right w:val="single" w:color="000000" w:sz="4" w:space="0"/>
            </w:tcBorders>
            <w:vAlign w:val="center"/>
          </w:tcPr>
          <w:p w14:paraId="1D26B19E">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仿宋" w:hAnsi="仿宋" w:eastAsia="仿宋" w:cs="仿宋"/>
                <w:color w:val="auto"/>
                <w:sz w:val="19"/>
                <w:szCs w:val="19"/>
                <w:lang w:val="en-US" w:eastAsia="zh-CN"/>
              </w:rPr>
            </w:pPr>
            <w:r>
              <w:rPr>
                <w:rFonts w:hint="eastAsia" w:ascii="仿宋" w:hAnsi="仿宋" w:eastAsia="仿宋" w:cs="仿宋"/>
                <w:color w:val="auto"/>
                <w:spacing w:val="-7"/>
                <w:sz w:val="19"/>
                <w:szCs w:val="19"/>
                <w:lang w:val="en-US" w:eastAsia="zh-CN"/>
              </w:rPr>
              <w:t>11</w:t>
            </w:r>
          </w:p>
        </w:tc>
        <w:tc>
          <w:tcPr>
            <w:tcW w:w="3270" w:type="dxa"/>
            <w:tcBorders>
              <w:top w:val="single" w:color="000000" w:sz="4" w:space="0"/>
              <w:left w:val="single" w:color="000000" w:sz="4" w:space="0"/>
              <w:bottom w:val="single" w:color="000000" w:sz="4" w:space="0"/>
              <w:right w:val="single" w:color="000000" w:sz="4" w:space="0"/>
            </w:tcBorders>
            <w:vAlign w:val="center"/>
          </w:tcPr>
          <w:p w14:paraId="08F42477">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0"/>
                <w:szCs w:val="10"/>
              </w:rPr>
            </w:pPr>
            <w:r>
              <w:rPr>
                <w:rFonts w:ascii="仿宋" w:hAnsi="仿宋" w:eastAsia="仿宋" w:cs="仿宋"/>
                <w:color w:val="auto"/>
                <w:spacing w:val="5"/>
                <w:sz w:val="19"/>
                <w:szCs w:val="19"/>
              </w:rPr>
              <w:t>水</w:t>
            </w:r>
            <w:r>
              <w:rPr>
                <w:rFonts w:ascii="仿宋" w:hAnsi="仿宋" w:eastAsia="仿宋" w:cs="仿宋"/>
                <w:color w:val="auto"/>
                <w:spacing w:val="3"/>
                <w:sz w:val="19"/>
                <w:szCs w:val="19"/>
              </w:rPr>
              <w:t>网要素感知覆盖率</w:t>
            </w:r>
            <w:r>
              <w:rPr>
                <w:rFonts w:ascii="仿宋" w:hAnsi="仿宋" w:eastAsia="仿宋" w:cs="仿宋"/>
                <w:color w:val="auto"/>
                <w:spacing w:val="3"/>
                <w:position w:val="9"/>
                <w:sz w:val="10"/>
                <w:szCs w:val="10"/>
              </w:rPr>
              <w:t>4</w:t>
            </w:r>
          </w:p>
        </w:tc>
        <w:tc>
          <w:tcPr>
            <w:tcW w:w="518" w:type="dxa"/>
            <w:tcBorders>
              <w:top w:val="single" w:color="000000" w:sz="4" w:space="0"/>
              <w:left w:val="single" w:color="000000" w:sz="4" w:space="0"/>
              <w:bottom w:val="single" w:color="000000" w:sz="4" w:space="0"/>
              <w:right w:val="single" w:color="000000" w:sz="4" w:space="0"/>
            </w:tcBorders>
            <w:vAlign w:val="center"/>
          </w:tcPr>
          <w:p w14:paraId="0989BBB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4" w:space="0"/>
              <w:right w:val="single" w:color="000000" w:sz="4" w:space="0"/>
            </w:tcBorders>
            <w:vAlign w:val="center"/>
          </w:tcPr>
          <w:p w14:paraId="6FD1B32D">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2"/>
                <w:position w:val="2"/>
                <w:sz w:val="19"/>
                <w:szCs w:val="19"/>
              </w:rPr>
              <w:t>/</w:t>
            </w:r>
          </w:p>
        </w:tc>
        <w:tc>
          <w:tcPr>
            <w:tcW w:w="791" w:type="dxa"/>
            <w:tcBorders>
              <w:top w:val="single" w:color="000000" w:sz="4" w:space="0"/>
              <w:left w:val="single" w:color="000000" w:sz="4" w:space="0"/>
              <w:bottom w:val="single" w:color="000000" w:sz="4" w:space="0"/>
              <w:right w:val="single" w:color="000000" w:sz="4" w:space="0"/>
            </w:tcBorders>
            <w:vAlign w:val="center"/>
          </w:tcPr>
          <w:p w14:paraId="144D8C38">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130830C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1"/>
                <w:sz w:val="19"/>
                <w:szCs w:val="19"/>
              </w:rPr>
              <w:t>90</w:t>
            </w:r>
          </w:p>
        </w:tc>
        <w:tc>
          <w:tcPr>
            <w:tcW w:w="793" w:type="dxa"/>
            <w:tcBorders>
              <w:top w:val="single" w:color="000000" w:sz="4" w:space="0"/>
              <w:left w:val="single" w:color="000000" w:sz="4" w:space="0"/>
              <w:bottom w:val="single" w:color="000000" w:sz="4" w:space="0"/>
              <w:right w:val="single" w:color="000000" w:sz="12" w:space="0"/>
            </w:tcBorders>
            <w:vAlign w:val="center"/>
          </w:tcPr>
          <w:p w14:paraId="2765FDAF">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r w14:paraId="5E4A5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7" w:type="dxa"/>
            <w:vMerge w:val="continue"/>
            <w:tcBorders>
              <w:top w:val="single" w:color="000000" w:sz="4" w:space="0"/>
              <w:left w:val="single" w:color="000000" w:sz="12" w:space="0"/>
              <w:bottom w:val="single" w:color="000000" w:sz="12" w:space="0"/>
              <w:right w:val="single" w:color="000000" w:sz="4" w:space="0"/>
            </w:tcBorders>
            <w:vAlign w:val="center"/>
          </w:tcPr>
          <w:p w14:paraId="01DAAFC2">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499" w:type="dxa"/>
            <w:tcBorders>
              <w:top w:val="single" w:color="000000" w:sz="4" w:space="0"/>
              <w:left w:val="single" w:color="000000" w:sz="4" w:space="0"/>
              <w:bottom w:val="single" w:color="000000" w:sz="12" w:space="0"/>
              <w:right w:val="single" w:color="000000" w:sz="4" w:space="0"/>
            </w:tcBorders>
            <w:vAlign w:val="center"/>
          </w:tcPr>
          <w:p w14:paraId="0978DF60">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hint="default" w:ascii="仿宋" w:hAnsi="仿宋" w:eastAsia="仿宋" w:cs="仿宋"/>
                <w:color w:val="auto"/>
                <w:sz w:val="19"/>
                <w:szCs w:val="19"/>
                <w:lang w:val="en-US" w:eastAsia="zh-CN"/>
              </w:rPr>
            </w:pPr>
            <w:r>
              <w:rPr>
                <w:rFonts w:hint="eastAsia" w:ascii="仿宋" w:hAnsi="仿宋" w:eastAsia="仿宋" w:cs="仿宋"/>
                <w:color w:val="auto"/>
                <w:spacing w:val="-7"/>
                <w:sz w:val="19"/>
                <w:szCs w:val="19"/>
                <w:lang w:val="en-US" w:eastAsia="zh-CN"/>
              </w:rPr>
              <w:t>12</w:t>
            </w:r>
          </w:p>
        </w:tc>
        <w:tc>
          <w:tcPr>
            <w:tcW w:w="3270" w:type="dxa"/>
            <w:tcBorders>
              <w:top w:val="single" w:color="000000" w:sz="4" w:space="0"/>
              <w:left w:val="single" w:color="000000" w:sz="4" w:space="0"/>
              <w:bottom w:val="single" w:color="000000" w:sz="12" w:space="0"/>
              <w:right w:val="single" w:color="000000" w:sz="4" w:space="0"/>
            </w:tcBorders>
            <w:vAlign w:val="center"/>
          </w:tcPr>
          <w:p w14:paraId="2994C6FF">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4"/>
                <w:sz w:val="19"/>
                <w:szCs w:val="19"/>
              </w:rPr>
              <w:t>数字孪生水利工程覆盖</w:t>
            </w:r>
            <w:r>
              <w:rPr>
                <w:rFonts w:ascii="仿宋" w:hAnsi="仿宋" w:eastAsia="仿宋" w:cs="仿宋"/>
                <w:color w:val="auto"/>
                <w:spacing w:val="3"/>
                <w:position w:val="9"/>
                <w:sz w:val="10"/>
                <w:szCs w:val="10"/>
              </w:rPr>
              <w:t>5</w:t>
            </w:r>
            <w:r>
              <w:rPr>
                <w:rFonts w:ascii="仿宋" w:hAnsi="仿宋" w:eastAsia="仿宋" w:cs="仿宋"/>
                <w:color w:val="auto"/>
                <w:spacing w:val="31"/>
                <w:sz w:val="19"/>
                <w:szCs w:val="19"/>
              </w:rPr>
              <w:t>(</w:t>
            </w:r>
            <w:r>
              <w:rPr>
                <w:rFonts w:ascii="仿宋" w:hAnsi="仿宋" w:eastAsia="仿宋" w:cs="仿宋"/>
                <w:color w:val="auto"/>
                <w:spacing w:val="30"/>
                <w:sz w:val="19"/>
                <w:szCs w:val="19"/>
              </w:rPr>
              <w:t>%)</w:t>
            </w:r>
          </w:p>
        </w:tc>
        <w:tc>
          <w:tcPr>
            <w:tcW w:w="518" w:type="dxa"/>
            <w:tcBorders>
              <w:top w:val="single" w:color="000000" w:sz="4" w:space="0"/>
              <w:left w:val="single" w:color="000000" w:sz="4" w:space="0"/>
              <w:bottom w:val="single" w:color="000000" w:sz="12" w:space="0"/>
              <w:right w:val="single" w:color="000000" w:sz="4" w:space="0"/>
            </w:tcBorders>
            <w:vAlign w:val="center"/>
          </w:tcPr>
          <w:p w14:paraId="3351A76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2"/>
                <w:position w:val="1"/>
                <w:sz w:val="19"/>
                <w:szCs w:val="19"/>
              </w:rPr>
              <w:t>%</w:t>
            </w:r>
          </w:p>
        </w:tc>
        <w:tc>
          <w:tcPr>
            <w:tcW w:w="859" w:type="dxa"/>
            <w:tcBorders>
              <w:top w:val="single" w:color="000000" w:sz="4" w:space="0"/>
              <w:left w:val="single" w:color="000000" w:sz="4" w:space="0"/>
              <w:bottom w:val="single" w:color="000000" w:sz="12" w:space="0"/>
              <w:right w:val="single" w:color="000000" w:sz="4" w:space="0"/>
            </w:tcBorders>
            <w:vAlign w:val="center"/>
          </w:tcPr>
          <w:p w14:paraId="6C1263E2">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2"/>
                <w:position w:val="2"/>
                <w:sz w:val="19"/>
                <w:szCs w:val="19"/>
              </w:rPr>
              <w:t>/</w:t>
            </w:r>
          </w:p>
        </w:tc>
        <w:tc>
          <w:tcPr>
            <w:tcW w:w="791" w:type="dxa"/>
            <w:tcBorders>
              <w:top w:val="single" w:color="000000" w:sz="4" w:space="0"/>
              <w:left w:val="single" w:color="000000" w:sz="4" w:space="0"/>
              <w:bottom w:val="single" w:color="000000" w:sz="12" w:space="0"/>
              <w:right w:val="single" w:color="000000" w:sz="4" w:space="0"/>
            </w:tcBorders>
            <w:vAlign w:val="center"/>
          </w:tcPr>
          <w:p w14:paraId="1E20C8F7">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Arial"/>
                <w:color w:val="auto"/>
                <w:sz w:val="21"/>
              </w:rPr>
            </w:pPr>
          </w:p>
        </w:tc>
        <w:tc>
          <w:tcPr>
            <w:tcW w:w="859" w:type="dxa"/>
            <w:tcBorders>
              <w:top w:val="single" w:color="000000" w:sz="4" w:space="0"/>
              <w:left w:val="single" w:color="000000" w:sz="4" w:space="0"/>
              <w:bottom w:val="single" w:color="000000" w:sz="12" w:space="0"/>
              <w:right w:val="single" w:color="000000" w:sz="4" w:space="0"/>
            </w:tcBorders>
            <w:vAlign w:val="center"/>
          </w:tcPr>
          <w:p w14:paraId="465D85C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Times New Roman" w:hAnsi="Times New Roman" w:eastAsia="Times New Roman" w:cs="Times New Roman"/>
                <w:color w:val="auto"/>
                <w:sz w:val="19"/>
                <w:szCs w:val="19"/>
              </w:rPr>
            </w:pPr>
            <w:r>
              <w:rPr>
                <w:rFonts w:ascii="Times New Roman" w:hAnsi="Times New Roman" w:eastAsia="Times New Roman" w:cs="Times New Roman"/>
                <w:color w:val="auto"/>
                <w:spacing w:val="1"/>
                <w:sz w:val="19"/>
                <w:szCs w:val="19"/>
              </w:rPr>
              <w:t>90</w:t>
            </w:r>
          </w:p>
        </w:tc>
        <w:tc>
          <w:tcPr>
            <w:tcW w:w="793" w:type="dxa"/>
            <w:tcBorders>
              <w:top w:val="single" w:color="000000" w:sz="4" w:space="0"/>
              <w:left w:val="single" w:color="000000" w:sz="4" w:space="0"/>
              <w:bottom w:val="single" w:color="000000" w:sz="12" w:space="0"/>
              <w:right w:val="single" w:color="000000" w:sz="12" w:space="0"/>
            </w:tcBorders>
            <w:vAlign w:val="center"/>
          </w:tcPr>
          <w:p w14:paraId="2B4A8CC4">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center"/>
              <w:textAlignment w:val="baseline"/>
              <w:rPr>
                <w:rFonts w:ascii="仿宋" w:hAnsi="仿宋" w:eastAsia="仿宋" w:cs="仿宋"/>
                <w:color w:val="auto"/>
                <w:sz w:val="19"/>
                <w:szCs w:val="19"/>
              </w:rPr>
            </w:pPr>
            <w:r>
              <w:rPr>
                <w:rFonts w:ascii="仿宋" w:hAnsi="仿宋" w:eastAsia="仿宋" w:cs="仿宋"/>
                <w:color w:val="auto"/>
                <w:spacing w:val="5"/>
                <w:sz w:val="19"/>
                <w:szCs w:val="19"/>
              </w:rPr>
              <w:t>预期性</w:t>
            </w:r>
          </w:p>
        </w:tc>
      </w:tr>
    </w:tbl>
    <w:p w14:paraId="04425772">
      <w:pPr>
        <w:keepNext w:val="0"/>
        <w:keepLines w:val="0"/>
        <w:pageBreakBefore w:val="0"/>
        <w:widowControl w:val="0"/>
        <w:kinsoku/>
        <w:wordWrap/>
        <w:overflowPunct w:val="0"/>
        <w:topLinePunct w:val="0"/>
        <w:autoSpaceDE w:val="0"/>
        <w:autoSpaceDN w:val="0"/>
        <w:bidi w:val="0"/>
        <w:adjustRightInd w:val="0"/>
        <w:snapToGrid w:val="0"/>
        <w:spacing w:before="78" w:line="218" w:lineRule="auto"/>
        <w:ind w:left="25" w:firstLine="404"/>
        <w:rPr>
          <w:rFonts w:hint="eastAsia" w:ascii="方正仿宋_GB2312" w:hAnsi="方正仿宋_GB2312" w:eastAsia="方正仿宋_GB2312" w:cs="方正仿宋_GB2312"/>
          <w:color w:val="auto"/>
          <w:spacing w:val="-15"/>
          <w:sz w:val="21"/>
          <w:lang w:eastAsia="zh-CN"/>
        </w:rPr>
      </w:pPr>
      <w:r>
        <w:rPr>
          <w:rFonts w:hint="eastAsia" w:ascii="方正仿宋_GB2312" w:hAnsi="方正仿宋_GB2312" w:eastAsia="方正仿宋_GB2312" w:cs="方正仿宋_GB2312"/>
          <w:color w:val="auto"/>
          <w:spacing w:val="-8"/>
          <w:sz w:val="21"/>
          <w14:textOutline w14:w="3835" w14:cap="flat" w14:cmpd="sng" w14:algn="ctr">
            <w14:solidFill>
              <w14:srgbClr w14:val="000000"/>
            </w14:solidFill>
            <w14:prstDash w14:val="solid"/>
            <w14:miter w14:val="0"/>
          </w14:textOutline>
        </w:rPr>
        <w:t>注：</w:t>
      </w:r>
    </w:p>
    <w:p w14:paraId="232BAB66">
      <w:pPr>
        <w:keepNext w:val="0"/>
        <w:keepLines w:val="0"/>
        <w:pageBreakBefore w:val="0"/>
        <w:widowControl w:val="0"/>
        <w:kinsoku/>
        <w:wordWrap/>
        <w:overflowPunct w:val="0"/>
        <w:topLinePunct w:val="0"/>
        <w:autoSpaceDE w:val="0"/>
        <w:autoSpaceDN w:val="0"/>
        <w:bidi w:val="0"/>
        <w:adjustRightInd w:val="0"/>
        <w:snapToGrid w:val="0"/>
        <w:spacing w:line="240" w:lineRule="auto"/>
        <w:ind w:left="0"/>
        <w:textAlignment w:val="baseline"/>
        <w:rPr>
          <w:rFonts w:ascii="仿宋" w:hAnsi="仿宋" w:eastAsia="仿宋" w:cs="仿宋"/>
          <w:spacing w:val="-1"/>
          <w:sz w:val="20"/>
          <w:szCs w:val="20"/>
        </w:rPr>
      </w:pPr>
      <w:r>
        <w:rPr>
          <w:rFonts w:ascii="Times New Roman" w:hAnsi="Times New Roman" w:eastAsia="Times New Roman" w:cs="Times New Roman"/>
          <w:b/>
          <w:bCs/>
          <w:spacing w:val="-2"/>
          <w:sz w:val="20"/>
          <w:szCs w:val="20"/>
        </w:rPr>
        <w:t>1.</w:t>
      </w:r>
      <w:r>
        <w:rPr>
          <w:rFonts w:ascii="Times New Roman" w:hAnsi="Times New Roman" w:eastAsia="Times New Roman" w:cs="Times New Roman"/>
          <w:spacing w:val="-1"/>
          <w:sz w:val="20"/>
          <w:szCs w:val="20"/>
        </w:rPr>
        <w:t xml:space="preserve"> </w:t>
      </w:r>
      <w:r>
        <w:rPr>
          <w:rFonts w:ascii="仿宋" w:hAnsi="仿宋" w:eastAsia="仿宋" w:cs="仿宋"/>
          <w:spacing w:val="-1"/>
          <w:sz w:val="20"/>
          <w:szCs w:val="20"/>
          <w14:textOutline w14:w="3795" w14:cap="flat" w14:cmpd="sng">
            <w14:solidFill>
              <w14:srgbClr w14:val="000000"/>
            </w14:solidFill>
            <w14:prstDash w14:val="solid"/>
            <w14:miter w14:val="0"/>
          </w14:textOutline>
        </w:rPr>
        <w:t>万元</w:t>
      </w:r>
      <w:r>
        <w:rPr>
          <w:rFonts w:ascii="仿宋" w:hAnsi="仿宋" w:eastAsia="仿宋" w:cs="仿宋"/>
          <w:spacing w:val="-1"/>
          <w:sz w:val="20"/>
          <w:szCs w:val="20"/>
        </w:rPr>
        <w:t xml:space="preserve"> </w:t>
      </w:r>
      <w:r>
        <w:rPr>
          <w:rFonts w:ascii="Times New Roman" w:hAnsi="Times New Roman" w:eastAsia="Times New Roman" w:cs="Times New Roman"/>
          <w:b/>
          <w:bCs/>
          <w:spacing w:val="-1"/>
          <w:sz w:val="20"/>
          <w:szCs w:val="20"/>
        </w:rPr>
        <w:t>GDP</w:t>
      </w:r>
      <w:r>
        <w:rPr>
          <w:rFonts w:ascii="Times New Roman" w:hAnsi="Times New Roman" w:eastAsia="Times New Roman" w:cs="Times New Roman"/>
          <w:spacing w:val="-1"/>
          <w:sz w:val="20"/>
          <w:szCs w:val="20"/>
        </w:rPr>
        <w:t xml:space="preserve"> </w:t>
      </w:r>
      <w:r>
        <w:rPr>
          <w:rFonts w:ascii="仿宋" w:hAnsi="仿宋" w:eastAsia="仿宋" w:cs="仿宋"/>
          <w:spacing w:val="-1"/>
          <w:sz w:val="20"/>
          <w:szCs w:val="20"/>
          <w14:textOutline w14:w="3795" w14:cap="flat" w14:cmpd="sng">
            <w14:solidFill>
              <w14:srgbClr w14:val="000000"/>
            </w14:solidFill>
            <w14:prstDash w14:val="solid"/>
            <w14:miter w14:val="0"/>
          </w14:textOutline>
        </w:rPr>
        <w:t>用水量下降率：</w:t>
      </w:r>
      <w:r>
        <w:rPr>
          <w:rFonts w:ascii="仿宋" w:hAnsi="仿宋" w:eastAsia="仿宋" w:cs="仿宋"/>
          <w:spacing w:val="-1"/>
          <w:sz w:val="20"/>
          <w:szCs w:val="20"/>
        </w:rPr>
        <w:t xml:space="preserve">与 </w:t>
      </w:r>
      <w:r>
        <w:rPr>
          <w:rFonts w:ascii="Times New Roman" w:hAnsi="Times New Roman" w:eastAsia="Times New Roman" w:cs="Times New Roman"/>
          <w:spacing w:val="-1"/>
          <w:sz w:val="20"/>
          <w:szCs w:val="20"/>
        </w:rPr>
        <w:t xml:space="preserve">2023 </w:t>
      </w:r>
      <w:r>
        <w:rPr>
          <w:rFonts w:ascii="仿宋" w:hAnsi="仿宋" w:eastAsia="仿宋" w:cs="仿宋"/>
          <w:spacing w:val="-1"/>
          <w:sz w:val="20"/>
          <w:szCs w:val="20"/>
        </w:rPr>
        <w:t>年相比较。</w:t>
      </w:r>
    </w:p>
    <w:p w14:paraId="0161240D">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z w:val="20"/>
          <w:szCs w:val="20"/>
        </w:rPr>
      </w:pPr>
      <w:r>
        <w:rPr>
          <w:rFonts w:ascii="Times New Roman" w:hAnsi="Times New Roman" w:eastAsia="Times New Roman" w:cs="Times New Roman"/>
          <w:b/>
          <w:bCs/>
          <w:spacing w:val="1"/>
          <w:sz w:val="20"/>
          <w:szCs w:val="20"/>
        </w:rPr>
        <w:t>2.</w:t>
      </w:r>
      <w:r>
        <w:rPr>
          <w:rFonts w:ascii="仿宋" w:hAnsi="仿宋" w:eastAsia="仿宋" w:cs="仿宋"/>
          <w:spacing w:val="1"/>
          <w:sz w:val="20"/>
          <w:szCs w:val="20"/>
          <w14:textOutline w14:w="3795" w14:cap="flat" w14:cmpd="sng">
            <w14:solidFill>
              <w14:srgbClr w14:val="000000"/>
            </w14:solidFill>
            <w14:prstDash w14:val="solid"/>
            <w14:miter w14:val="0"/>
          </w14:textOutline>
        </w:rPr>
        <w:t>城乡供水一体化覆盖率</w:t>
      </w:r>
      <w:r>
        <w:rPr>
          <w:rFonts w:ascii="仿宋" w:hAnsi="仿宋" w:eastAsia="仿宋" w:cs="仿宋"/>
          <w:spacing w:val="1"/>
          <w:sz w:val="20"/>
          <w:szCs w:val="20"/>
        </w:rPr>
        <w:t xml:space="preserve"> </w:t>
      </w:r>
      <w:r>
        <w:rPr>
          <w:rFonts w:ascii="宋体" w:hAnsi="宋体" w:eastAsia="宋体" w:cs="宋体"/>
          <w:spacing w:val="1"/>
          <w:sz w:val="20"/>
          <w:szCs w:val="20"/>
        </w:rPr>
        <w:t>∶</w:t>
      </w:r>
      <w:r>
        <w:rPr>
          <w:rFonts w:ascii="仿宋" w:hAnsi="仿宋" w:eastAsia="仿宋" w:cs="仿宋"/>
          <w:spacing w:val="1"/>
          <w:sz w:val="20"/>
          <w:szCs w:val="20"/>
        </w:rPr>
        <w:t>指城乡供水一体化服务人口</w:t>
      </w:r>
      <w:r>
        <w:rPr>
          <w:rFonts w:ascii="仿宋" w:hAnsi="仿宋" w:eastAsia="仿宋" w:cs="仿宋"/>
          <w:sz w:val="20"/>
          <w:szCs w:val="20"/>
        </w:rPr>
        <w:t>占</w:t>
      </w:r>
      <w:r>
        <w:rPr>
          <w:rFonts w:hint="eastAsia" w:ascii="仿宋" w:hAnsi="仿宋" w:eastAsia="仿宋" w:cs="仿宋"/>
          <w:sz w:val="20"/>
          <w:szCs w:val="20"/>
          <w:lang w:val="en-US" w:eastAsia="zh-CN"/>
        </w:rPr>
        <w:t>红寺堡区</w:t>
      </w:r>
      <w:r>
        <w:rPr>
          <w:rFonts w:ascii="仿宋" w:hAnsi="仿宋" w:eastAsia="仿宋" w:cs="仿宋"/>
          <w:sz w:val="20"/>
          <w:szCs w:val="20"/>
        </w:rPr>
        <w:t>总人口的比例。</w:t>
      </w:r>
    </w:p>
    <w:p w14:paraId="75B1949F">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376" w:firstLineChars="200"/>
        <w:textAlignment w:val="baseline"/>
        <w:rPr>
          <w:rFonts w:ascii="仿宋" w:hAnsi="仿宋" w:eastAsia="仿宋" w:cs="仿宋"/>
          <w:spacing w:val="1"/>
          <w:sz w:val="20"/>
          <w:szCs w:val="20"/>
        </w:rPr>
      </w:pPr>
      <w:r>
        <w:rPr>
          <w:rFonts w:ascii="Times New Roman" w:hAnsi="Times New Roman" w:eastAsia="Times New Roman" w:cs="Times New Roman"/>
          <w:b/>
          <w:bCs/>
          <w:spacing w:val="-6"/>
          <w:sz w:val="20"/>
          <w:szCs w:val="20"/>
        </w:rPr>
        <w:t>3.</w:t>
      </w:r>
      <w:r>
        <w:rPr>
          <w:rFonts w:ascii="仿宋" w:hAnsi="仿宋" w:eastAsia="仿宋" w:cs="仿宋"/>
          <w:spacing w:val="1"/>
          <w:sz w:val="20"/>
          <w:szCs w:val="20"/>
          <w14:textOutline w14:w="3795" w14:cap="flat" w14:cmpd="sng">
            <w14:solidFill>
              <w14:srgbClr w14:val="000000"/>
            </w14:solidFill>
            <w14:prstDash w14:val="solid"/>
            <w14:miter w14:val="0"/>
          </w14:textOutline>
        </w:rPr>
        <w:t>重要河湖控制断面生态流量保证率</w:t>
      </w:r>
      <w:r>
        <w:rPr>
          <w:rFonts w:ascii="Times New Roman" w:hAnsi="Times New Roman" w:eastAsia="Times New Roman" w:cs="Times New Roman"/>
          <w:b/>
          <w:bCs/>
          <w:spacing w:val="-6"/>
          <w:sz w:val="20"/>
          <w:szCs w:val="20"/>
        </w:rPr>
        <w:t>：</w:t>
      </w:r>
      <w:r>
        <w:rPr>
          <w:rFonts w:ascii="仿宋" w:hAnsi="仿宋" w:eastAsia="仿宋" w:cs="仿宋"/>
          <w:spacing w:val="1"/>
          <w:sz w:val="20"/>
          <w:szCs w:val="20"/>
        </w:rPr>
        <w:t>指纳入生态流量保障重点河湖名录的河流和湖泊控制断面生态水 (流) 量保障目标实现的比例。</w:t>
      </w:r>
    </w:p>
    <w:p w14:paraId="153D7643">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376" w:firstLineChars="200"/>
        <w:textAlignment w:val="baseline"/>
        <w:rPr>
          <w:rFonts w:ascii="仿宋" w:hAnsi="仿宋" w:eastAsia="仿宋" w:cs="仿宋"/>
          <w:spacing w:val="1"/>
          <w:sz w:val="20"/>
          <w:szCs w:val="20"/>
        </w:rPr>
      </w:pPr>
      <w:r>
        <w:rPr>
          <w:rFonts w:ascii="Times New Roman" w:hAnsi="Times New Roman" w:eastAsia="Times New Roman" w:cs="Times New Roman"/>
          <w:b/>
          <w:bCs/>
          <w:spacing w:val="-6"/>
          <w:sz w:val="20"/>
          <w:szCs w:val="20"/>
        </w:rPr>
        <w:t>4.</w:t>
      </w:r>
      <w:r>
        <w:rPr>
          <w:rFonts w:ascii="仿宋" w:hAnsi="仿宋" w:eastAsia="仿宋" w:cs="仿宋"/>
          <w:spacing w:val="-3"/>
          <w:sz w:val="22"/>
          <w:szCs w:val="22"/>
          <w14:textOutline w14:w="4013" w14:cap="flat" w14:cmpd="sng">
            <w14:solidFill>
              <w14:srgbClr w14:val="000000"/>
            </w14:solidFill>
            <w14:prstDash w14:val="solid"/>
            <w14:miter w14:val="0"/>
          </w14:textOutline>
        </w:rPr>
        <w:t>水网要素感知覆盖率：</w:t>
      </w:r>
      <w:r>
        <w:rPr>
          <w:rFonts w:ascii="仿宋" w:hAnsi="仿宋" w:eastAsia="仿宋" w:cs="仿宋"/>
          <w:spacing w:val="1"/>
          <w:sz w:val="20"/>
          <w:szCs w:val="20"/>
        </w:rPr>
        <w:t>指</w:t>
      </w:r>
      <w:r>
        <w:rPr>
          <w:rFonts w:hint="eastAsia" w:ascii="仿宋" w:hAnsi="仿宋" w:eastAsia="仿宋" w:cs="仿宋"/>
          <w:sz w:val="20"/>
          <w:szCs w:val="20"/>
          <w:lang w:val="en-US" w:eastAsia="zh-CN"/>
        </w:rPr>
        <w:t>红寺堡区</w:t>
      </w:r>
      <w:r>
        <w:rPr>
          <w:rFonts w:ascii="仿宋" w:hAnsi="仿宋" w:eastAsia="仿宋" w:cs="仿宋"/>
          <w:spacing w:val="1"/>
          <w:sz w:val="20"/>
          <w:szCs w:val="20"/>
        </w:rPr>
        <w:t>重要河湖、水库、引调水、灌区等监测对象水雨情</w:t>
      </w:r>
      <w:r>
        <w:rPr>
          <w:rFonts w:hint="eastAsia" w:ascii="仿宋" w:hAnsi="仿宋" w:eastAsia="仿宋" w:cs="仿宋"/>
          <w:spacing w:val="1"/>
          <w:sz w:val="20"/>
          <w:szCs w:val="20"/>
          <w:lang w:eastAsia="zh-CN"/>
        </w:rPr>
        <w:t>、</w:t>
      </w:r>
      <w:r>
        <w:rPr>
          <w:rFonts w:ascii="仿宋" w:hAnsi="仿宋" w:eastAsia="仿宋" w:cs="仿宋"/>
          <w:spacing w:val="1"/>
          <w:sz w:val="20"/>
          <w:szCs w:val="20"/>
        </w:rPr>
        <w:t>工情等要素实现监测的数量与监测要素总数的比值。</w:t>
      </w:r>
    </w:p>
    <w:p w14:paraId="5D057D0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22" w:firstLineChars="200"/>
        <w:textAlignment w:val="baseline"/>
        <w:rPr>
          <w:rFonts w:ascii="仿宋" w:hAnsi="仿宋" w:eastAsia="仿宋" w:cs="仿宋"/>
          <w:spacing w:val="1"/>
          <w:sz w:val="20"/>
          <w:szCs w:val="20"/>
        </w:rPr>
      </w:pPr>
      <w:r>
        <w:rPr>
          <w:rFonts w:hint="eastAsia" w:ascii="Times New Roman" w:hAnsi="Times New Roman" w:eastAsia="宋体" w:cs="Times New Roman"/>
          <w:b/>
          <w:bCs/>
          <w:spacing w:val="5"/>
          <w:sz w:val="20"/>
          <w:szCs w:val="20"/>
          <w:lang w:val="en-US" w:eastAsia="zh-CN"/>
        </w:rPr>
        <w:t>5</w:t>
      </w:r>
      <w:r>
        <w:rPr>
          <w:rFonts w:ascii="Times New Roman" w:hAnsi="Times New Roman" w:eastAsia="Times New Roman" w:cs="Times New Roman"/>
          <w:b/>
          <w:bCs/>
          <w:spacing w:val="3"/>
          <w:sz w:val="20"/>
          <w:szCs w:val="20"/>
        </w:rPr>
        <w:t>.</w:t>
      </w:r>
      <w:r>
        <w:rPr>
          <w:rFonts w:ascii="仿宋" w:hAnsi="仿宋" w:eastAsia="仿宋" w:cs="仿宋"/>
          <w:spacing w:val="3"/>
          <w:sz w:val="20"/>
          <w:szCs w:val="20"/>
          <w14:textOutline w14:w="3795" w14:cap="flat" w14:cmpd="sng">
            <w14:solidFill>
              <w14:srgbClr w14:val="000000"/>
            </w14:solidFill>
            <w14:prstDash w14:val="solid"/>
            <w14:miter w14:val="0"/>
          </w14:textOutline>
        </w:rPr>
        <w:t>数字孪生水利工程覆盖：</w:t>
      </w:r>
      <w:r>
        <w:rPr>
          <w:rFonts w:ascii="仿宋" w:hAnsi="仿宋" w:eastAsia="仿宋" w:cs="仿宋"/>
          <w:spacing w:val="1"/>
          <w:sz w:val="20"/>
          <w:szCs w:val="20"/>
        </w:rPr>
        <w:t>指</w:t>
      </w:r>
      <w:r>
        <w:rPr>
          <w:rFonts w:hint="eastAsia" w:ascii="仿宋" w:hAnsi="仿宋" w:eastAsia="仿宋" w:cs="仿宋"/>
          <w:spacing w:val="1"/>
          <w:sz w:val="20"/>
          <w:szCs w:val="20"/>
          <w:lang w:val="en-US" w:eastAsia="zh-CN"/>
        </w:rPr>
        <w:t>红寺堡区</w:t>
      </w:r>
      <w:r>
        <w:rPr>
          <w:rFonts w:ascii="仿宋" w:hAnsi="仿宋" w:eastAsia="仿宋" w:cs="仿宋"/>
          <w:spacing w:val="1"/>
          <w:sz w:val="20"/>
          <w:szCs w:val="20"/>
        </w:rPr>
        <w:t>采用数字孪生水利工程 (水库、引调水、灌区等) 与全</w:t>
      </w:r>
      <w:r>
        <w:rPr>
          <w:rFonts w:hint="eastAsia" w:ascii="仿宋" w:hAnsi="仿宋" w:eastAsia="仿宋" w:cs="仿宋"/>
          <w:sz w:val="20"/>
          <w:szCs w:val="20"/>
          <w:lang w:val="en-US" w:eastAsia="zh-CN"/>
        </w:rPr>
        <w:t>红寺堡区</w:t>
      </w:r>
      <w:r>
        <w:rPr>
          <w:rFonts w:ascii="仿宋" w:hAnsi="仿宋" w:eastAsia="仿宋" w:cs="仿宋"/>
          <w:spacing w:val="1"/>
          <w:sz w:val="20"/>
          <w:szCs w:val="20"/>
        </w:rPr>
        <w:t>重要水利工程总数的比值。</w:t>
      </w:r>
    </w:p>
    <w:p w14:paraId="0FABD5F0">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65CB09C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798522CF">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1ED3E29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5605D01A">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1BBF46BC">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5C00BFF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1EEE15E9">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17C2F502">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179E5980">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5338DF44">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230D098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1AD595ED">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2AA5213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4A7481A2">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1A830E4B">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7A1E9631">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74EAD9A4">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5F175DD4">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3FFFCD07">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3EE20C03">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67B64EB7">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449944F6">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21546289">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404" w:firstLineChars="200"/>
        <w:textAlignment w:val="baseline"/>
        <w:rPr>
          <w:rFonts w:ascii="仿宋" w:hAnsi="仿宋" w:eastAsia="仿宋" w:cs="仿宋"/>
          <w:spacing w:val="1"/>
          <w:sz w:val="20"/>
          <w:szCs w:val="20"/>
        </w:rPr>
      </w:pPr>
    </w:p>
    <w:p w14:paraId="26C1001E">
      <w:pPr>
        <w:pStyle w:val="2"/>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bookmarkStart w:id="78" w:name="_Toc23803"/>
    </w:p>
    <w:p w14:paraId="5E0E94FC">
      <w:pPr>
        <w:pStyle w:val="2"/>
        <w:keepNext w:val="0"/>
        <w:keepLines w:val="0"/>
        <w:pageBreakBefore w:val="0"/>
        <w:widowControl w:val="0"/>
        <w:kinsoku/>
        <w:wordWrap/>
        <w:overflowPunct w:val="0"/>
        <w:topLinePunct w:val="0"/>
        <w:autoSpaceDE w:val="0"/>
        <w:autoSpaceDN w:val="0"/>
        <w:bidi w:val="0"/>
        <w:adjustRightInd w:val="0"/>
        <w:snapToGrid w:val="0"/>
        <w:rPr>
          <w:rFonts w:hint="default"/>
          <w:lang w:val="en-US" w:eastAsia="zh-CN"/>
        </w:rPr>
      </w:pPr>
      <w:r>
        <w:rPr>
          <w:rFonts w:hint="eastAsia"/>
          <w:lang w:eastAsia="zh-CN"/>
        </w:rPr>
        <w:t>第</w:t>
      </w:r>
      <w:bookmarkEnd w:id="72"/>
      <w:bookmarkEnd w:id="73"/>
      <w:bookmarkEnd w:id="74"/>
      <w:r>
        <w:rPr>
          <w:rFonts w:hint="eastAsia"/>
          <w:lang w:val="en-US" w:eastAsia="zh-CN"/>
        </w:rPr>
        <w:t>三章  水资源供需平衡分析</w:t>
      </w:r>
      <w:bookmarkEnd w:id="78"/>
    </w:p>
    <w:p w14:paraId="3B6ECFE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以国家节水行动方案为统领，把节水贯穿于生产生活的各领域全过程，全方位贯彻落实“四水四定”原则，坚持农业节水增效、工业减水减排，精打细算用好水资源，充分发挥用水定额的刚性约束和导向作用，全面加大节水力度，推动用水方式由粗放低效向节约集约根本转变，以节约用水扩大发展空间。</w:t>
      </w:r>
    </w:p>
    <w:p w14:paraId="3130F3AC">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default"/>
          <w:lang w:val="en-US" w:eastAsia="zh-CN"/>
        </w:rPr>
      </w:pPr>
      <w:bookmarkStart w:id="79" w:name="_Toc2664"/>
      <w:r>
        <w:rPr>
          <w:rFonts w:hint="eastAsia"/>
          <w:lang w:val="en-US" w:eastAsia="zh-CN"/>
        </w:rPr>
        <w:t>第一节  现状用水效率分析评价</w:t>
      </w:r>
      <w:bookmarkEnd w:id="79"/>
    </w:p>
    <w:p w14:paraId="1DEA6AE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bookmarkStart w:id="80" w:name="_Toc17519"/>
      <w:bookmarkStart w:id="81" w:name="_Toc29448"/>
      <w:bookmarkStart w:id="82" w:name="_Toc30652"/>
      <w:r>
        <w:rPr>
          <w:rFonts w:hint="eastAsia"/>
          <w:b/>
          <w:bCs/>
          <w:lang w:val="en-US" w:eastAsia="zh-CN"/>
        </w:rPr>
        <w:t>一.</w:t>
      </w:r>
      <w:r>
        <w:rPr>
          <w:rFonts w:hint="eastAsia"/>
          <w:b/>
          <w:bCs/>
          <w:lang w:eastAsia="zh-CN"/>
        </w:rPr>
        <w:t>现状用水水平</w:t>
      </w:r>
      <w:bookmarkEnd w:id="80"/>
      <w:bookmarkEnd w:id="81"/>
      <w:bookmarkEnd w:id="82"/>
    </w:p>
    <w:p w14:paraId="36658F7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ascii="仿宋_GB2312" w:hAnsi="仿宋_GB2312" w:eastAsia="仿宋_GB2312" w:cs="仿宋_GB2312"/>
          <w:color w:val="auto"/>
          <w:lang w:eastAsia="zh-CN"/>
        </w:rPr>
        <w:t>2023年红寺堡区全区取用水总量2.747亿m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，其中黄河水2.689亿m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，地下水0.039亿m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，其它水源0.019亿m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，分别占供水总量的97.9%、1.4%和0.7%。分行业来看，农业用水量2.473亿m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，工业用水量0.13亿m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，城乡生活用水量0.078亿m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，生态用水量0.066亿m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，其中农业用水量占用水总量的90.0%。全区地表水耗水总量2.689亿m</w:t>
      </w:r>
      <w:r>
        <w:rPr>
          <w:rFonts w:hint="eastAsia" w:ascii="方正仿宋_GB2312" w:hAnsi="方正仿宋_GB2312" w:eastAsia="方正仿宋_GB2312" w:cs="方正仿宋_GB2312"/>
          <w:color w:val="auto"/>
          <w:vertAlign w:val="superscript"/>
          <w:lang w:eastAsia="zh-CN"/>
        </w:rPr>
        <w:t>3</w:t>
      </w:r>
      <w:r>
        <w:rPr>
          <w:rFonts w:hint="eastAsia"/>
          <w:lang w:eastAsia="zh-CN"/>
        </w:rPr>
        <w:t>，均为黄河水。</w:t>
      </w:r>
    </w:p>
    <w:p w14:paraId="3B88346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color w:val="auto"/>
          <w:lang w:val="en-US" w:eastAsia="zh-CN"/>
        </w:rPr>
      </w:pPr>
      <w:r>
        <w:rPr>
          <w:rFonts w:hint="eastAsia"/>
          <w:lang w:eastAsia="zh-CN"/>
        </w:rPr>
        <w:t>2023年</w:t>
      </w:r>
      <w:r>
        <w:rPr>
          <w:rFonts w:hint="eastAsia"/>
          <w:lang w:val="en-US" w:eastAsia="zh-CN"/>
        </w:rPr>
        <w:t>红寺堡</w:t>
      </w:r>
      <w:r>
        <w:rPr>
          <w:rFonts w:hint="eastAsia"/>
          <w:lang w:eastAsia="zh-CN"/>
        </w:rPr>
        <w:t>区万元GDP（当年价）用水量252m</w:t>
      </w:r>
      <w:r>
        <w:rPr>
          <w:rFonts w:hint="eastAsia"/>
          <w:vertAlign w:val="superscript"/>
          <w:lang w:eastAsia="zh-CN"/>
        </w:rPr>
        <w:t>3</w:t>
      </w:r>
      <w:r>
        <w:rPr>
          <w:rFonts w:hint="eastAsia"/>
          <w:lang w:eastAsia="zh-CN"/>
        </w:rPr>
        <w:t>，</w:t>
      </w:r>
      <w:r>
        <w:rPr>
          <w:rFonts w:hint="eastAsia"/>
          <w:lang w:val="en-US" w:eastAsia="zh-CN"/>
        </w:rPr>
        <w:t>是全区平均水平的122</w:t>
      </w:r>
      <w:r>
        <w:rPr>
          <w:rFonts w:hint="eastAsia"/>
          <w:lang w:eastAsia="zh-CN"/>
        </w:rPr>
        <w:t>m</w:t>
      </w:r>
      <w:r>
        <w:rPr>
          <w:rFonts w:hint="eastAsia"/>
          <w:vertAlign w:val="superscript"/>
          <w:lang w:eastAsia="zh-CN"/>
        </w:rPr>
        <w:t>3</w:t>
      </w:r>
      <w:r>
        <w:rPr>
          <w:rFonts w:hint="eastAsia"/>
          <w:lang w:val="en-US" w:eastAsia="zh-CN"/>
        </w:rPr>
        <w:t>/万元的2.06倍</w:t>
      </w:r>
      <w:r>
        <w:rPr>
          <w:rFonts w:hint="eastAsia"/>
          <w:lang w:eastAsia="zh-CN"/>
        </w:rPr>
        <w:t>。农业灌溉亩均用水量3</w:t>
      </w:r>
      <w:r>
        <w:rPr>
          <w:rFonts w:hint="eastAsia"/>
          <w:lang w:val="en-US" w:eastAsia="zh-CN"/>
        </w:rPr>
        <w:t>96</w:t>
      </w:r>
      <w:r>
        <w:rPr>
          <w:rFonts w:hint="eastAsia"/>
          <w:lang w:eastAsia="zh-CN"/>
        </w:rPr>
        <w:t>m</w:t>
      </w:r>
      <w:r>
        <w:rPr>
          <w:rFonts w:hint="eastAsia"/>
          <w:vertAlign w:val="superscript"/>
          <w:lang w:eastAsia="zh-CN"/>
        </w:rPr>
        <w:t>3</w:t>
      </w:r>
      <w:r>
        <w:rPr>
          <w:rFonts w:hint="eastAsia"/>
          <w:lang w:eastAsia="zh-CN"/>
        </w:rPr>
        <w:t>，</w:t>
      </w:r>
      <w:r>
        <w:rPr>
          <w:rFonts w:hint="eastAsia"/>
          <w:lang w:val="en-US" w:eastAsia="zh-CN"/>
        </w:rPr>
        <w:t>是全区</w:t>
      </w:r>
      <w:r>
        <w:rPr>
          <w:rFonts w:hint="eastAsia"/>
          <w:lang w:eastAsia="zh-CN"/>
        </w:rPr>
        <w:t>平均水平</w:t>
      </w:r>
      <w:r>
        <w:rPr>
          <w:rFonts w:hint="eastAsia"/>
          <w:lang w:val="en-US" w:eastAsia="zh-CN"/>
        </w:rPr>
        <w:t>515</w:t>
      </w:r>
      <w:r>
        <w:rPr>
          <w:rFonts w:hint="eastAsia"/>
          <w:lang w:eastAsia="zh-CN"/>
        </w:rPr>
        <w:t>m</w:t>
      </w:r>
      <w:r>
        <w:rPr>
          <w:rFonts w:hint="eastAsia"/>
          <w:vertAlign w:val="superscript"/>
          <w:lang w:eastAsia="zh-CN"/>
        </w:rPr>
        <w:t>3</w:t>
      </w:r>
      <w:r>
        <w:rPr>
          <w:rFonts w:hint="eastAsia"/>
          <w:vertAlign w:val="superscript"/>
          <w:lang w:val="en-US" w:eastAsia="zh-CN"/>
        </w:rPr>
        <w:t>/</w:t>
      </w:r>
      <w:r>
        <w:rPr>
          <w:rFonts w:hint="eastAsia"/>
          <w:sz w:val="30"/>
          <w:vertAlign w:val="baseline"/>
          <w:lang w:val="en-US" w:eastAsia="zh-CN"/>
        </w:rPr>
        <w:t>亩的0.77倍</w:t>
      </w:r>
      <w:r>
        <w:rPr>
          <w:rFonts w:hint="eastAsia"/>
          <w:lang w:eastAsia="zh-CN"/>
        </w:rPr>
        <w:t>；农田灌溉水有效利用系数0.676，高于全</w:t>
      </w:r>
      <w:r>
        <w:rPr>
          <w:rFonts w:hint="eastAsia"/>
          <w:lang w:val="en-US" w:eastAsia="zh-CN"/>
        </w:rPr>
        <w:t>区</w:t>
      </w:r>
      <w:r>
        <w:rPr>
          <w:rFonts w:hint="eastAsia"/>
          <w:lang w:eastAsia="zh-CN"/>
        </w:rPr>
        <w:t>平均水平</w:t>
      </w:r>
      <w:r>
        <w:rPr>
          <w:rFonts w:hint="eastAsia"/>
          <w:lang w:val="en-US" w:eastAsia="zh-CN"/>
        </w:rPr>
        <w:t>0.579</w:t>
      </w:r>
      <w:r>
        <w:rPr>
          <w:rFonts w:hint="eastAsia"/>
          <w:lang w:eastAsia="zh-CN"/>
        </w:rPr>
        <w:t>。万元工业增加值用水量（当年价）</w:t>
      </w:r>
      <w:r>
        <w:rPr>
          <w:rFonts w:hint="eastAsia"/>
          <w:lang w:val="en-US" w:eastAsia="zh-CN"/>
        </w:rPr>
        <w:t>25.8</w:t>
      </w:r>
      <w:r>
        <w:rPr>
          <w:rFonts w:hint="eastAsia"/>
          <w:lang w:eastAsia="zh-CN"/>
        </w:rPr>
        <w:t>m</w:t>
      </w:r>
      <w:r>
        <w:rPr>
          <w:rFonts w:hint="eastAsia"/>
          <w:vertAlign w:val="superscript"/>
          <w:lang w:eastAsia="zh-CN"/>
        </w:rPr>
        <w:t>3</w:t>
      </w:r>
      <w:r>
        <w:rPr>
          <w:rFonts w:hint="eastAsia"/>
          <w:lang w:eastAsia="zh-CN"/>
        </w:rPr>
        <w:t xml:space="preserve">，是全区平均水平 22.8 立方米/万元的 </w:t>
      </w:r>
      <w:r>
        <w:rPr>
          <w:rFonts w:hint="eastAsia"/>
          <w:lang w:val="en-US" w:eastAsia="zh-CN"/>
        </w:rPr>
        <w:t>1.13</w:t>
      </w:r>
      <w:r>
        <w:rPr>
          <w:rFonts w:hint="eastAsia"/>
          <w:lang w:eastAsia="zh-CN"/>
        </w:rPr>
        <w:t xml:space="preserve"> 倍。</w:t>
      </w:r>
      <w:r>
        <w:rPr>
          <w:rFonts w:hint="eastAsia"/>
          <w:lang w:val="en-US" w:eastAsia="zh-CN"/>
        </w:rPr>
        <w:t>2023年</w:t>
      </w:r>
      <w:r>
        <w:rPr>
          <w:rFonts w:hint="eastAsia"/>
          <w:color w:val="auto"/>
          <w:lang w:eastAsia="zh-CN"/>
        </w:rPr>
        <w:t>城镇居民生活用水量</w:t>
      </w:r>
      <w:r>
        <w:rPr>
          <w:rFonts w:hint="eastAsia"/>
          <w:color w:val="auto"/>
          <w:lang w:val="en-US" w:eastAsia="zh-CN"/>
        </w:rPr>
        <w:t>140</w:t>
      </w:r>
      <w:r>
        <w:rPr>
          <w:rFonts w:hint="eastAsia"/>
          <w:color w:val="auto"/>
          <w:lang w:eastAsia="zh-CN"/>
        </w:rPr>
        <w:t>L/人·天，农村居民生活用水量</w:t>
      </w:r>
      <w:r>
        <w:rPr>
          <w:rFonts w:hint="eastAsia"/>
          <w:color w:val="auto"/>
          <w:lang w:val="en-US" w:eastAsia="zh-CN"/>
        </w:rPr>
        <w:t>79</w:t>
      </w:r>
      <w:r>
        <w:rPr>
          <w:rFonts w:hint="eastAsia"/>
          <w:color w:val="auto"/>
          <w:lang w:eastAsia="zh-CN"/>
        </w:rPr>
        <w:t>L/人·天，</w:t>
      </w:r>
      <w:r>
        <w:rPr>
          <w:rFonts w:hint="eastAsia"/>
          <w:color w:val="auto"/>
          <w:lang w:val="en-US" w:eastAsia="zh-CN"/>
        </w:rPr>
        <w:t>城镇居民生活用水量高于行业标准100</w:t>
      </w:r>
      <w:r>
        <w:rPr>
          <w:rFonts w:hint="eastAsia"/>
          <w:color w:val="auto"/>
          <w:lang w:eastAsia="zh-CN"/>
        </w:rPr>
        <w:t>L/人·天，低于全区平均水平城镇居民生活用水174L/人·天，农村居民生活用水量</w:t>
      </w:r>
      <w:r>
        <w:rPr>
          <w:rFonts w:hint="eastAsia"/>
          <w:color w:val="auto"/>
          <w:lang w:val="en-US" w:eastAsia="zh-CN"/>
        </w:rPr>
        <w:t>高于行业标准60</w:t>
      </w:r>
      <w:r>
        <w:rPr>
          <w:rFonts w:hint="eastAsia"/>
          <w:color w:val="auto"/>
          <w:lang w:eastAsia="zh-CN"/>
        </w:rPr>
        <w:t>L/人·天，高于全区农村居民生活用水66L/人·天。</w:t>
      </w:r>
    </w:p>
    <w:p w14:paraId="7B04D6C6">
      <w:pPr>
        <w:keepNext w:val="0"/>
        <w:keepLines w:val="0"/>
        <w:pageBreakBefore w:val="0"/>
        <w:widowControl w:val="0"/>
        <w:kinsoku/>
        <w:wordWrap/>
        <w:overflowPunct w:val="0"/>
        <w:topLinePunct w:val="0"/>
        <w:autoSpaceDE w:val="0"/>
        <w:autoSpaceDN w:val="0"/>
        <w:bidi w:val="0"/>
        <w:adjustRightInd w:val="0"/>
        <w:snapToGrid w:val="0"/>
        <w:spacing w:before="56" w:line="221" w:lineRule="auto"/>
        <w:ind w:left="0" w:firstLine="0" w:firstLineChars="0"/>
        <w:jc w:val="both"/>
        <w:textAlignment w:val="baseline"/>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表</w:t>
      </w:r>
      <w:r>
        <w:rPr>
          <w:rFonts w:hint="eastAsia" w:eastAsia="宋体" w:cs="Times New Roman"/>
          <w:spacing w:val="5"/>
          <w:sz w:val="31"/>
          <w:szCs w:val="31"/>
          <w:lang w:val="en-US" w:eastAsia="zh-CN"/>
        </w:rPr>
        <w:t>3.1</w:t>
      </w:r>
      <w:r>
        <w:rPr>
          <w:rFonts w:ascii="Times New Roman" w:hAnsi="Times New Roman" w:eastAsia="Times New Roman" w:cs="Times New Roman"/>
          <w:spacing w:val="5"/>
          <w:sz w:val="31"/>
          <w:szCs w:val="31"/>
        </w:rPr>
        <w:t>-1</w:t>
      </w:r>
      <w:r>
        <w:rPr>
          <w:rFonts w:ascii="Times New Roman" w:hAnsi="Times New Roman" w:eastAsia="Times New Roman" w:cs="Times New Roman"/>
          <w:spacing w:val="25"/>
          <w:w w:val="101"/>
          <w:sz w:val="31"/>
          <w:szCs w:val="31"/>
        </w:rPr>
        <w:t xml:space="preserve"> </w:t>
      </w:r>
      <w:r>
        <w:rPr>
          <w:rFonts w:hint="eastAsia" w:ascii="Times New Roman" w:hAnsi="Times New Roman" w:eastAsia="宋体" w:cs="Times New Roman"/>
          <w:spacing w:val="25"/>
          <w:w w:val="101"/>
          <w:sz w:val="31"/>
          <w:szCs w:val="31"/>
          <w:lang w:val="en-US" w:eastAsia="zh-CN"/>
        </w:rPr>
        <w:t>红寺堡区</w:t>
      </w:r>
      <w:r>
        <w:rPr>
          <w:rFonts w:ascii="FangSong_GB2312" w:hAnsi="FangSong_GB2312" w:eastAsia="FangSong_GB2312" w:cs="FangSong_GB2312"/>
          <w:spacing w:val="5"/>
          <w:sz w:val="31"/>
          <w:szCs w:val="31"/>
        </w:rPr>
        <w:t>用水水平情况表</w:t>
      </w:r>
    </w:p>
    <w:p w14:paraId="60906942">
      <w:pPr>
        <w:keepNext w:val="0"/>
        <w:keepLines w:val="0"/>
        <w:pageBreakBefore w:val="0"/>
        <w:widowControl w:val="0"/>
        <w:kinsoku/>
        <w:wordWrap/>
        <w:overflowPunct w:val="0"/>
        <w:topLinePunct w:val="0"/>
        <w:autoSpaceDE w:val="0"/>
        <w:autoSpaceDN w:val="0"/>
        <w:bidi w:val="0"/>
        <w:adjustRightInd w:val="0"/>
        <w:snapToGrid w:val="0"/>
        <w:spacing w:line="21" w:lineRule="exact"/>
        <w:jc w:val="both"/>
        <w:textAlignment w:val="baseline"/>
      </w:pPr>
    </w:p>
    <w:tbl>
      <w:tblPr>
        <w:tblStyle w:val="21"/>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7"/>
        <w:gridCol w:w="771"/>
        <w:gridCol w:w="913"/>
        <w:gridCol w:w="1321"/>
        <w:gridCol w:w="1016"/>
        <w:gridCol w:w="1314"/>
        <w:gridCol w:w="952"/>
        <w:gridCol w:w="1138"/>
      </w:tblGrid>
      <w:tr w14:paraId="01EFE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jc w:val="center"/>
        </w:trPr>
        <w:tc>
          <w:tcPr>
            <w:tcW w:w="1097" w:type="dxa"/>
            <w:tcBorders>
              <w:top w:val="single" w:color="auto" w:sz="12" w:space="0"/>
              <w:left w:val="single" w:color="auto" w:sz="12" w:space="0"/>
              <w:bottom w:val="single" w:color="auto" w:sz="4" w:space="0"/>
              <w:right w:val="single" w:color="auto" w:sz="4" w:space="0"/>
            </w:tcBorders>
            <w:vAlign w:val="center"/>
          </w:tcPr>
          <w:p w14:paraId="224CB9DD">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rFonts w:ascii="Arial"/>
                <w:sz w:val="21"/>
              </w:rPr>
            </w:pPr>
          </w:p>
          <w:p w14:paraId="3B21E23E">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p>
        </w:tc>
        <w:tc>
          <w:tcPr>
            <w:tcW w:w="771" w:type="dxa"/>
            <w:tcBorders>
              <w:top w:val="single" w:color="auto" w:sz="12" w:space="0"/>
              <w:left w:val="single" w:color="auto" w:sz="4" w:space="0"/>
              <w:bottom w:val="single" w:color="auto" w:sz="4" w:space="0"/>
              <w:right w:val="single" w:color="auto" w:sz="4" w:space="0"/>
            </w:tcBorders>
            <w:vAlign w:val="center"/>
          </w:tcPr>
          <w:p w14:paraId="3B4E8C35">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3"/>
                <w:sz w:val="20"/>
                <w:szCs w:val="20"/>
              </w:rPr>
              <w:t>人均</w:t>
            </w:r>
            <w:r>
              <w:rPr>
                <w:sz w:val="20"/>
                <w:szCs w:val="20"/>
              </w:rPr>
              <w:t xml:space="preserve"> </w:t>
            </w:r>
            <w:r>
              <w:rPr>
                <w:spacing w:val="27"/>
                <w:sz w:val="20"/>
                <w:szCs w:val="20"/>
              </w:rPr>
              <w:t>用水</w:t>
            </w:r>
            <w:r>
              <w:rPr>
                <w:sz w:val="20"/>
                <w:szCs w:val="20"/>
              </w:rPr>
              <w:t xml:space="preserve"> </w:t>
            </w:r>
            <w:r>
              <w:rPr>
                <w:spacing w:val="5"/>
                <w:sz w:val="20"/>
                <w:szCs w:val="20"/>
              </w:rPr>
              <w:t>（</w:t>
            </w:r>
            <w:r>
              <w:rPr>
                <w:rFonts w:ascii="Times New Roman" w:hAnsi="Times New Roman" w:eastAsia="Times New Roman" w:cs="Times New Roman"/>
                <w:spacing w:val="5"/>
                <w:sz w:val="20"/>
                <w:szCs w:val="20"/>
              </w:rPr>
              <w:t>m</w:t>
            </w:r>
            <w:r>
              <w:rPr>
                <w:rFonts w:ascii="Arial" w:hAnsi="Arial" w:eastAsia="Arial" w:cs="Arial"/>
                <w:spacing w:val="5"/>
                <w:sz w:val="20"/>
                <w:szCs w:val="20"/>
              </w:rPr>
              <w:t>³</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24"/>
                <w:sz w:val="20"/>
                <w:szCs w:val="20"/>
              </w:rPr>
              <w:t>人）</w:t>
            </w:r>
          </w:p>
        </w:tc>
        <w:tc>
          <w:tcPr>
            <w:tcW w:w="913" w:type="dxa"/>
            <w:tcBorders>
              <w:top w:val="single" w:color="auto" w:sz="12" w:space="0"/>
              <w:left w:val="single" w:color="auto" w:sz="4" w:space="0"/>
              <w:bottom w:val="single" w:color="auto" w:sz="4" w:space="0"/>
              <w:right w:val="single" w:color="auto" w:sz="4" w:space="0"/>
            </w:tcBorders>
            <w:vAlign w:val="center"/>
          </w:tcPr>
          <w:p w14:paraId="211C5874">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4"/>
                <w:sz w:val="20"/>
                <w:szCs w:val="20"/>
              </w:rPr>
              <w:t>万元地区</w:t>
            </w:r>
          </w:p>
          <w:p w14:paraId="69CA2E45">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4"/>
                <w:sz w:val="20"/>
                <w:szCs w:val="20"/>
              </w:rPr>
              <w:t>生产总值</w:t>
            </w:r>
          </w:p>
          <w:p w14:paraId="12F356C4">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5"/>
                <w:sz w:val="20"/>
                <w:szCs w:val="20"/>
              </w:rPr>
              <w:t>（</w:t>
            </w:r>
            <w:r>
              <w:rPr>
                <w:rFonts w:ascii="Times New Roman" w:hAnsi="Times New Roman" w:eastAsia="Times New Roman" w:cs="Times New Roman"/>
                <w:spacing w:val="5"/>
                <w:sz w:val="20"/>
                <w:szCs w:val="20"/>
              </w:rPr>
              <w:t>m</w:t>
            </w:r>
            <w:r>
              <w:rPr>
                <w:rFonts w:ascii="Arial" w:hAnsi="Arial" w:eastAsia="Arial" w:cs="Arial"/>
                <w:spacing w:val="5"/>
                <w:sz w:val="20"/>
                <w:szCs w:val="20"/>
              </w:rPr>
              <w:t>³</w:t>
            </w:r>
            <w:r>
              <w:rPr>
                <w:rFonts w:ascii="Times New Roman" w:hAnsi="Times New Roman" w:eastAsia="Times New Roman" w:cs="Times New Roman"/>
                <w:spacing w:val="5"/>
                <w:sz w:val="20"/>
                <w:szCs w:val="20"/>
              </w:rPr>
              <w:t>/</w:t>
            </w:r>
            <w:r>
              <w:rPr>
                <w:spacing w:val="5"/>
                <w:sz w:val="20"/>
                <w:szCs w:val="20"/>
              </w:rPr>
              <w:t>万</w:t>
            </w:r>
            <w:r>
              <w:rPr>
                <w:spacing w:val="2"/>
                <w:sz w:val="20"/>
                <w:szCs w:val="20"/>
              </w:rPr>
              <w:t xml:space="preserve"> </w:t>
            </w:r>
            <w:r>
              <w:rPr>
                <w:spacing w:val="-2"/>
                <w:sz w:val="20"/>
                <w:szCs w:val="20"/>
              </w:rPr>
              <w:t>元）</w:t>
            </w:r>
          </w:p>
        </w:tc>
        <w:tc>
          <w:tcPr>
            <w:tcW w:w="1321" w:type="dxa"/>
            <w:tcBorders>
              <w:top w:val="single" w:color="auto" w:sz="12" w:space="0"/>
              <w:left w:val="single" w:color="auto" w:sz="4" w:space="0"/>
              <w:bottom w:val="single" w:color="auto" w:sz="4" w:space="0"/>
              <w:right w:val="single" w:color="auto" w:sz="4" w:space="0"/>
            </w:tcBorders>
            <w:vAlign w:val="center"/>
          </w:tcPr>
          <w:p w14:paraId="667CD0A5">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4"/>
                <w:sz w:val="20"/>
                <w:szCs w:val="20"/>
              </w:rPr>
              <w:t>万元工业</w:t>
            </w:r>
          </w:p>
          <w:p w14:paraId="357A59FB">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8"/>
                <w:sz w:val="20"/>
                <w:szCs w:val="20"/>
              </w:rPr>
              <w:t>增加值用</w:t>
            </w:r>
          </w:p>
          <w:p w14:paraId="0844D356">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rFonts w:ascii="Times New Roman" w:hAnsi="Times New Roman" w:eastAsia="Times New Roman" w:cs="Times New Roman"/>
                <w:sz w:val="20"/>
                <w:szCs w:val="20"/>
              </w:rPr>
            </w:pPr>
            <w:r>
              <w:rPr>
                <w:spacing w:val="3"/>
                <w:sz w:val="20"/>
                <w:szCs w:val="20"/>
              </w:rPr>
              <w:t>水量（</w:t>
            </w:r>
            <w:r>
              <w:rPr>
                <w:rFonts w:ascii="Times New Roman" w:hAnsi="Times New Roman" w:eastAsia="Times New Roman" w:cs="Times New Roman"/>
                <w:spacing w:val="3"/>
                <w:sz w:val="20"/>
                <w:szCs w:val="20"/>
              </w:rPr>
              <w:t>m</w:t>
            </w:r>
            <w:r>
              <w:rPr>
                <w:rFonts w:ascii="Arial" w:hAnsi="Arial" w:eastAsia="Arial" w:cs="Arial"/>
                <w:spacing w:val="3"/>
                <w:sz w:val="20"/>
                <w:szCs w:val="20"/>
              </w:rPr>
              <w:t>³</w:t>
            </w:r>
            <w:r>
              <w:rPr>
                <w:rFonts w:ascii="Times New Roman" w:hAnsi="Times New Roman" w:eastAsia="Times New Roman" w:cs="Times New Roman"/>
                <w:spacing w:val="3"/>
                <w:sz w:val="20"/>
                <w:szCs w:val="20"/>
              </w:rPr>
              <w:t>/</w:t>
            </w:r>
          </w:p>
          <w:p w14:paraId="1AE083E6">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1"/>
                <w:sz w:val="20"/>
                <w:szCs w:val="20"/>
              </w:rPr>
              <w:t>万元）</w:t>
            </w:r>
          </w:p>
        </w:tc>
        <w:tc>
          <w:tcPr>
            <w:tcW w:w="1016" w:type="dxa"/>
            <w:tcBorders>
              <w:top w:val="single" w:color="auto" w:sz="12" w:space="0"/>
              <w:left w:val="single" w:color="auto" w:sz="4" w:space="0"/>
              <w:bottom w:val="single" w:color="auto" w:sz="4" w:space="0"/>
              <w:right w:val="single" w:color="auto" w:sz="4" w:space="0"/>
            </w:tcBorders>
            <w:vAlign w:val="center"/>
          </w:tcPr>
          <w:p w14:paraId="64F22452">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rFonts w:ascii="Arial"/>
                <w:sz w:val="21"/>
              </w:rPr>
            </w:pPr>
          </w:p>
          <w:p w14:paraId="189D4978">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6"/>
                <w:sz w:val="20"/>
                <w:szCs w:val="20"/>
              </w:rPr>
              <w:t>农业亩均</w:t>
            </w:r>
            <w:r>
              <w:rPr>
                <w:spacing w:val="5"/>
                <w:sz w:val="20"/>
                <w:szCs w:val="20"/>
              </w:rPr>
              <w:t>（</w:t>
            </w:r>
            <w:r>
              <w:rPr>
                <w:rFonts w:ascii="Times New Roman" w:hAnsi="Times New Roman" w:eastAsia="Times New Roman" w:cs="Times New Roman"/>
                <w:spacing w:val="5"/>
                <w:sz w:val="20"/>
                <w:szCs w:val="20"/>
              </w:rPr>
              <w:t>m</w:t>
            </w:r>
            <w:r>
              <w:rPr>
                <w:rFonts w:ascii="Arial" w:hAnsi="Arial" w:eastAsia="Arial" w:cs="Arial"/>
                <w:spacing w:val="5"/>
                <w:sz w:val="20"/>
                <w:szCs w:val="20"/>
              </w:rPr>
              <w:t>³</w:t>
            </w:r>
            <w:r>
              <w:rPr>
                <w:rFonts w:ascii="Times New Roman" w:hAnsi="Times New Roman" w:eastAsia="Times New Roman" w:cs="Times New Roman"/>
                <w:spacing w:val="5"/>
                <w:sz w:val="20"/>
                <w:szCs w:val="20"/>
              </w:rPr>
              <w:t>/</w:t>
            </w:r>
            <w:r>
              <w:rPr>
                <w:spacing w:val="5"/>
                <w:sz w:val="20"/>
                <w:szCs w:val="20"/>
              </w:rPr>
              <w:t>亩）</w:t>
            </w:r>
          </w:p>
        </w:tc>
        <w:tc>
          <w:tcPr>
            <w:tcW w:w="1314" w:type="dxa"/>
            <w:tcBorders>
              <w:top w:val="single" w:color="auto" w:sz="12" w:space="0"/>
              <w:left w:val="single" w:color="auto" w:sz="4" w:space="0"/>
              <w:bottom w:val="single" w:color="auto" w:sz="4" w:space="0"/>
              <w:right w:val="single" w:color="auto" w:sz="4" w:space="0"/>
            </w:tcBorders>
            <w:vAlign w:val="center"/>
          </w:tcPr>
          <w:p w14:paraId="0783CEE5">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6"/>
                <w:sz w:val="20"/>
                <w:szCs w:val="20"/>
              </w:rPr>
              <w:t>灌溉水有</w:t>
            </w:r>
          </w:p>
          <w:p w14:paraId="2FF06B31">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5"/>
                <w:sz w:val="20"/>
                <w:szCs w:val="20"/>
              </w:rPr>
              <w:t>效利用系</w:t>
            </w:r>
          </w:p>
          <w:p w14:paraId="6A5D8C7D">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z w:val="20"/>
                <w:szCs w:val="20"/>
              </w:rPr>
              <w:t>数</w:t>
            </w:r>
          </w:p>
        </w:tc>
        <w:tc>
          <w:tcPr>
            <w:tcW w:w="952" w:type="dxa"/>
            <w:tcBorders>
              <w:top w:val="single" w:color="auto" w:sz="12" w:space="0"/>
              <w:left w:val="single" w:color="auto" w:sz="4" w:space="0"/>
              <w:bottom w:val="single" w:color="auto" w:sz="4" w:space="0"/>
              <w:right w:val="single" w:color="auto" w:sz="4" w:space="0"/>
            </w:tcBorders>
            <w:vAlign w:val="center"/>
          </w:tcPr>
          <w:p w14:paraId="1CBF7795">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7"/>
                <w:sz w:val="20"/>
                <w:szCs w:val="20"/>
              </w:rPr>
              <w:t>城镇居</w:t>
            </w:r>
            <w:r>
              <w:rPr>
                <w:sz w:val="20"/>
                <w:szCs w:val="20"/>
              </w:rPr>
              <w:t xml:space="preserve"> </w:t>
            </w:r>
            <w:r>
              <w:rPr>
                <w:spacing w:val="23"/>
                <w:sz w:val="20"/>
                <w:szCs w:val="20"/>
              </w:rPr>
              <w:t>民生活</w:t>
            </w:r>
            <w:r>
              <w:rPr>
                <w:spacing w:val="1"/>
                <w:sz w:val="20"/>
                <w:szCs w:val="20"/>
              </w:rPr>
              <w:t xml:space="preserve"> </w:t>
            </w:r>
            <w:r>
              <w:rPr>
                <w:spacing w:val="23"/>
                <w:sz w:val="20"/>
                <w:szCs w:val="20"/>
              </w:rPr>
              <w:t>用水定</w:t>
            </w:r>
            <w:r>
              <w:rPr>
                <w:spacing w:val="1"/>
                <w:sz w:val="20"/>
                <w:szCs w:val="20"/>
              </w:rPr>
              <w:t xml:space="preserve"> </w:t>
            </w:r>
            <w:r>
              <w:rPr>
                <w:spacing w:val="3"/>
                <w:sz w:val="20"/>
                <w:szCs w:val="20"/>
              </w:rPr>
              <w:t>额（</w:t>
            </w:r>
            <w:r>
              <w:rPr>
                <w:spacing w:val="20"/>
                <w:sz w:val="20"/>
                <w:szCs w:val="20"/>
              </w:rPr>
              <w:t xml:space="preserve"> </w:t>
            </w:r>
            <w:r>
              <w:rPr>
                <w:rFonts w:ascii="Times New Roman" w:hAnsi="Times New Roman" w:eastAsia="Times New Roman" w:cs="Times New Roman"/>
                <w:spacing w:val="3"/>
                <w:sz w:val="20"/>
                <w:szCs w:val="20"/>
              </w:rPr>
              <w:t>L/</w:t>
            </w:r>
            <w:r>
              <w:rPr>
                <w:rFonts w:ascii="Times New Roman" w:hAnsi="Times New Roman" w:eastAsia="Times New Roman" w:cs="Times New Roman"/>
                <w:sz w:val="20"/>
                <w:szCs w:val="20"/>
              </w:rPr>
              <w:t xml:space="preserve"> </w:t>
            </w:r>
            <w:r>
              <w:rPr>
                <w:spacing w:val="-16"/>
                <w:sz w:val="20"/>
                <w:szCs w:val="20"/>
              </w:rPr>
              <w:t>人 ·</w:t>
            </w:r>
            <w:r>
              <w:rPr>
                <w:rFonts w:ascii="Times New Roman" w:hAnsi="Times New Roman" w:eastAsia="Times New Roman" w:cs="Times New Roman"/>
                <w:spacing w:val="-16"/>
                <w:sz w:val="20"/>
                <w:szCs w:val="20"/>
              </w:rPr>
              <w:t>d</w:t>
            </w:r>
            <w:r>
              <w:rPr>
                <w:spacing w:val="-16"/>
                <w:sz w:val="20"/>
                <w:szCs w:val="20"/>
              </w:rPr>
              <w:t>）</w:t>
            </w:r>
          </w:p>
        </w:tc>
        <w:tc>
          <w:tcPr>
            <w:tcW w:w="1138" w:type="dxa"/>
            <w:tcBorders>
              <w:top w:val="single" w:color="auto" w:sz="12" w:space="0"/>
              <w:left w:val="single" w:color="auto" w:sz="4" w:space="0"/>
              <w:bottom w:val="single" w:color="auto" w:sz="4" w:space="0"/>
              <w:right w:val="single" w:color="auto" w:sz="12" w:space="0"/>
            </w:tcBorders>
            <w:vAlign w:val="center"/>
          </w:tcPr>
          <w:p w14:paraId="258C506C">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spacing w:val="6"/>
                <w:sz w:val="20"/>
                <w:szCs w:val="20"/>
              </w:rPr>
              <w:t>农村居民</w:t>
            </w:r>
            <w:r>
              <w:rPr>
                <w:spacing w:val="2"/>
                <w:sz w:val="20"/>
                <w:szCs w:val="20"/>
              </w:rPr>
              <w:t xml:space="preserve"> </w:t>
            </w:r>
            <w:r>
              <w:rPr>
                <w:spacing w:val="15"/>
                <w:sz w:val="20"/>
                <w:szCs w:val="20"/>
              </w:rPr>
              <w:t>生活用水</w:t>
            </w:r>
            <w:r>
              <w:rPr>
                <w:spacing w:val="2"/>
                <w:sz w:val="20"/>
                <w:szCs w:val="20"/>
              </w:rPr>
              <w:t xml:space="preserve"> 定额（</w:t>
            </w:r>
            <w:r>
              <w:rPr>
                <w:spacing w:val="12"/>
                <w:sz w:val="20"/>
                <w:szCs w:val="20"/>
              </w:rPr>
              <w:t xml:space="preserve"> </w:t>
            </w:r>
            <w:r>
              <w:rPr>
                <w:rFonts w:ascii="Times New Roman" w:hAnsi="Times New Roman" w:eastAsia="Times New Roman" w:cs="Times New Roman"/>
                <w:spacing w:val="2"/>
                <w:sz w:val="20"/>
                <w:szCs w:val="20"/>
              </w:rPr>
              <w:t>L/</w:t>
            </w:r>
            <w:r>
              <w:rPr>
                <w:rFonts w:ascii="Times New Roman" w:hAnsi="Times New Roman" w:eastAsia="Times New Roman" w:cs="Times New Roman"/>
                <w:sz w:val="20"/>
                <w:szCs w:val="20"/>
              </w:rPr>
              <w:t xml:space="preserve"> </w:t>
            </w:r>
            <w:r>
              <w:rPr>
                <w:spacing w:val="3"/>
                <w:sz w:val="20"/>
                <w:szCs w:val="20"/>
              </w:rPr>
              <w:t>人</w:t>
            </w:r>
            <w:r>
              <w:rPr>
                <w:spacing w:val="-8"/>
                <w:sz w:val="20"/>
                <w:szCs w:val="20"/>
              </w:rPr>
              <w:t xml:space="preserve"> </w:t>
            </w:r>
            <w:r>
              <w:rPr>
                <w:spacing w:val="3"/>
                <w:sz w:val="20"/>
                <w:szCs w:val="20"/>
              </w:rPr>
              <w:t>·</w:t>
            </w:r>
            <w:r>
              <w:rPr>
                <w:rFonts w:ascii="Times New Roman" w:hAnsi="Times New Roman" w:eastAsia="Times New Roman" w:cs="Times New Roman"/>
                <w:spacing w:val="3"/>
                <w:sz w:val="20"/>
                <w:szCs w:val="20"/>
              </w:rPr>
              <w:t>d</w:t>
            </w:r>
            <w:r>
              <w:rPr>
                <w:spacing w:val="3"/>
                <w:sz w:val="20"/>
                <w:szCs w:val="20"/>
              </w:rPr>
              <w:t>）</w:t>
            </w:r>
          </w:p>
        </w:tc>
      </w:tr>
      <w:tr w14:paraId="5EDF8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1097" w:type="dxa"/>
            <w:tcBorders>
              <w:top w:val="single" w:color="auto" w:sz="4" w:space="0"/>
              <w:left w:val="single" w:color="auto" w:sz="12" w:space="0"/>
              <w:bottom w:val="single" w:color="auto" w:sz="4" w:space="0"/>
              <w:right w:val="single" w:color="auto" w:sz="4" w:space="0"/>
            </w:tcBorders>
            <w:vAlign w:val="center"/>
          </w:tcPr>
          <w:p w14:paraId="235CEB96">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sz w:val="20"/>
                <w:szCs w:val="20"/>
              </w:rPr>
            </w:pPr>
            <w:r>
              <w:rPr>
                <w:rFonts w:hint="eastAsia"/>
                <w:spacing w:val="7"/>
                <w:sz w:val="20"/>
                <w:szCs w:val="20"/>
                <w:lang w:val="en-US" w:eastAsia="zh-CN"/>
              </w:rPr>
              <w:t>红寺堡</w:t>
            </w:r>
            <w:r>
              <w:rPr>
                <w:spacing w:val="7"/>
                <w:sz w:val="20"/>
                <w:szCs w:val="20"/>
              </w:rPr>
              <w:t>区</w:t>
            </w:r>
          </w:p>
        </w:tc>
        <w:tc>
          <w:tcPr>
            <w:tcW w:w="771" w:type="dxa"/>
            <w:tcBorders>
              <w:top w:val="single" w:color="auto" w:sz="4" w:space="0"/>
              <w:left w:val="single" w:color="auto" w:sz="4" w:space="0"/>
              <w:bottom w:val="single" w:color="auto" w:sz="4" w:space="0"/>
              <w:right w:val="single" w:color="auto" w:sz="4" w:space="0"/>
            </w:tcBorders>
            <w:vAlign w:val="center"/>
          </w:tcPr>
          <w:p w14:paraId="72E38F70">
            <w:pPr>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z w:val="20"/>
                <w:szCs w:val="20"/>
                <w:lang w:val="en-US" w:eastAsia="zh-CN"/>
              </w:rPr>
            </w:pPr>
            <w:r>
              <w:rPr>
                <w:rFonts w:hint="eastAsia" w:eastAsia="宋体" w:cs="Times New Roman"/>
                <w:color w:val="auto"/>
                <w:spacing w:val="-1"/>
                <w:sz w:val="20"/>
                <w:szCs w:val="20"/>
                <w:lang w:val="en-US" w:eastAsia="zh-CN"/>
              </w:rPr>
              <w:t>1349</w:t>
            </w:r>
          </w:p>
        </w:tc>
        <w:tc>
          <w:tcPr>
            <w:tcW w:w="913" w:type="dxa"/>
            <w:tcBorders>
              <w:top w:val="single" w:color="auto" w:sz="4" w:space="0"/>
              <w:left w:val="single" w:color="auto" w:sz="4" w:space="0"/>
              <w:bottom w:val="single" w:color="auto" w:sz="4" w:space="0"/>
              <w:right w:val="single" w:color="auto" w:sz="4" w:space="0"/>
            </w:tcBorders>
            <w:vAlign w:val="center"/>
          </w:tcPr>
          <w:p w14:paraId="4446F1FB">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hint="default" w:ascii="Times New Roman" w:hAnsi="Times New Roman" w:eastAsia="Times New Roman" w:cs="Times New Roman"/>
                <w:spacing w:val="3"/>
                <w:sz w:val="20"/>
                <w:szCs w:val="20"/>
                <w:lang w:val="en-US" w:eastAsia="zh-CN"/>
              </w:rPr>
            </w:pPr>
            <w:r>
              <w:rPr>
                <w:rFonts w:hint="eastAsia" w:ascii="Times New Roman" w:hAnsi="Times New Roman" w:eastAsia="Times New Roman" w:cs="Times New Roman"/>
                <w:spacing w:val="3"/>
                <w:sz w:val="20"/>
                <w:szCs w:val="20"/>
                <w:lang w:val="en-US" w:eastAsia="zh-CN"/>
              </w:rPr>
              <w:t>252</w:t>
            </w:r>
          </w:p>
        </w:tc>
        <w:tc>
          <w:tcPr>
            <w:tcW w:w="1321" w:type="dxa"/>
            <w:tcBorders>
              <w:top w:val="single" w:color="auto" w:sz="4" w:space="0"/>
              <w:left w:val="single" w:color="auto" w:sz="4" w:space="0"/>
              <w:bottom w:val="single" w:color="auto" w:sz="4" w:space="0"/>
              <w:right w:val="single" w:color="auto" w:sz="4" w:space="0"/>
            </w:tcBorders>
            <w:vAlign w:val="center"/>
          </w:tcPr>
          <w:p w14:paraId="21924C0C">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hint="default" w:ascii="Times New Roman" w:hAnsi="Times New Roman" w:eastAsia="Times New Roman" w:cs="Times New Roman"/>
                <w:spacing w:val="3"/>
                <w:sz w:val="20"/>
                <w:szCs w:val="20"/>
                <w:lang w:val="en-US" w:eastAsia="zh-CN"/>
              </w:rPr>
            </w:pPr>
            <w:r>
              <w:rPr>
                <w:rFonts w:hint="eastAsia" w:eastAsia="Times New Roman" w:cs="Times New Roman"/>
                <w:spacing w:val="3"/>
                <w:sz w:val="20"/>
                <w:szCs w:val="20"/>
                <w:lang w:val="en-US" w:eastAsia="zh-CN"/>
              </w:rPr>
              <w:t>25.8</w:t>
            </w:r>
          </w:p>
        </w:tc>
        <w:tc>
          <w:tcPr>
            <w:tcW w:w="1016" w:type="dxa"/>
            <w:tcBorders>
              <w:top w:val="single" w:color="auto" w:sz="4" w:space="0"/>
              <w:left w:val="single" w:color="auto" w:sz="4" w:space="0"/>
              <w:bottom w:val="single" w:color="auto" w:sz="4" w:space="0"/>
              <w:right w:val="single" w:color="auto" w:sz="4" w:space="0"/>
            </w:tcBorders>
            <w:vAlign w:val="center"/>
          </w:tcPr>
          <w:p w14:paraId="07BFF092">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hint="default" w:ascii="Times New Roman" w:hAnsi="Times New Roman" w:eastAsia="Times New Roman" w:cs="Times New Roman"/>
                <w:spacing w:val="3"/>
                <w:sz w:val="20"/>
                <w:szCs w:val="20"/>
                <w:lang w:val="en-US" w:eastAsia="zh-CN"/>
              </w:rPr>
            </w:pPr>
            <w:r>
              <w:rPr>
                <w:rFonts w:hint="eastAsia" w:eastAsia="Times New Roman" w:cs="Times New Roman"/>
                <w:spacing w:val="3"/>
                <w:sz w:val="20"/>
                <w:szCs w:val="20"/>
                <w:lang w:val="en-US" w:eastAsia="zh-CN"/>
              </w:rPr>
              <w:t>396</w:t>
            </w:r>
          </w:p>
        </w:tc>
        <w:tc>
          <w:tcPr>
            <w:tcW w:w="1314" w:type="dxa"/>
            <w:tcBorders>
              <w:top w:val="single" w:color="auto" w:sz="4" w:space="0"/>
              <w:left w:val="single" w:color="auto" w:sz="4" w:space="0"/>
              <w:bottom w:val="single" w:color="auto" w:sz="4" w:space="0"/>
              <w:right w:val="single" w:color="auto" w:sz="4" w:space="0"/>
            </w:tcBorders>
            <w:vAlign w:val="center"/>
          </w:tcPr>
          <w:p w14:paraId="154A8A18">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hint="default" w:ascii="Times New Roman" w:hAnsi="Times New Roman" w:eastAsia="Times New Roman" w:cs="Times New Roman"/>
                <w:spacing w:val="3"/>
                <w:sz w:val="20"/>
                <w:szCs w:val="20"/>
                <w:lang w:val="en-US" w:eastAsia="zh-CN"/>
              </w:rPr>
            </w:pPr>
            <w:r>
              <w:rPr>
                <w:rFonts w:hint="eastAsia" w:eastAsia="Times New Roman" w:cs="Times New Roman"/>
                <w:spacing w:val="3"/>
                <w:sz w:val="20"/>
                <w:szCs w:val="20"/>
                <w:lang w:val="en-US" w:eastAsia="zh-CN"/>
              </w:rPr>
              <w:t>0.676</w:t>
            </w:r>
          </w:p>
        </w:tc>
        <w:tc>
          <w:tcPr>
            <w:tcW w:w="952" w:type="dxa"/>
            <w:tcBorders>
              <w:top w:val="single" w:color="auto" w:sz="4" w:space="0"/>
              <w:left w:val="single" w:color="auto" w:sz="4" w:space="0"/>
              <w:bottom w:val="single" w:color="auto" w:sz="4" w:space="0"/>
              <w:right w:val="single" w:color="auto" w:sz="4" w:space="0"/>
            </w:tcBorders>
            <w:vAlign w:val="center"/>
          </w:tcPr>
          <w:p w14:paraId="53B72183">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hint="default" w:ascii="Times New Roman" w:hAnsi="Times New Roman" w:eastAsia="Times New Roman" w:cs="Times New Roman"/>
                <w:spacing w:val="3"/>
                <w:sz w:val="20"/>
                <w:szCs w:val="20"/>
                <w:lang w:val="en-US" w:eastAsia="zh-CN"/>
              </w:rPr>
            </w:pPr>
            <w:r>
              <w:rPr>
                <w:rFonts w:hint="eastAsia" w:eastAsia="Times New Roman" w:cs="Times New Roman"/>
                <w:spacing w:val="3"/>
                <w:sz w:val="20"/>
                <w:szCs w:val="20"/>
                <w:lang w:val="en-US" w:eastAsia="zh-CN"/>
              </w:rPr>
              <w:t>140</w:t>
            </w:r>
          </w:p>
        </w:tc>
        <w:tc>
          <w:tcPr>
            <w:tcW w:w="1138" w:type="dxa"/>
            <w:tcBorders>
              <w:top w:val="single" w:color="auto" w:sz="4" w:space="0"/>
              <w:left w:val="single" w:color="auto" w:sz="4" w:space="0"/>
              <w:bottom w:val="single" w:color="auto" w:sz="4" w:space="0"/>
              <w:right w:val="single" w:color="auto" w:sz="12" w:space="0"/>
            </w:tcBorders>
            <w:vAlign w:val="center"/>
          </w:tcPr>
          <w:p w14:paraId="279219DD">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hint="default" w:ascii="Times New Roman" w:hAnsi="Times New Roman" w:eastAsia="Times New Roman" w:cs="Times New Roman"/>
                <w:spacing w:val="3"/>
                <w:sz w:val="20"/>
                <w:szCs w:val="20"/>
                <w:lang w:val="en-US" w:eastAsia="zh-CN"/>
              </w:rPr>
            </w:pPr>
            <w:r>
              <w:rPr>
                <w:rFonts w:hint="eastAsia" w:eastAsia="Times New Roman" w:cs="Times New Roman"/>
                <w:spacing w:val="3"/>
                <w:sz w:val="20"/>
                <w:szCs w:val="20"/>
                <w:lang w:val="en-US" w:eastAsia="zh-CN"/>
              </w:rPr>
              <w:t>79</w:t>
            </w:r>
          </w:p>
        </w:tc>
      </w:tr>
      <w:tr w14:paraId="5E3D1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1097" w:type="dxa"/>
            <w:tcBorders>
              <w:top w:val="single" w:color="auto" w:sz="4" w:space="0"/>
              <w:left w:val="single" w:color="auto" w:sz="12" w:space="0"/>
              <w:bottom w:val="single" w:color="auto" w:sz="4" w:space="0"/>
              <w:right w:val="single" w:color="auto" w:sz="4" w:space="0"/>
            </w:tcBorders>
            <w:shd w:val="clear" w:color="auto" w:fill="auto"/>
            <w:vAlign w:val="center"/>
          </w:tcPr>
          <w:p w14:paraId="51B9DDF8">
            <w:pPr>
              <w:pStyle w:val="22"/>
              <w:keepNext w:val="0"/>
              <w:keepLines w:val="0"/>
              <w:pageBreakBefore w:val="0"/>
              <w:widowControl w:val="0"/>
              <w:kinsoku/>
              <w:wordWrap/>
              <w:overflowPunct w:val="0"/>
              <w:topLinePunct w:val="0"/>
              <w:autoSpaceDE w:val="0"/>
              <w:autoSpaceDN w:val="0"/>
              <w:bidi w:val="0"/>
              <w:adjustRightInd w:val="0"/>
              <w:snapToGrid w:val="0"/>
              <w:spacing w:before="32" w:line="240" w:lineRule="auto"/>
              <w:ind w:left="0" w:leftChars="0" w:firstLine="0" w:firstLineChars="0"/>
              <w:jc w:val="both"/>
              <w:textAlignment w:val="baseline"/>
              <w:rPr>
                <w:rFonts w:hint="eastAsia" w:ascii="Times New Roman" w:hAnsi="Times New Roman" w:eastAsia="楷体_GB2312" w:cs="Times New Roman"/>
                <w:snapToGrid w:val="0"/>
                <w:color w:val="000000"/>
                <w:kern w:val="0"/>
                <w:sz w:val="20"/>
                <w:szCs w:val="20"/>
                <w:lang w:val="en-US" w:eastAsia="zh-CN" w:bidi="ar-SA"/>
              </w:rPr>
            </w:pPr>
            <w:r>
              <w:rPr>
                <w:rFonts w:hint="eastAsia"/>
                <w:spacing w:val="-1"/>
                <w:sz w:val="20"/>
                <w:szCs w:val="20"/>
                <w:lang w:val="en-US" w:eastAsia="zh-CN"/>
              </w:rPr>
              <w:t>吴忠市</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14:paraId="7B8EF3A7">
            <w:pPr>
              <w:keepNext w:val="0"/>
              <w:keepLines w:val="0"/>
              <w:pageBreakBefore w:val="0"/>
              <w:widowControl w:val="0"/>
              <w:kinsoku/>
              <w:wordWrap/>
              <w:overflowPunct w:val="0"/>
              <w:topLinePunct w:val="0"/>
              <w:autoSpaceDE w:val="0"/>
              <w:autoSpaceDN w:val="0"/>
              <w:bidi w:val="0"/>
              <w:adjustRightInd w:val="0"/>
              <w:snapToGrid w:val="0"/>
              <w:spacing w:before="68" w:line="240" w:lineRule="auto"/>
              <w:ind w:left="0" w:leftChars="0" w:firstLine="0" w:firstLineChars="0"/>
              <w:jc w:val="both"/>
              <w:textAlignment w:val="baseline"/>
              <w:rPr>
                <w:rFonts w:ascii="Times New Roman" w:hAnsi="Times New Roman" w:eastAsia="Times New Roman" w:cs="Times New Roman"/>
                <w:snapToGrid w:val="0"/>
                <w:color w:val="auto"/>
                <w:kern w:val="0"/>
                <w:sz w:val="20"/>
                <w:szCs w:val="20"/>
                <w:lang w:val="en-US" w:eastAsia="en-US" w:bidi="ar-SA"/>
              </w:rPr>
            </w:pPr>
            <w:r>
              <w:rPr>
                <w:rFonts w:ascii="Times New Roman" w:hAnsi="Times New Roman" w:eastAsia="Times New Roman" w:cs="Times New Roman"/>
                <w:color w:val="auto"/>
                <w:spacing w:val="-1"/>
                <w:sz w:val="20"/>
                <w:szCs w:val="20"/>
              </w:rPr>
              <w:t>1201</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6FA98347">
            <w:pPr>
              <w:keepNext w:val="0"/>
              <w:keepLines w:val="0"/>
              <w:pageBreakBefore w:val="0"/>
              <w:widowControl w:val="0"/>
              <w:kinsoku/>
              <w:wordWrap/>
              <w:overflowPunct w:val="0"/>
              <w:topLinePunct w:val="0"/>
              <w:autoSpaceDE w:val="0"/>
              <w:autoSpaceDN w:val="0"/>
              <w:bidi w:val="0"/>
              <w:adjustRightInd w:val="0"/>
              <w:snapToGrid w:val="0"/>
              <w:spacing w:before="68"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3"/>
                <w:sz w:val="20"/>
                <w:szCs w:val="20"/>
              </w:rPr>
              <w:t>187</w:t>
            </w:r>
          </w:p>
        </w:tc>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14:paraId="14A7EBFC">
            <w:pPr>
              <w:keepNext w:val="0"/>
              <w:keepLines w:val="0"/>
              <w:pageBreakBefore w:val="0"/>
              <w:widowControl w:val="0"/>
              <w:kinsoku/>
              <w:wordWrap/>
              <w:overflowPunct w:val="0"/>
              <w:topLinePunct w:val="0"/>
              <w:autoSpaceDE w:val="0"/>
              <w:autoSpaceDN w:val="0"/>
              <w:bidi w:val="0"/>
              <w:adjustRightInd w:val="0"/>
              <w:snapToGrid w:val="0"/>
              <w:spacing w:before="68"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2"/>
                <w:sz w:val="20"/>
                <w:szCs w:val="20"/>
              </w:rPr>
              <w:t>14.3</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14:paraId="1E88A242">
            <w:pPr>
              <w:keepNext w:val="0"/>
              <w:keepLines w:val="0"/>
              <w:pageBreakBefore w:val="0"/>
              <w:widowControl w:val="0"/>
              <w:kinsoku/>
              <w:wordWrap/>
              <w:overflowPunct w:val="0"/>
              <w:topLinePunct w:val="0"/>
              <w:autoSpaceDE w:val="0"/>
              <w:autoSpaceDN w:val="0"/>
              <w:bidi w:val="0"/>
              <w:adjustRightInd w:val="0"/>
              <w:snapToGrid w:val="0"/>
              <w:spacing w:before="68"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4"/>
                <w:sz w:val="20"/>
                <w:szCs w:val="20"/>
              </w:rPr>
              <w:t>470</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4EC19679">
            <w:pPr>
              <w:keepNext w:val="0"/>
              <w:keepLines w:val="0"/>
              <w:pageBreakBefore w:val="0"/>
              <w:widowControl w:val="0"/>
              <w:kinsoku/>
              <w:wordWrap/>
              <w:overflowPunct w:val="0"/>
              <w:topLinePunct w:val="0"/>
              <w:autoSpaceDE w:val="0"/>
              <w:autoSpaceDN w:val="0"/>
              <w:bidi w:val="0"/>
              <w:adjustRightInd w:val="0"/>
              <w:snapToGrid w:val="0"/>
              <w:spacing w:before="68"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3"/>
                <w:sz w:val="20"/>
                <w:szCs w:val="20"/>
              </w:rPr>
              <w:t>0.598</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14:paraId="1DC7E415">
            <w:pPr>
              <w:keepNext w:val="0"/>
              <w:keepLines w:val="0"/>
              <w:pageBreakBefore w:val="0"/>
              <w:widowControl w:val="0"/>
              <w:kinsoku/>
              <w:wordWrap/>
              <w:overflowPunct w:val="0"/>
              <w:topLinePunct w:val="0"/>
              <w:autoSpaceDE w:val="0"/>
              <w:autoSpaceDN w:val="0"/>
              <w:bidi w:val="0"/>
              <w:adjustRightInd w:val="0"/>
              <w:snapToGrid w:val="0"/>
              <w:spacing w:before="68"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3"/>
                <w:sz w:val="20"/>
                <w:szCs w:val="20"/>
              </w:rPr>
              <w:t>141</w:t>
            </w:r>
          </w:p>
        </w:tc>
        <w:tc>
          <w:tcPr>
            <w:tcW w:w="1138" w:type="dxa"/>
            <w:tcBorders>
              <w:top w:val="single" w:color="auto" w:sz="4" w:space="0"/>
              <w:left w:val="single" w:color="auto" w:sz="4" w:space="0"/>
              <w:bottom w:val="single" w:color="auto" w:sz="4" w:space="0"/>
              <w:right w:val="single" w:color="auto" w:sz="12" w:space="0"/>
            </w:tcBorders>
            <w:shd w:val="clear" w:color="auto" w:fill="auto"/>
            <w:vAlign w:val="center"/>
          </w:tcPr>
          <w:p w14:paraId="525E346B">
            <w:pPr>
              <w:keepNext w:val="0"/>
              <w:keepLines w:val="0"/>
              <w:pageBreakBefore w:val="0"/>
              <w:widowControl w:val="0"/>
              <w:kinsoku/>
              <w:wordWrap/>
              <w:overflowPunct w:val="0"/>
              <w:topLinePunct w:val="0"/>
              <w:autoSpaceDE w:val="0"/>
              <w:autoSpaceDN w:val="0"/>
              <w:bidi w:val="0"/>
              <w:adjustRightInd w:val="0"/>
              <w:snapToGrid w:val="0"/>
              <w:spacing w:before="68"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z w:val="20"/>
                <w:szCs w:val="20"/>
              </w:rPr>
              <w:t>69</w:t>
            </w:r>
          </w:p>
        </w:tc>
      </w:tr>
      <w:tr w14:paraId="4A98E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1097" w:type="dxa"/>
            <w:tcBorders>
              <w:top w:val="single" w:color="auto" w:sz="4" w:space="0"/>
              <w:left w:val="single" w:color="auto" w:sz="12" w:space="0"/>
              <w:bottom w:val="single" w:color="auto" w:sz="12" w:space="0"/>
              <w:right w:val="single" w:color="auto" w:sz="4" w:space="0"/>
            </w:tcBorders>
            <w:vAlign w:val="center"/>
          </w:tcPr>
          <w:p w14:paraId="551BAD69">
            <w:pPr>
              <w:pStyle w:val="22"/>
              <w:keepNext w:val="0"/>
              <w:keepLines w:val="0"/>
              <w:pageBreakBefore w:val="0"/>
              <w:widowControl w:val="0"/>
              <w:kinsoku/>
              <w:wordWrap/>
              <w:overflowPunct w:val="0"/>
              <w:topLinePunct w:val="0"/>
              <w:autoSpaceDE w:val="0"/>
              <w:autoSpaceDN w:val="0"/>
              <w:bidi w:val="0"/>
              <w:adjustRightInd w:val="0"/>
              <w:snapToGrid w:val="0"/>
              <w:spacing w:line="240" w:lineRule="auto"/>
              <w:ind w:left="0" w:right="0" w:firstLine="0" w:firstLineChars="0"/>
              <w:jc w:val="both"/>
              <w:textAlignment w:val="baseline"/>
              <w:rPr>
                <w:rFonts w:hint="eastAsia" w:eastAsia="楷体_GB2312"/>
                <w:spacing w:val="7"/>
                <w:sz w:val="20"/>
                <w:szCs w:val="20"/>
                <w:lang w:val="en-US" w:eastAsia="zh-CN"/>
              </w:rPr>
            </w:pPr>
            <w:r>
              <w:rPr>
                <w:rFonts w:hint="eastAsia"/>
                <w:spacing w:val="7"/>
                <w:sz w:val="20"/>
                <w:szCs w:val="20"/>
                <w:lang w:val="en-US" w:eastAsia="zh-CN"/>
              </w:rPr>
              <w:t>宁夏</w:t>
            </w:r>
          </w:p>
        </w:tc>
        <w:tc>
          <w:tcPr>
            <w:tcW w:w="771" w:type="dxa"/>
            <w:tcBorders>
              <w:top w:val="single" w:color="auto" w:sz="4" w:space="0"/>
              <w:left w:val="single" w:color="auto" w:sz="4" w:space="0"/>
              <w:bottom w:val="single" w:color="auto" w:sz="12" w:space="0"/>
              <w:right w:val="single" w:color="auto" w:sz="4" w:space="0"/>
            </w:tcBorders>
            <w:shd w:val="clear" w:color="auto" w:fill="auto"/>
            <w:vAlign w:val="center"/>
          </w:tcPr>
          <w:p w14:paraId="5253E013">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z w:val="20"/>
                <w:szCs w:val="20"/>
              </w:rPr>
              <w:t>889</w:t>
            </w:r>
          </w:p>
        </w:tc>
        <w:tc>
          <w:tcPr>
            <w:tcW w:w="913" w:type="dxa"/>
            <w:tcBorders>
              <w:top w:val="single" w:color="auto" w:sz="4" w:space="0"/>
              <w:left w:val="single" w:color="auto" w:sz="4" w:space="0"/>
              <w:bottom w:val="single" w:color="auto" w:sz="12" w:space="0"/>
              <w:right w:val="single" w:color="auto" w:sz="4" w:space="0"/>
            </w:tcBorders>
            <w:shd w:val="clear" w:color="auto" w:fill="auto"/>
            <w:vAlign w:val="center"/>
          </w:tcPr>
          <w:p w14:paraId="15DD34A8">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3"/>
                <w:sz w:val="20"/>
                <w:szCs w:val="20"/>
              </w:rPr>
              <w:t>122</w:t>
            </w:r>
          </w:p>
        </w:tc>
        <w:tc>
          <w:tcPr>
            <w:tcW w:w="1321" w:type="dxa"/>
            <w:tcBorders>
              <w:top w:val="single" w:color="auto" w:sz="4" w:space="0"/>
              <w:left w:val="single" w:color="auto" w:sz="4" w:space="0"/>
              <w:bottom w:val="single" w:color="auto" w:sz="12" w:space="0"/>
              <w:right w:val="single" w:color="auto" w:sz="4" w:space="0"/>
            </w:tcBorders>
            <w:shd w:val="clear" w:color="auto" w:fill="auto"/>
            <w:vAlign w:val="center"/>
          </w:tcPr>
          <w:p w14:paraId="4866D566">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3"/>
                <w:sz w:val="20"/>
                <w:szCs w:val="20"/>
              </w:rPr>
              <w:t>22.8</w:t>
            </w:r>
          </w:p>
        </w:tc>
        <w:tc>
          <w:tcPr>
            <w:tcW w:w="1016" w:type="dxa"/>
            <w:tcBorders>
              <w:top w:val="single" w:color="auto" w:sz="4" w:space="0"/>
              <w:left w:val="single" w:color="auto" w:sz="4" w:space="0"/>
              <w:bottom w:val="single" w:color="auto" w:sz="12" w:space="0"/>
              <w:right w:val="single" w:color="auto" w:sz="4" w:space="0"/>
            </w:tcBorders>
            <w:shd w:val="clear" w:color="auto" w:fill="auto"/>
            <w:vAlign w:val="center"/>
          </w:tcPr>
          <w:p w14:paraId="1895DB06">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1"/>
                <w:sz w:val="20"/>
                <w:szCs w:val="20"/>
              </w:rPr>
              <w:t>515</w:t>
            </w:r>
          </w:p>
        </w:tc>
        <w:tc>
          <w:tcPr>
            <w:tcW w:w="1314" w:type="dxa"/>
            <w:tcBorders>
              <w:top w:val="single" w:color="auto" w:sz="4" w:space="0"/>
              <w:left w:val="single" w:color="auto" w:sz="4" w:space="0"/>
              <w:bottom w:val="single" w:color="auto" w:sz="12" w:space="0"/>
              <w:right w:val="single" w:color="auto" w:sz="4" w:space="0"/>
            </w:tcBorders>
            <w:shd w:val="clear" w:color="auto" w:fill="auto"/>
            <w:vAlign w:val="center"/>
          </w:tcPr>
          <w:p w14:paraId="51A897F8">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3"/>
                <w:sz w:val="20"/>
                <w:szCs w:val="20"/>
              </w:rPr>
              <w:t>0.579</w:t>
            </w:r>
          </w:p>
        </w:tc>
        <w:tc>
          <w:tcPr>
            <w:tcW w:w="952" w:type="dxa"/>
            <w:tcBorders>
              <w:top w:val="single" w:color="auto" w:sz="4" w:space="0"/>
              <w:left w:val="single" w:color="auto" w:sz="4" w:space="0"/>
              <w:bottom w:val="single" w:color="auto" w:sz="12" w:space="0"/>
              <w:right w:val="single" w:color="auto" w:sz="4" w:space="0"/>
            </w:tcBorders>
            <w:shd w:val="clear" w:color="auto" w:fill="auto"/>
            <w:vAlign w:val="center"/>
          </w:tcPr>
          <w:p w14:paraId="1CDF0C79">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pacing w:val="-3"/>
                <w:sz w:val="20"/>
                <w:szCs w:val="20"/>
              </w:rPr>
              <w:t>174</w:t>
            </w:r>
          </w:p>
        </w:tc>
        <w:tc>
          <w:tcPr>
            <w:tcW w:w="1138" w:type="dxa"/>
            <w:tcBorders>
              <w:top w:val="single" w:color="auto" w:sz="4" w:space="0"/>
              <w:left w:val="single" w:color="auto" w:sz="4" w:space="0"/>
              <w:bottom w:val="single" w:color="auto" w:sz="12" w:space="0"/>
              <w:right w:val="single" w:color="auto" w:sz="12" w:space="0"/>
            </w:tcBorders>
            <w:shd w:val="clear" w:color="auto" w:fill="auto"/>
            <w:vAlign w:val="center"/>
          </w:tcPr>
          <w:p w14:paraId="769A6663">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firstLine="0" w:firstLineChars="0"/>
              <w:jc w:val="both"/>
              <w:textAlignment w:val="baseline"/>
              <w:rPr>
                <w:rFonts w:ascii="Times New Roman" w:hAnsi="Times New Roman" w:eastAsia="Times New Roman" w:cs="Times New Roman"/>
                <w:snapToGrid w:val="0"/>
                <w:color w:val="000000"/>
                <w:kern w:val="0"/>
                <w:sz w:val="20"/>
                <w:szCs w:val="20"/>
                <w:lang w:val="en-US" w:eastAsia="en-US" w:bidi="ar-SA"/>
              </w:rPr>
            </w:pPr>
            <w:r>
              <w:rPr>
                <w:rFonts w:ascii="Times New Roman" w:hAnsi="Times New Roman" w:eastAsia="Times New Roman" w:cs="Times New Roman"/>
                <w:sz w:val="20"/>
                <w:szCs w:val="20"/>
              </w:rPr>
              <w:t>66</w:t>
            </w:r>
          </w:p>
        </w:tc>
      </w:tr>
    </w:tbl>
    <w:p w14:paraId="41F087D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bookmarkStart w:id="83" w:name="_Toc9955"/>
      <w:bookmarkStart w:id="84" w:name="_Toc27514"/>
      <w:bookmarkStart w:id="85" w:name="_Toc25881"/>
      <w:r>
        <w:rPr>
          <w:rFonts w:hint="eastAsia"/>
          <w:b/>
          <w:bCs/>
          <w:lang w:val="en-US" w:eastAsia="zh-CN"/>
        </w:rPr>
        <w:t>2.</w:t>
      </w:r>
      <w:r>
        <w:rPr>
          <w:rFonts w:hint="eastAsia"/>
          <w:b/>
          <w:bCs/>
          <w:lang w:eastAsia="zh-CN"/>
        </w:rPr>
        <w:t>节水潜力分析</w:t>
      </w:r>
      <w:bookmarkEnd w:id="83"/>
      <w:bookmarkEnd w:id="84"/>
      <w:bookmarkEnd w:id="85"/>
    </w:p>
    <w:p w14:paraId="6107B9E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根据经济合理、技术可行的原则，选择同类可比的国内先进用水效率指标为参照，考虑节水成本增加、边际效益递减等因素，至2035年通过采取节水措施，未来全区总节水潜力</w:t>
      </w:r>
      <w:r>
        <w:rPr>
          <w:rFonts w:hint="eastAsia"/>
          <w:lang w:val="en-US" w:eastAsia="zh-CN"/>
        </w:rPr>
        <w:t>0.29</w:t>
      </w:r>
      <w:r>
        <w:rPr>
          <w:rFonts w:hint="eastAsia"/>
          <w:lang w:eastAsia="zh-CN"/>
        </w:rPr>
        <w:t>亿m</w:t>
      </w:r>
      <w:r>
        <w:rPr>
          <w:rFonts w:hint="eastAsia"/>
          <w:vertAlign w:val="superscript"/>
          <w:lang w:eastAsia="zh-CN"/>
        </w:rPr>
        <w:t>3</w:t>
      </w:r>
      <w:r>
        <w:rPr>
          <w:rFonts w:hint="eastAsia"/>
          <w:lang w:eastAsia="zh-CN"/>
        </w:rPr>
        <w:t>，农田灌溉水有效利用系数从0.676提高到0.</w:t>
      </w:r>
      <w:r>
        <w:rPr>
          <w:rFonts w:hint="eastAsia"/>
          <w:lang w:val="en-US" w:eastAsia="zh-CN"/>
        </w:rPr>
        <w:t>7</w:t>
      </w:r>
      <w:r>
        <w:rPr>
          <w:rFonts w:hint="eastAsia"/>
          <w:lang w:eastAsia="zh-CN"/>
        </w:rPr>
        <w:t>，农田灌溉毛定额从</w:t>
      </w:r>
      <w:r>
        <w:rPr>
          <w:rFonts w:hint="eastAsia"/>
          <w:lang w:val="en-US" w:eastAsia="zh-CN"/>
        </w:rPr>
        <w:t>396</w:t>
      </w:r>
      <w:r>
        <w:rPr>
          <w:rFonts w:hint="eastAsia"/>
          <w:lang w:eastAsia="zh-CN"/>
        </w:rPr>
        <w:t xml:space="preserve"> m</w:t>
      </w:r>
      <w:r>
        <w:rPr>
          <w:rFonts w:hint="eastAsia"/>
          <w:vertAlign w:val="superscript"/>
          <w:lang w:eastAsia="zh-CN"/>
        </w:rPr>
        <w:t>3</w:t>
      </w:r>
      <w:r>
        <w:rPr>
          <w:rFonts w:hint="eastAsia"/>
          <w:lang w:eastAsia="zh-CN"/>
        </w:rPr>
        <w:t>/亩下降至</w:t>
      </w:r>
      <w:r>
        <w:rPr>
          <w:rFonts w:hint="eastAsia"/>
          <w:lang w:val="en-US" w:eastAsia="zh-CN"/>
        </w:rPr>
        <w:t>348</w:t>
      </w:r>
      <w:r>
        <w:rPr>
          <w:rFonts w:hint="eastAsia"/>
          <w:lang w:eastAsia="zh-CN"/>
        </w:rPr>
        <w:t>m</w:t>
      </w:r>
      <w:r>
        <w:rPr>
          <w:rFonts w:hint="eastAsia"/>
          <w:vertAlign w:val="superscript"/>
          <w:lang w:eastAsia="zh-CN"/>
        </w:rPr>
        <w:t>3</w:t>
      </w:r>
      <w:r>
        <w:rPr>
          <w:rFonts w:hint="eastAsia"/>
          <w:lang w:eastAsia="zh-CN"/>
        </w:rPr>
        <w:t>/亩；万元工业增加值用水量从</w:t>
      </w:r>
      <w:r>
        <w:rPr>
          <w:rFonts w:hint="eastAsia"/>
          <w:lang w:val="en-US" w:eastAsia="zh-CN"/>
        </w:rPr>
        <w:t>25.8</w:t>
      </w:r>
      <w:r>
        <w:rPr>
          <w:rFonts w:hint="eastAsia"/>
          <w:lang w:eastAsia="zh-CN"/>
        </w:rPr>
        <w:t>m</w:t>
      </w:r>
      <w:r>
        <w:rPr>
          <w:rFonts w:hint="eastAsia"/>
          <w:vertAlign w:val="superscript"/>
          <w:lang w:eastAsia="zh-CN"/>
        </w:rPr>
        <w:t>3</w:t>
      </w:r>
      <w:r>
        <w:rPr>
          <w:rFonts w:hint="eastAsia"/>
          <w:lang w:eastAsia="zh-CN"/>
        </w:rPr>
        <w:t>/万元下降至</w:t>
      </w:r>
      <w:r>
        <w:rPr>
          <w:rFonts w:hint="eastAsia"/>
          <w:lang w:val="en-US" w:eastAsia="zh-CN"/>
        </w:rPr>
        <w:t>22.9</w:t>
      </w:r>
      <w:r>
        <w:rPr>
          <w:rFonts w:hint="eastAsia"/>
          <w:lang w:eastAsia="zh-CN"/>
        </w:rPr>
        <w:t>m</w:t>
      </w:r>
      <w:r>
        <w:rPr>
          <w:rFonts w:hint="eastAsia"/>
          <w:vertAlign w:val="superscript"/>
          <w:lang w:eastAsia="zh-CN"/>
        </w:rPr>
        <w:t>3</w:t>
      </w:r>
      <w:r>
        <w:rPr>
          <w:rFonts w:hint="eastAsia"/>
          <w:lang w:eastAsia="zh-CN"/>
        </w:rPr>
        <w:t>/万元；城镇供水管网漏损率控制在9%以内。</w:t>
      </w:r>
    </w:p>
    <w:p w14:paraId="4DF14E41">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其中，农业最大节水潜力为</w:t>
      </w:r>
      <w:r>
        <w:rPr>
          <w:rFonts w:hint="eastAsia" w:ascii="仿宋_GB2312" w:hAnsi="仿宋_GB2312" w:eastAsia="仿宋_GB2312" w:cs="仿宋_GB2312"/>
          <w:color w:val="auto"/>
          <w:highlight w:val="none"/>
          <w:lang w:val="en-US" w:eastAsia="zh-CN"/>
        </w:rPr>
        <w:t>0.</w:t>
      </w:r>
      <w:r>
        <w:rPr>
          <w:rFonts w:hint="eastAsia" w:ascii="仿宋_GB2312" w:hAnsi="仿宋_GB2312" w:cs="仿宋_GB2312"/>
          <w:color w:val="auto"/>
          <w:highlight w:val="none"/>
          <w:lang w:val="en-US" w:eastAsia="zh-CN"/>
        </w:rPr>
        <w:t>24</w:t>
      </w:r>
      <w:r>
        <w:rPr>
          <w:rFonts w:hint="eastAsia" w:ascii="仿宋_GB2312" w:hAnsi="仿宋_GB2312" w:eastAsia="仿宋_GB2312" w:cs="仿宋_GB2312"/>
          <w:color w:val="auto"/>
          <w:highlight w:val="none"/>
          <w:lang w:eastAsia="zh-CN"/>
        </w:rPr>
        <w:t>亿m</w:t>
      </w:r>
      <w:r>
        <w:rPr>
          <w:rFonts w:hint="eastAsia" w:ascii="方正仿宋_GB2312" w:hAnsi="方正仿宋_GB2312" w:eastAsia="方正仿宋_GB2312" w:cs="方正仿宋_GB2312"/>
          <w:color w:val="auto"/>
          <w:highlight w:val="none"/>
          <w:vertAlign w:val="superscript"/>
          <w:lang w:eastAsia="zh-CN"/>
        </w:rPr>
        <w:t>3</w:t>
      </w:r>
      <w:r>
        <w:rPr>
          <w:rFonts w:hint="eastAsia" w:ascii="仿宋_GB2312" w:hAnsi="仿宋_GB2312" w:eastAsia="仿宋_GB2312" w:cs="仿宋_GB2312"/>
          <w:color w:val="auto"/>
          <w:highlight w:val="none"/>
          <w:lang w:eastAsia="zh-CN"/>
        </w:rPr>
        <w:t>，工业节水潜力0.</w:t>
      </w:r>
      <w:r>
        <w:rPr>
          <w:rFonts w:hint="eastAsia" w:ascii="仿宋_GB2312" w:hAnsi="仿宋_GB2312" w:eastAsia="仿宋_GB2312" w:cs="仿宋_GB2312"/>
          <w:color w:val="auto"/>
          <w:highlight w:val="none"/>
          <w:lang w:val="en-US" w:eastAsia="zh-CN"/>
        </w:rPr>
        <w:t>03</w:t>
      </w:r>
      <w:r>
        <w:rPr>
          <w:rFonts w:hint="eastAsia" w:ascii="仿宋_GB2312" w:hAnsi="仿宋_GB2312" w:eastAsia="仿宋_GB2312" w:cs="仿宋_GB2312"/>
          <w:color w:val="auto"/>
          <w:highlight w:val="none"/>
          <w:lang w:eastAsia="zh-CN"/>
        </w:rPr>
        <w:t>亿m</w:t>
      </w:r>
      <w:r>
        <w:rPr>
          <w:rFonts w:hint="eastAsia" w:ascii="方正仿宋_GB2312" w:hAnsi="方正仿宋_GB2312" w:eastAsia="方正仿宋_GB2312" w:cs="方正仿宋_GB2312"/>
          <w:color w:val="auto"/>
          <w:highlight w:val="none"/>
          <w:vertAlign w:val="superscript"/>
          <w:lang w:eastAsia="zh-CN"/>
        </w:rPr>
        <w:t>3</w:t>
      </w:r>
      <w:r>
        <w:rPr>
          <w:rFonts w:hint="eastAsia" w:ascii="仿宋_GB2312" w:hAnsi="仿宋_GB2312" w:eastAsia="仿宋_GB2312" w:cs="仿宋_GB2312"/>
          <w:color w:val="auto"/>
          <w:highlight w:val="none"/>
          <w:lang w:eastAsia="zh-CN"/>
        </w:rPr>
        <w:t>，生活节水潜力</w:t>
      </w:r>
      <w:r>
        <w:rPr>
          <w:rFonts w:hint="eastAsia" w:ascii="仿宋_GB2312" w:hAnsi="仿宋_GB2312" w:eastAsia="仿宋_GB2312" w:cs="仿宋_GB2312"/>
          <w:color w:val="auto"/>
          <w:highlight w:val="none"/>
          <w:lang w:val="en-US" w:eastAsia="zh-CN"/>
        </w:rPr>
        <w:t>0.02</w:t>
      </w:r>
      <w:r>
        <w:rPr>
          <w:rFonts w:hint="eastAsia" w:ascii="仿宋_GB2312" w:hAnsi="仿宋_GB2312" w:eastAsia="仿宋_GB2312" w:cs="仿宋_GB2312"/>
          <w:color w:val="auto"/>
          <w:highlight w:val="none"/>
          <w:lang w:eastAsia="zh-CN"/>
        </w:rPr>
        <w:t>亿m</w:t>
      </w:r>
      <w:r>
        <w:rPr>
          <w:rFonts w:hint="eastAsia" w:ascii="方正仿宋_GB2312" w:hAnsi="方正仿宋_GB2312" w:eastAsia="方正仿宋_GB2312" w:cs="方正仿宋_GB2312"/>
          <w:color w:val="auto"/>
          <w:highlight w:val="none"/>
          <w:vertAlign w:val="superscript"/>
          <w:lang w:eastAsia="zh-CN"/>
        </w:rPr>
        <w:t>3</w:t>
      </w:r>
      <w:r>
        <w:rPr>
          <w:rFonts w:hint="eastAsia" w:ascii="仿宋_GB2312" w:hAnsi="仿宋_GB2312" w:eastAsia="仿宋_GB2312" w:cs="仿宋_GB2312"/>
          <w:color w:val="auto"/>
          <w:highlight w:val="none"/>
          <w:lang w:eastAsia="zh-CN"/>
        </w:rPr>
        <w:t>。</w:t>
      </w:r>
    </w:p>
    <w:p w14:paraId="09E25D6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r>
        <w:rPr>
          <w:rFonts w:hint="eastAsia"/>
          <w:b/>
          <w:bCs/>
          <w:lang w:val="en-US" w:eastAsia="zh-CN"/>
        </w:rPr>
        <w:t>3.</w:t>
      </w:r>
      <w:r>
        <w:rPr>
          <w:rFonts w:hint="eastAsia"/>
          <w:b/>
          <w:bCs/>
          <w:lang w:eastAsia="zh-CN"/>
        </w:rPr>
        <w:t>全面加大节水力度</w:t>
      </w:r>
    </w:p>
    <w:p w14:paraId="4D11602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大力推进农业节水领跑、工业节水增效、城镇节水普及， 加大节水技术装备推广应用，深挖全程全产全域全民节水潜力，不断提升水资源利用效率，加快形成自觉的绿色生产生 活用水方式，以用水方式转变推动发展方式转变、经济结构优化、增长动力转换。</w:t>
      </w:r>
    </w:p>
    <w:p w14:paraId="62AD276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b/>
          <w:bCs/>
          <w:lang w:val="en-US" w:eastAsia="zh-CN"/>
        </w:rPr>
        <w:t>推进农业节水。</w:t>
      </w:r>
      <w:r>
        <w:rPr>
          <w:rFonts w:hint="default"/>
          <w:lang w:val="en-US" w:eastAsia="zh-CN"/>
        </w:rPr>
        <w:t>严格控制耕地、园地灌溉面积，不得借助新建、扩建、改建项目擅自增大灌溉面积，研究违规开发的灌溉面积有序退出，探索轮耕、休耕机制。开展农业适水发展研究，科学确定</w:t>
      </w:r>
      <w:r>
        <w:rPr>
          <w:rFonts w:hint="eastAsia"/>
          <w:lang w:val="en-US" w:eastAsia="zh-CN"/>
        </w:rPr>
        <w:t>红寺堡区</w:t>
      </w:r>
      <w:r>
        <w:rPr>
          <w:rFonts w:hint="default"/>
          <w:lang w:val="en-US" w:eastAsia="zh-CN"/>
        </w:rPr>
        <w:t>适宜发展的农业灌溉面积和种植布局，在农业用水总量控制的前提下，提出保障农业发展又兼顾生态环境不恶化的最优方案。到 2030年，灌区灌溉设施完好率达到 90% ，高效节灌率达到 65%，灌溉水利用系数提升至 0.</w:t>
      </w:r>
      <w:r>
        <w:rPr>
          <w:rFonts w:hint="eastAsia"/>
          <w:lang w:val="en-US" w:eastAsia="zh-CN"/>
        </w:rPr>
        <w:t>7</w:t>
      </w:r>
      <w:r>
        <w:rPr>
          <w:rFonts w:hint="default"/>
          <w:lang w:val="en-US" w:eastAsia="zh-CN"/>
        </w:rPr>
        <w:t xml:space="preserve"> 。到2035年，灌区灌溉设施完好率达到 95%，高效节灌覆盖率达到 </w:t>
      </w:r>
      <w:r>
        <w:rPr>
          <w:rFonts w:hint="eastAsia"/>
          <w:lang w:val="en-US" w:eastAsia="zh-CN"/>
        </w:rPr>
        <w:t>80</w:t>
      </w:r>
      <w:r>
        <w:rPr>
          <w:rFonts w:hint="default"/>
          <w:lang w:val="en-US" w:eastAsia="zh-CN"/>
        </w:rPr>
        <w:t>%以上，农田灌溉水有效利用系数达到 0.</w:t>
      </w:r>
      <w:r>
        <w:rPr>
          <w:rFonts w:hint="eastAsia"/>
          <w:lang w:val="en-US" w:eastAsia="zh-CN"/>
        </w:rPr>
        <w:t>7以上</w:t>
      </w:r>
      <w:r>
        <w:rPr>
          <w:rFonts w:hint="default"/>
          <w:lang w:val="en-US" w:eastAsia="zh-CN"/>
        </w:rPr>
        <w:t>。</w:t>
      </w:r>
    </w:p>
    <w:p w14:paraId="1BAEAE6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color w:val="auto"/>
          <w:lang w:val="en-US" w:eastAsia="zh-CN"/>
        </w:rPr>
      </w:pPr>
      <w:r>
        <w:rPr>
          <w:rFonts w:hint="default"/>
          <w:b/>
          <w:bCs/>
          <w:color w:val="auto"/>
          <w:lang w:val="en-US" w:eastAsia="zh-CN"/>
        </w:rPr>
        <w:t>强化企业和园区集约用水</w:t>
      </w:r>
      <w:r>
        <w:rPr>
          <w:rFonts w:hint="eastAsia"/>
          <w:b/>
          <w:bCs/>
          <w:color w:val="auto"/>
          <w:lang w:val="en-US" w:eastAsia="zh-CN"/>
        </w:rPr>
        <w:t>。</w:t>
      </w:r>
      <w:r>
        <w:rPr>
          <w:rFonts w:hint="default"/>
          <w:color w:val="auto"/>
          <w:lang w:val="en-US" w:eastAsia="zh-CN"/>
        </w:rPr>
        <w:t>推进工业园区节水及水循环利用设施建设，实施工业污水处理回用项目，推进节水型企业和园区建设，实施重点用水企业水效“领跑者”引领行动。紧盯清洁能源装备制造基地和劳动密集型的轻工业制造发展定位。开展工业企业水平衡测试和水效对标行动，督促水效不达标企业限期进行节水改造。新建、改建、扩建项目，严格落实节水设施“三同时”制度。到</w:t>
      </w:r>
      <w:r>
        <w:rPr>
          <w:rFonts w:hint="eastAsia"/>
          <w:color w:val="auto"/>
          <w:lang w:val="en-US" w:eastAsia="zh-CN"/>
        </w:rPr>
        <w:t>2035水平年</w:t>
      </w:r>
      <w:r>
        <w:rPr>
          <w:rFonts w:hint="default"/>
          <w:color w:val="auto"/>
          <w:lang w:val="en-US" w:eastAsia="zh-CN"/>
        </w:rPr>
        <w:t>，规模以上工业用水重复利用率达到90%，工业园区再生水回用率达到50%，年用水量100万m</w:t>
      </w:r>
      <w:r>
        <w:rPr>
          <w:rFonts w:hint="default"/>
          <w:color w:val="auto"/>
          <w:vertAlign w:val="superscript"/>
          <w:lang w:val="en-US" w:eastAsia="zh-CN"/>
        </w:rPr>
        <w:t>3</w:t>
      </w:r>
      <w:r>
        <w:rPr>
          <w:rFonts w:hint="default"/>
          <w:color w:val="auto"/>
          <w:lang w:val="en-US" w:eastAsia="zh-CN"/>
        </w:rPr>
        <w:t>以上的企业全部建成节水型企业，工业园区和年用水量10万m</w:t>
      </w:r>
      <w:r>
        <w:rPr>
          <w:rFonts w:hint="default"/>
          <w:color w:val="auto"/>
          <w:vertAlign w:val="superscript"/>
          <w:lang w:val="en-US" w:eastAsia="zh-CN"/>
        </w:rPr>
        <w:t>3</w:t>
      </w:r>
      <w:r>
        <w:rPr>
          <w:rFonts w:hint="default"/>
          <w:color w:val="auto"/>
          <w:lang w:val="en-US" w:eastAsia="zh-CN"/>
        </w:rPr>
        <w:t>及以上的工业企业全面推行水务经理管理制度。</w:t>
      </w:r>
    </w:p>
    <w:p w14:paraId="17DD4B4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b/>
          <w:bCs/>
          <w:lang w:val="en-US" w:eastAsia="zh-CN"/>
        </w:rPr>
        <w:t>深度实施生活节水普及</w:t>
      </w:r>
      <w:r>
        <w:rPr>
          <w:rFonts w:hint="eastAsia"/>
          <w:b/>
          <w:bCs/>
          <w:lang w:val="en-US" w:eastAsia="zh-CN"/>
        </w:rPr>
        <w:t>。</w:t>
      </w:r>
      <w:r>
        <w:rPr>
          <w:rFonts w:hint="eastAsia"/>
          <w:lang w:val="en-US" w:eastAsia="zh-CN"/>
        </w:rPr>
        <w:t>推进节水型城市建设，开展节水型党政机关、学校、医院、居民小区等达标建设。推广普及节水型生活器具，洗浴、洗车、宾馆强制安装有水效标识的节水器具、设备，高铁站、车站、高速公路服务区限期淘汰不符合水效标准要求的用水器具。加快老旧供水管网更新改造，降低供水管网漏损。提高公共机构用水计量信息化水平，推广智能水表，逐步实现数据自动采集、统计信息直报和管网检漏智能化。</w:t>
      </w:r>
      <w:r>
        <w:rPr>
          <w:rFonts w:hint="default"/>
          <w:lang w:val="en-US" w:eastAsia="zh-CN"/>
        </w:rPr>
        <w:t>到2030年，城市节水器具普及率达到97%，公共机构节水型单位建成率达到95%，城镇供水管网漏损率控制在9%。到2035年，城市节水器具普及率达到100%，公共机构节水型单位建成率达到96%以上，城镇供水管网漏损率控制在9%以内，逐步建立“管网高效、节具普及、一户一表、节水减排”的城镇节水模式。</w:t>
      </w:r>
    </w:p>
    <w:p w14:paraId="08D94027">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lang w:val="en-US" w:eastAsia="zh-CN"/>
        </w:rPr>
      </w:pPr>
      <w:bookmarkStart w:id="86" w:name="_Toc26918"/>
      <w:r>
        <w:rPr>
          <w:rFonts w:hint="eastAsia"/>
          <w:lang w:val="en-US" w:eastAsia="zh-CN"/>
        </w:rPr>
        <w:t>第二节  水资源供需平衡分析及配置方案</w:t>
      </w:r>
      <w:bookmarkEnd w:id="86"/>
    </w:p>
    <w:p w14:paraId="7F4CCCC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ins w:id="0" w:author="王巧娟" w:date="2024-06-14T11:38:00Z"/>
          <w:rFonts w:hint="eastAsia"/>
          <w:b/>
          <w:bCs/>
          <w:lang w:eastAsia="zh-CN"/>
        </w:rPr>
      </w:pPr>
      <w:bookmarkStart w:id="87" w:name="_Toc752"/>
      <w:bookmarkStart w:id="88" w:name="_Toc20457"/>
      <w:bookmarkStart w:id="89" w:name="_Toc7217"/>
      <w:r>
        <w:rPr>
          <w:rFonts w:hint="eastAsia"/>
          <w:b/>
          <w:bCs/>
          <w:lang w:val="en-US" w:eastAsia="zh-CN"/>
        </w:rPr>
        <w:t>1.</w:t>
      </w:r>
      <w:r>
        <w:rPr>
          <w:rFonts w:hint="eastAsia"/>
          <w:b/>
          <w:bCs/>
          <w:lang w:eastAsia="zh-CN"/>
        </w:rPr>
        <w:t>经济社会发展态势</w:t>
      </w:r>
      <w:bookmarkEnd w:id="87"/>
      <w:bookmarkEnd w:id="88"/>
      <w:bookmarkEnd w:id="89"/>
    </w:p>
    <w:p w14:paraId="7D53086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根据地区生产总值统一核算结果，2023年，全区实现地区生产总值（GDP）108.96亿元，增长12.8%，其中：第一产业实现增加值13.84亿元，增长8.7%；第二产业实现增加值59.43亿元，增长18.3%；第三产业实现增加值35.69亿元，增长7.0%。</w:t>
      </w:r>
    </w:p>
    <w:p w14:paraId="5362B80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农林牧业实现增加值14.15亿元，增长8.6%。规模以上工业增加值增长23.2%。固定资产投资增长7.5%。实现社会消费品零售总额16.46亿元，与上年持平。规模以上工业能耗增长13.1%，单位工业增加值能耗下降8.2%。完成地方一般公共预算收入2.88亿元，同口径增长25.2%；一般公共预算支出36.74亿元，增长7.9%。各银行存款余额为74.01亿元，增长8.4%；贷款余额为81.64亿元，增长19.8%；存贷比为110%。城镇居民人均可支配收入30330元，增长6.1%；农村居民人均可支配收入14107元，增长9.0%。单位GDP生产安全事故死亡率为0.0459人/亿元。</w:t>
      </w:r>
    </w:p>
    <w:p w14:paraId="14B9EA8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FF0000"/>
          <w:lang w:eastAsia="zh-CN"/>
        </w:rPr>
      </w:pPr>
      <w:r>
        <w:rPr>
          <w:rFonts w:hint="eastAsia"/>
          <w:color w:val="auto"/>
          <w:lang w:eastAsia="zh-CN"/>
        </w:rPr>
        <w:t>《宁夏回族自治区国民经济和社会发展第十四个五年规划和 2035 年远景目标纲要》提出“ 到 2035 年基本实现社会主义现代化远景目标。经济总量比 2020  年翻一番以上， 人均地区生产总值赶上全国平均水平”。预测至 2035 年，</w:t>
      </w:r>
      <w:r>
        <w:rPr>
          <w:rFonts w:hint="eastAsia"/>
          <w:color w:val="auto"/>
          <w:lang w:val="en-US" w:eastAsia="zh-CN"/>
        </w:rPr>
        <w:t>红寺堡</w:t>
      </w:r>
      <w:r>
        <w:rPr>
          <w:rFonts w:hint="eastAsia"/>
          <w:color w:val="auto"/>
          <w:lang w:eastAsia="zh-CN"/>
        </w:rPr>
        <w:t>区总人口达到</w:t>
      </w:r>
      <w:r>
        <w:rPr>
          <w:rFonts w:hint="eastAsia"/>
          <w:color w:val="auto"/>
          <w:lang w:val="en-US" w:eastAsia="zh-CN"/>
        </w:rPr>
        <w:t>23.19</w:t>
      </w:r>
      <w:r>
        <w:rPr>
          <w:rFonts w:hint="eastAsia"/>
          <w:color w:val="auto"/>
          <w:lang w:eastAsia="zh-CN"/>
        </w:rPr>
        <w:t xml:space="preserve">万人， 比现状年增加 </w:t>
      </w:r>
      <w:r>
        <w:rPr>
          <w:rFonts w:hint="eastAsia"/>
          <w:color w:val="auto"/>
          <w:lang w:val="en-US" w:eastAsia="zh-CN"/>
        </w:rPr>
        <w:t>2.83</w:t>
      </w:r>
      <w:r>
        <w:rPr>
          <w:rFonts w:hint="eastAsia"/>
          <w:color w:val="auto"/>
          <w:lang w:eastAsia="zh-CN"/>
        </w:rPr>
        <w:t xml:space="preserve">万人， 其中城镇人 口 </w:t>
      </w:r>
      <w:r>
        <w:rPr>
          <w:rFonts w:hint="eastAsia"/>
          <w:color w:val="auto"/>
          <w:lang w:val="en-US" w:eastAsia="zh-CN"/>
        </w:rPr>
        <w:t>13.61</w:t>
      </w:r>
      <w:r>
        <w:rPr>
          <w:rFonts w:hint="eastAsia"/>
          <w:color w:val="auto"/>
          <w:lang w:eastAsia="zh-CN"/>
        </w:rPr>
        <w:t xml:space="preserve">万人，城镇化率达到 </w:t>
      </w:r>
      <w:r>
        <w:rPr>
          <w:rFonts w:hint="eastAsia"/>
          <w:color w:val="auto"/>
          <w:lang w:val="en-US" w:eastAsia="zh-CN"/>
        </w:rPr>
        <w:t>60</w:t>
      </w:r>
      <w:r>
        <w:rPr>
          <w:rFonts w:hint="eastAsia"/>
          <w:color w:val="auto"/>
          <w:lang w:eastAsia="zh-CN"/>
        </w:rPr>
        <w:t xml:space="preserve">%以上；工业增加值总量达到 </w:t>
      </w:r>
      <w:r>
        <w:rPr>
          <w:rFonts w:hint="eastAsia"/>
          <w:color w:val="auto"/>
          <w:lang w:val="en-US" w:eastAsia="zh-CN"/>
        </w:rPr>
        <w:t>206.4</w:t>
      </w:r>
      <w:r>
        <w:rPr>
          <w:rFonts w:hint="eastAsia"/>
          <w:color w:val="auto"/>
          <w:lang w:eastAsia="zh-CN"/>
        </w:rPr>
        <w:t xml:space="preserve">亿元，比现状年增加 </w:t>
      </w:r>
      <w:r>
        <w:rPr>
          <w:rFonts w:hint="eastAsia"/>
          <w:color w:val="auto"/>
          <w:lang w:val="en-US" w:eastAsia="zh-CN"/>
        </w:rPr>
        <w:t>146.76</w:t>
      </w:r>
      <w:r>
        <w:rPr>
          <w:rFonts w:hint="eastAsia"/>
          <w:color w:val="auto"/>
          <w:lang w:eastAsia="zh-CN"/>
        </w:rPr>
        <w:t>亿元。</w:t>
      </w:r>
    </w:p>
    <w:p w14:paraId="3001178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color w:val="auto"/>
          <w:lang w:val="en-US" w:eastAsia="zh-CN"/>
        </w:rPr>
      </w:pPr>
      <w:r>
        <w:rPr>
          <w:rFonts w:hint="eastAsia"/>
          <w:b/>
          <w:bCs/>
          <w:color w:val="auto"/>
          <w:lang w:val="en-US" w:eastAsia="zh-CN"/>
        </w:rPr>
        <w:t>2.特色产业发展</w:t>
      </w:r>
    </w:p>
    <w:p w14:paraId="16CEEE9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w:t>
      </w:r>
      <w:r>
        <w:rPr>
          <w:rFonts w:hint="eastAsia"/>
          <w:lang w:val="en-US" w:eastAsia="zh-CN"/>
        </w:rPr>
        <w:t>1</w:t>
      </w:r>
      <w:r>
        <w:rPr>
          <w:rFonts w:hint="eastAsia"/>
          <w:lang w:eastAsia="zh-CN"/>
        </w:rPr>
        <w:t>）加快葡萄种植产业及葡萄酒产业发展。红寺堡区依托地处贺兰山东麓酿酒葡萄黄金产区的地理优势，大力调整产业结构，发展酿酒葡萄产业，并将其作为主导产业大力推广。红寺堡区自2007年开始发展酿酒葡萄产业，现在酿酒葡萄的种植面积是10.8万亩，有葡萄酒企业33家，已建成投产酒庄28家，葡萄酒产业年产值达7亿元。“十四五”期间，红寺堡区规划沿着罗山脚下的生态修复区域发展酿酒葡萄种植，到2035年，红寺堡区的酿酒葡萄种植面积要达到31万余亩，葡萄酒实现的年产值也将实现翻三番，从如今每年的7亿元增至20多亿元。随着葡萄种植产业及葡萄酒产业发展，葡萄产业的用水量激增，相应的供水设施工程也需同时配套实施。未来红寺堡产区将以“中国葡萄酒第一镇”为发展契机，以“世界独一无二的优质、有机、荒漠产区”为发展目标，成为世界瞩目耀眼的葡萄酒明星产区。</w:t>
      </w:r>
    </w:p>
    <w:p w14:paraId="75CCF21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eastAsia="zh-CN"/>
        </w:rPr>
        <w:t>（</w:t>
      </w:r>
      <w:r>
        <w:rPr>
          <w:rFonts w:hint="eastAsia"/>
          <w:lang w:val="en-US" w:eastAsia="zh-CN"/>
        </w:rPr>
        <w:t>2</w:t>
      </w:r>
      <w:r>
        <w:rPr>
          <w:rFonts w:hint="eastAsia"/>
          <w:lang w:eastAsia="zh-CN"/>
        </w:rPr>
        <w:t>）加快黄花菜产业发展。红寺堡区5个乡镇6</w:t>
      </w:r>
      <w:r>
        <w:rPr>
          <w:rFonts w:hint="eastAsia"/>
          <w:lang w:val="en-US" w:eastAsia="zh-CN"/>
        </w:rPr>
        <w:t>5</w:t>
      </w:r>
      <w:r>
        <w:rPr>
          <w:rFonts w:hint="eastAsia"/>
          <w:lang w:eastAsia="zh-CN"/>
        </w:rPr>
        <w:t>个行政村累计种植黄花菜8.02万亩，目前在田4.6万亩，黄花菜已成为富民增收的优势特色产业。为提升黄花菜产业发展的“含金量”，红寺堡区利用项目资金，分别在基础设施建设、生产发展等方面进行补助，助力种植户解决“无资金、无基础”难题，用政策“活水”精准浇灌黄花菜。依托得天独厚的自然条件，当地将黄花菜产业作为农户增收的主导特色优势产业强力推进，让小小的黄花菜成为群众增收的“黄金菜”。</w:t>
      </w:r>
      <w:r>
        <w:rPr>
          <w:rFonts w:hint="eastAsia"/>
          <w:lang w:val="en-US" w:eastAsia="zh-CN"/>
        </w:rPr>
        <w:t xml:space="preserve">  </w:t>
      </w:r>
    </w:p>
    <w:p w14:paraId="038E841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val="en-US" w:eastAsia="zh-CN"/>
        </w:rPr>
        <w:t xml:space="preserve">  </w:t>
      </w:r>
      <w:r>
        <w:rPr>
          <w:rFonts w:hint="eastAsia"/>
          <w:lang w:eastAsia="zh-CN"/>
        </w:rPr>
        <w:t>（</w:t>
      </w:r>
      <w:r>
        <w:rPr>
          <w:rFonts w:hint="eastAsia"/>
          <w:lang w:val="en-US" w:eastAsia="zh-CN"/>
        </w:rPr>
        <w:t>3</w:t>
      </w:r>
      <w:r>
        <w:rPr>
          <w:rFonts w:hint="eastAsia"/>
          <w:lang w:eastAsia="zh-CN"/>
        </w:rPr>
        <w:t>）枸杞产业。红寺堡区以发展特色农业、增加农民收入为目标，积极调整产业结构，种植枸杞5.6万亩，枸杞产业还绿化了大片沙土地，涵养水源，防风固沙，构筑起了一道生态屏障。</w:t>
      </w:r>
    </w:p>
    <w:p w14:paraId="49541CF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bookmarkStart w:id="90" w:name="_Toc32394"/>
      <w:bookmarkStart w:id="91" w:name="_Toc22080"/>
      <w:bookmarkStart w:id="92" w:name="_Toc11535"/>
      <w:r>
        <w:rPr>
          <w:rFonts w:hint="eastAsia"/>
          <w:b/>
          <w:bCs/>
          <w:lang w:val="en-US" w:eastAsia="zh-CN"/>
        </w:rPr>
        <w:t>3.</w:t>
      </w:r>
      <w:r>
        <w:rPr>
          <w:rFonts w:hint="eastAsia"/>
          <w:b/>
          <w:bCs/>
          <w:lang w:eastAsia="zh-CN"/>
        </w:rPr>
        <w:t>高质量发展用水需求</w:t>
      </w:r>
      <w:bookmarkEnd w:id="90"/>
      <w:bookmarkEnd w:id="91"/>
      <w:bookmarkEnd w:id="92"/>
    </w:p>
    <w:p w14:paraId="1896AA6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FF0000"/>
          <w:lang w:eastAsia="zh-CN"/>
        </w:rPr>
      </w:pPr>
      <w:r>
        <w:rPr>
          <w:rFonts w:hint="eastAsia"/>
          <w:lang w:eastAsia="zh-CN"/>
        </w:rPr>
        <w:t>城乡生活供水净定额按日平均供水定额考虑。随着受水区生活水平的不断提高，用水需求日益增大，供水标准应适当提高。</w:t>
      </w:r>
      <w:r>
        <w:rPr>
          <w:rFonts w:hint="eastAsia"/>
          <w:color w:val="auto"/>
          <w:lang w:eastAsia="zh-CN"/>
        </w:rPr>
        <w:t>规划水平年2030年，农村人口、乡镇人口和城市人口平均供水净定额分别取60 L/人.d、</w:t>
      </w:r>
      <w:r>
        <w:rPr>
          <w:rFonts w:hint="eastAsia"/>
          <w:color w:val="auto"/>
          <w:lang w:val="en-US" w:eastAsia="zh-CN"/>
        </w:rPr>
        <w:t>9</w:t>
      </w:r>
      <w:r>
        <w:rPr>
          <w:rFonts w:hint="eastAsia"/>
          <w:color w:val="auto"/>
          <w:lang w:eastAsia="zh-CN"/>
        </w:rPr>
        <w:t>0 L/人.d、</w:t>
      </w:r>
      <w:r>
        <w:rPr>
          <w:rFonts w:hint="eastAsia"/>
          <w:color w:val="auto"/>
          <w:lang w:val="en-US" w:eastAsia="zh-CN"/>
        </w:rPr>
        <w:t>10</w:t>
      </w:r>
      <w:r>
        <w:rPr>
          <w:rFonts w:hint="eastAsia"/>
          <w:color w:val="auto"/>
          <w:lang w:eastAsia="zh-CN"/>
        </w:rPr>
        <w:t>0 L/人.d。规划水平年2035年，各类平均供水净定额均在2030年基础上增加10L/人.d，即农村人口、乡镇人口和城市人口平均供水净定额分别取70 L/人.d、</w:t>
      </w:r>
      <w:r>
        <w:rPr>
          <w:rFonts w:hint="eastAsia"/>
          <w:color w:val="auto"/>
          <w:lang w:val="en-US" w:eastAsia="zh-CN"/>
        </w:rPr>
        <w:t>10</w:t>
      </w:r>
      <w:r>
        <w:rPr>
          <w:rFonts w:hint="eastAsia"/>
          <w:color w:val="auto"/>
          <w:lang w:eastAsia="zh-CN"/>
        </w:rPr>
        <w:t>0 L/人.d、1</w:t>
      </w:r>
      <w:r>
        <w:rPr>
          <w:rFonts w:hint="eastAsia"/>
          <w:color w:val="auto"/>
          <w:lang w:val="en-US" w:eastAsia="zh-CN"/>
        </w:rPr>
        <w:t>1</w:t>
      </w:r>
      <w:r>
        <w:rPr>
          <w:rFonts w:hint="eastAsia"/>
          <w:color w:val="auto"/>
          <w:lang w:eastAsia="zh-CN"/>
        </w:rPr>
        <w:t>0 L/人.d。</w:t>
      </w:r>
    </w:p>
    <w:p w14:paraId="39B4985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红寺堡区 2019 年人口自然增长率为 12.79‰、2020 年 人口自然增长率为 13.03‰、2021 年人口自然增长率为 11.23‰、2022 年人口自然增 长率为 6.82‰ 、2023 年人口自然增长率为 8.46‰。</w:t>
      </w:r>
    </w:p>
    <w:p w14:paraId="5FFD6A96">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p>
    <w:p w14:paraId="52AC1B5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p>
    <w:p w14:paraId="48240CC0">
      <w:pPr>
        <w:keepNext w:val="0"/>
        <w:keepLines w:val="0"/>
        <w:pageBreakBefore w:val="0"/>
        <w:widowControl w:val="0"/>
        <w:kinsoku/>
        <w:wordWrap/>
        <w:overflowPunct w:val="0"/>
        <w:topLinePunct w:val="0"/>
        <w:autoSpaceDE w:val="0"/>
        <w:autoSpaceDN w:val="0"/>
        <w:bidi w:val="0"/>
        <w:adjustRightInd w:val="0"/>
        <w:snapToGrid w:val="0"/>
        <w:spacing w:before="32" w:line="214" w:lineRule="auto"/>
        <w:ind w:left="130" w:firstLine="480"/>
        <w:jc w:val="both"/>
        <w:textAlignment w:val="baseline"/>
        <w:rPr>
          <w:rFonts w:hint="eastAsia" w:ascii="方正仿宋_GB2312" w:hAnsi="方正仿宋_GB2312" w:eastAsia="方正仿宋_GB2312" w:cs="方正仿宋_GB2312"/>
          <w:color w:val="auto"/>
          <w:sz w:val="24"/>
          <w:szCs w:val="24"/>
          <w:lang w:eastAsia="zh-CN"/>
        </w:rPr>
      </w:pPr>
      <w:r>
        <w:rPr>
          <w:rFonts w:hint="eastAsia" w:ascii="黑体" w:hAnsi="黑体" w:eastAsia="黑体" w:cs="黑体"/>
          <w:b w:val="0"/>
          <w:bCs w:val="0"/>
          <w:color w:val="auto"/>
          <w:spacing w:val="-1"/>
          <w:sz w:val="28"/>
          <w:szCs w:val="28"/>
          <w:lang w:eastAsia="zh-CN"/>
        </w:rPr>
        <w:t>表</w:t>
      </w:r>
      <w:r>
        <w:rPr>
          <w:rFonts w:hint="eastAsia" w:ascii="黑体" w:hAnsi="黑体" w:eastAsia="黑体" w:cs="黑体"/>
          <w:b w:val="0"/>
          <w:bCs w:val="0"/>
          <w:color w:val="auto"/>
          <w:spacing w:val="-39"/>
          <w:sz w:val="28"/>
          <w:szCs w:val="28"/>
          <w:lang w:eastAsia="zh-CN"/>
        </w:rPr>
        <w:t xml:space="preserve"> </w:t>
      </w:r>
      <w:r>
        <w:rPr>
          <w:rFonts w:hint="eastAsia" w:ascii="黑体" w:hAnsi="黑体" w:eastAsia="黑体" w:cs="黑体"/>
          <w:b w:val="0"/>
          <w:bCs w:val="0"/>
          <w:color w:val="auto"/>
          <w:spacing w:val="-1"/>
          <w:sz w:val="28"/>
          <w:szCs w:val="28"/>
          <w:lang w:val="en-US" w:eastAsia="zh-CN"/>
        </w:rPr>
        <w:t>3.2</w:t>
      </w:r>
      <w:r>
        <w:rPr>
          <w:rFonts w:hint="eastAsia" w:ascii="黑体" w:hAnsi="黑体" w:eastAsia="黑体" w:cs="黑体"/>
          <w:b w:val="0"/>
          <w:bCs w:val="0"/>
          <w:color w:val="auto"/>
          <w:spacing w:val="-1"/>
          <w:sz w:val="28"/>
          <w:szCs w:val="28"/>
          <w:lang w:eastAsia="zh-CN"/>
        </w:rPr>
        <w:t>-</w:t>
      </w:r>
      <w:r>
        <w:rPr>
          <w:rFonts w:hint="eastAsia" w:ascii="黑体" w:hAnsi="黑体" w:eastAsia="黑体" w:cs="黑体"/>
          <w:b w:val="0"/>
          <w:bCs w:val="0"/>
          <w:color w:val="auto"/>
          <w:spacing w:val="-1"/>
          <w:sz w:val="28"/>
          <w:szCs w:val="28"/>
          <w:lang w:val="en-US" w:eastAsia="zh-CN"/>
        </w:rPr>
        <w:t xml:space="preserve">1  </w:t>
      </w:r>
      <w:r>
        <w:rPr>
          <w:rFonts w:hint="eastAsia" w:ascii="黑体" w:hAnsi="黑体" w:eastAsia="黑体" w:cs="黑体"/>
          <w:b w:val="0"/>
          <w:bCs w:val="0"/>
          <w:color w:val="auto"/>
          <w:spacing w:val="-1"/>
          <w:sz w:val="28"/>
          <w:szCs w:val="28"/>
          <w:lang w:eastAsia="zh-CN"/>
        </w:rPr>
        <w:t>红寺堡区近五年人口自然增长率统计表</w:t>
      </w:r>
    </w:p>
    <w:tbl>
      <w:tblPr>
        <w:tblStyle w:val="21"/>
        <w:tblW w:w="842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421"/>
        <w:gridCol w:w="1419"/>
        <w:gridCol w:w="1343"/>
        <w:gridCol w:w="1340"/>
        <w:gridCol w:w="1473"/>
      </w:tblGrid>
      <w:tr w14:paraId="0E63E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433" w:type="dxa"/>
            <w:tcBorders>
              <w:top w:val="single" w:color="000000" w:sz="10" w:space="0"/>
              <w:left w:val="single" w:color="000000" w:sz="10" w:space="0"/>
            </w:tcBorders>
          </w:tcPr>
          <w:p w14:paraId="0EC4D1CF">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46"/>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1"/>
                <w:sz w:val="22"/>
                <w:szCs w:val="22"/>
              </w:rPr>
              <w:t>2019</w:t>
            </w:r>
            <w:r>
              <w:rPr>
                <w:rFonts w:hint="eastAsia" w:ascii="宋体" w:hAnsi="宋体" w:eastAsia="宋体" w:cs="宋体"/>
                <w:color w:val="auto"/>
                <w:spacing w:val="10"/>
                <w:sz w:val="22"/>
                <w:szCs w:val="22"/>
              </w:rPr>
              <w:t xml:space="preserve"> </w:t>
            </w:r>
            <w:r>
              <w:rPr>
                <w:rFonts w:hint="eastAsia" w:ascii="宋体" w:hAnsi="宋体" w:eastAsia="宋体" w:cs="宋体"/>
                <w:color w:val="auto"/>
                <w:spacing w:val="-1"/>
                <w:sz w:val="22"/>
                <w:szCs w:val="22"/>
              </w:rPr>
              <w:t>年</w:t>
            </w:r>
          </w:p>
        </w:tc>
        <w:tc>
          <w:tcPr>
            <w:tcW w:w="1421" w:type="dxa"/>
            <w:tcBorders>
              <w:top w:val="single" w:color="000000" w:sz="10" w:space="0"/>
            </w:tcBorders>
          </w:tcPr>
          <w:p w14:paraId="1EDECD3A">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44"/>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1"/>
                <w:sz w:val="22"/>
                <w:szCs w:val="22"/>
              </w:rPr>
              <w:t>2020</w:t>
            </w:r>
            <w:r>
              <w:rPr>
                <w:rFonts w:hint="eastAsia" w:ascii="宋体" w:hAnsi="宋体" w:eastAsia="宋体" w:cs="宋体"/>
                <w:color w:val="auto"/>
                <w:spacing w:val="10"/>
                <w:sz w:val="22"/>
                <w:szCs w:val="22"/>
              </w:rPr>
              <w:t xml:space="preserve"> </w:t>
            </w:r>
            <w:r>
              <w:rPr>
                <w:rFonts w:hint="eastAsia" w:ascii="宋体" w:hAnsi="宋体" w:eastAsia="宋体" w:cs="宋体"/>
                <w:color w:val="auto"/>
                <w:spacing w:val="-1"/>
                <w:sz w:val="22"/>
                <w:szCs w:val="22"/>
              </w:rPr>
              <w:t>年</w:t>
            </w:r>
          </w:p>
        </w:tc>
        <w:tc>
          <w:tcPr>
            <w:tcW w:w="1419" w:type="dxa"/>
            <w:tcBorders>
              <w:top w:val="single" w:color="000000" w:sz="10" w:space="0"/>
            </w:tcBorders>
          </w:tcPr>
          <w:p w14:paraId="6FBF1ACB">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46"/>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1"/>
                <w:sz w:val="22"/>
                <w:szCs w:val="22"/>
              </w:rPr>
              <w:t>2021</w:t>
            </w:r>
            <w:r>
              <w:rPr>
                <w:rFonts w:hint="eastAsia" w:ascii="宋体" w:hAnsi="宋体" w:eastAsia="宋体" w:cs="宋体"/>
                <w:color w:val="auto"/>
                <w:spacing w:val="10"/>
                <w:sz w:val="22"/>
                <w:szCs w:val="22"/>
              </w:rPr>
              <w:t xml:space="preserve"> </w:t>
            </w:r>
            <w:r>
              <w:rPr>
                <w:rFonts w:hint="eastAsia" w:ascii="宋体" w:hAnsi="宋体" w:eastAsia="宋体" w:cs="宋体"/>
                <w:color w:val="auto"/>
                <w:spacing w:val="-1"/>
                <w:sz w:val="22"/>
                <w:szCs w:val="22"/>
              </w:rPr>
              <w:t>年</w:t>
            </w:r>
          </w:p>
        </w:tc>
        <w:tc>
          <w:tcPr>
            <w:tcW w:w="1343" w:type="dxa"/>
            <w:tcBorders>
              <w:top w:val="single" w:color="000000" w:sz="10" w:space="0"/>
            </w:tcBorders>
          </w:tcPr>
          <w:p w14:paraId="41678CB0">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14"/>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1"/>
                <w:sz w:val="22"/>
                <w:szCs w:val="22"/>
              </w:rPr>
              <w:t>2022</w:t>
            </w:r>
            <w:r>
              <w:rPr>
                <w:rFonts w:hint="eastAsia" w:ascii="宋体" w:hAnsi="宋体" w:eastAsia="宋体" w:cs="宋体"/>
                <w:color w:val="auto"/>
                <w:spacing w:val="10"/>
                <w:sz w:val="22"/>
                <w:szCs w:val="22"/>
              </w:rPr>
              <w:t xml:space="preserve"> </w:t>
            </w:r>
            <w:r>
              <w:rPr>
                <w:rFonts w:hint="eastAsia" w:ascii="宋体" w:hAnsi="宋体" w:eastAsia="宋体" w:cs="宋体"/>
                <w:color w:val="auto"/>
                <w:spacing w:val="-1"/>
                <w:sz w:val="22"/>
                <w:szCs w:val="22"/>
              </w:rPr>
              <w:t>年</w:t>
            </w:r>
          </w:p>
        </w:tc>
        <w:tc>
          <w:tcPr>
            <w:tcW w:w="1340" w:type="dxa"/>
            <w:tcBorders>
              <w:top w:val="single" w:color="000000" w:sz="10" w:space="0"/>
            </w:tcBorders>
          </w:tcPr>
          <w:p w14:paraId="453AFFAF">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18"/>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1"/>
                <w:sz w:val="22"/>
                <w:szCs w:val="22"/>
              </w:rPr>
              <w:t>2023</w:t>
            </w:r>
            <w:r>
              <w:rPr>
                <w:rFonts w:hint="eastAsia" w:ascii="宋体" w:hAnsi="宋体" w:eastAsia="宋体" w:cs="宋体"/>
                <w:color w:val="auto"/>
                <w:spacing w:val="10"/>
                <w:sz w:val="22"/>
                <w:szCs w:val="22"/>
              </w:rPr>
              <w:t xml:space="preserve"> </w:t>
            </w:r>
            <w:r>
              <w:rPr>
                <w:rFonts w:hint="eastAsia" w:ascii="宋体" w:hAnsi="宋体" w:eastAsia="宋体" w:cs="宋体"/>
                <w:color w:val="auto"/>
                <w:spacing w:val="-1"/>
                <w:sz w:val="22"/>
                <w:szCs w:val="22"/>
              </w:rPr>
              <w:t>年</w:t>
            </w:r>
          </w:p>
        </w:tc>
        <w:tc>
          <w:tcPr>
            <w:tcW w:w="1473" w:type="dxa"/>
            <w:tcBorders>
              <w:top w:val="single" w:color="000000" w:sz="10" w:space="0"/>
              <w:right w:val="single" w:color="000000" w:sz="10" w:space="0"/>
            </w:tcBorders>
          </w:tcPr>
          <w:p w14:paraId="613F153F">
            <w:pPr>
              <w:keepNext w:val="0"/>
              <w:keepLines w:val="0"/>
              <w:pageBreakBefore w:val="0"/>
              <w:widowControl w:val="0"/>
              <w:kinsoku/>
              <w:wordWrap/>
              <w:overflowPunct w:val="0"/>
              <w:topLinePunct w:val="0"/>
              <w:autoSpaceDE w:val="0"/>
              <w:autoSpaceDN w:val="0"/>
              <w:bidi w:val="0"/>
              <w:adjustRightInd w:val="0"/>
              <w:snapToGrid w:val="0"/>
              <w:spacing w:before="73" w:line="219" w:lineRule="auto"/>
              <w:ind w:firstLine="0" w:firstLineChars="0"/>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2"/>
                <w:sz w:val="22"/>
                <w:szCs w:val="22"/>
              </w:rPr>
              <w:t>本阶段取值</w:t>
            </w:r>
          </w:p>
        </w:tc>
      </w:tr>
      <w:tr w14:paraId="3D29D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1433" w:type="dxa"/>
            <w:tcBorders>
              <w:left w:val="single" w:color="000000" w:sz="10" w:space="0"/>
              <w:bottom w:val="single" w:color="000000" w:sz="10" w:space="0"/>
            </w:tcBorders>
          </w:tcPr>
          <w:p w14:paraId="17B10CEE">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4"/>
                <w:sz w:val="22"/>
                <w:szCs w:val="22"/>
              </w:rPr>
              <w:t>12.79‰</w:t>
            </w:r>
          </w:p>
        </w:tc>
        <w:tc>
          <w:tcPr>
            <w:tcW w:w="1421" w:type="dxa"/>
            <w:tcBorders>
              <w:bottom w:val="single" w:color="000000" w:sz="10" w:space="0"/>
            </w:tcBorders>
          </w:tcPr>
          <w:p w14:paraId="64752A03">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4"/>
                <w:sz w:val="22"/>
                <w:szCs w:val="22"/>
              </w:rPr>
              <w:t>13.03‰</w:t>
            </w:r>
          </w:p>
        </w:tc>
        <w:tc>
          <w:tcPr>
            <w:tcW w:w="1419" w:type="dxa"/>
            <w:tcBorders>
              <w:bottom w:val="single" w:color="000000" w:sz="10" w:space="0"/>
            </w:tcBorders>
          </w:tcPr>
          <w:p w14:paraId="401292C6">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4"/>
                <w:sz w:val="22"/>
                <w:szCs w:val="22"/>
              </w:rPr>
              <w:t>11.23‰</w:t>
            </w:r>
          </w:p>
        </w:tc>
        <w:tc>
          <w:tcPr>
            <w:tcW w:w="1343" w:type="dxa"/>
            <w:tcBorders>
              <w:bottom w:val="single" w:color="000000" w:sz="10" w:space="0"/>
            </w:tcBorders>
          </w:tcPr>
          <w:p w14:paraId="00F5FDDD">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2"/>
                <w:sz w:val="22"/>
                <w:szCs w:val="22"/>
              </w:rPr>
              <w:t>6.82‰</w:t>
            </w:r>
          </w:p>
        </w:tc>
        <w:tc>
          <w:tcPr>
            <w:tcW w:w="1340" w:type="dxa"/>
            <w:tcBorders>
              <w:bottom w:val="single" w:color="000000" w:sz="10" w:space="0"/>
            </w:tcBorders>
          </w:tcPr>
          <w:p w14:paraId="367EFBB6">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3"/>
                <w:sz w:val="22"/>
                <w:szCs w:val="22"/>
              </w:rPr>
              <w:t>8.46‰</w:t>
            </w:r>
          </w:p>
        </w:tc>
        <w:tc>
          <w:tcPr>
            <w:tcW w:w="1473" w:type="dxa"/>
            <w:tcBorders>
              <w:bottom w:val="single" w:color="000000" w:sz="10" w:space="0"/>
              <w:right w:val="single" w:color="000000" w:sz="10" w:space="0"/>
            </w:tcBorders>
          </w:tcPr>
          <w:p w14:paraId="58F0FBBE">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2"/>
                <w:szCs w:val="22"/>
              </w:rPr>
            </w:pPr>
            <w:r>
              <w:rPr>
                <w:rFonts w:hint="eastAsia" w:ascii="宋体" w:hAnsi="宋体" w:eastAsia="宋体" w:cs="宋体"/>
                <w:color w:val="auto"/>
                <w:spacing w:val="-3"/>
                <w:sz w:val="22"/>
                <w:szCs w:val="22"/>
              </w:rPr>
              <w:t>8.46‰</w:t>
            </w:r>
          </w:p>
        </w:tc>
      </w:tr>
    </w:tbl>
    <w:p w14:paraId="5A7A53C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本次预测红寺堡人口自然增长率应趋于稳定，本次人口增长率取 8.46‰。 根据 2023 年统计年鉴红寺堡城镇化率为 34.3%，根据《自治区空间发展规划目标》到 2030 年城镇化率达到 50% ，，预测到 2035 年红寺堡常住人口城镇化率为 60%。至 2030 年，全区常住人口达到 21.</w:t>
      </w:r>
      <w:r>
        <w:rPr>
          <w:rFonts w:hint="eastAsia"/>
          <w:lang w:val="en-US" w:eastAsia="zh-CN"/>
        </w:rPr>
        <w:t>6</w:t>
      </w:r>
      <w:r>
        <w:rPr>
          <w:rFonts w:hint="eastAsia"/>
          <w:lang w:eastAsia="zh-CN"/>
        </w:rPr>
        <w:t xml:space="preserve">万人，其中城镇人口 </w:t>
      </w:r>
      <w:r>
        <w:rPr>
          <w:rFonts w:hint="eastAsia"/>
          <w:lang w:val="en-US" w:eastAsia="zh-CN"/>
        </w:rPr>
        <w:t>10.8</w:t>
      </w:r>
      <w:r>
        <w:rPr>
          <w:rFonts w:hint="eastAsia"/>
          <w:lang w:eastAsia="zh-CN"/>
        </w:rPr>
        <w:t xml:space="preserve">万人，农村人口 </w:t>
      </w:r>
      <w:r>
        <w:rPr>
          <w:rFonts w:hint="eastAsia"/>
          <w:lang w:val="en-US" w:eastAsia="zh-CN"/>
        </w:rPr>
        <w:t>10.8</w:t>
      </w:r>
      <w:r>
        <w:rPr>
          <w:rFonts w:hint="eastAsia"/>
          <w:lang w:eastAsia="zh-CN"/>
        </w:rPr>
        <w:t xml:space="preserve"> 万人；至 2035 年，全区常住人口达到 2</w:t>
      </w:r>
      <w:r>
        <w:rPr>
          <w:rFonts w:hint="eastAsia"/>
          <w:lang w:val="en-US" w:eastAsia="zh-CN"/>
        </w:rPr>
        <w:t>2.53</w:t>
      </w:r>
      <w:r>
        <w:rPr>
          <w:rFonts w:hint="eastAsia"/>
          <w:lang w:eastAsia="zh-CN"/>
        </w:rPr>
        <w:t>万人，其中城镇人口 13.</w:t>
      </w:r>
      <w:r>
        <w:rPr>
          <w:rFonts w:hint="eastAsia"/>
          <w:lang w:val="en-US" w:eastAsia="zh-CN"/>
        </w:rPr>
        <w:t>52</w:t>
      </w:r>
      <w:r>
        <w:rPr>
          <w:rFonts w:hint="eastAsia"/>
          <w:lang w:eastAsia="zh-CN"/>
        </w:rPr>
        <w:t xml:space="preserve"> 万人，农村人口 9.5</w:t>
      </w:r>
      <w:r>
        <w:rPr>
          <w:rFonts w:hint="eastAsia"/>
          <w:lang w:val="en-US" w:eastAsia="zh-CN"/>
        </w:rPr>
        <w:t>01</w:t>
      </w:r>
      <w:r>
        <w:rPr>
          <w:rFonts w:hint="eastAsia"/>
          <w:lang w:eastAsia="zh-CN"/>
        </w:rPr>
        <w:t>万人。</w:t>
      </w:r>
    </w:p>
    <w:p w14:paraId="4173A1E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 xml:space="preserve">经过计算，2030 年红寺堡区居民生活年需水量为 </w:t>
      </w:r>
      <w:r>
        <w:rPr>
          <w:rFonts w:hint="eastAsia"/>
          <w:lang w:val="en-US" w:eastAsia="zh-CN"/>
        </w:rPr>
        <w:t>0.167亿</w:t>
      </w:r>
      <w:r>
        <w:rPr>
          <w:rFonts w:hint="eastAsia"/>
          <w:lang w:eastAsia="zh-CN"/>
        </w:rPr>
        <w:t xml:space="preserve"> m³。2035 年红寺堡区居民生活年需水量为</w:t>
      </w:r>
      <w:r>
        <w:rPr>
          <w:rFonts w:hint="eastAsia"/>
          <w:lang w:val="en-US" w:eastAsia="zh-CN"/>
        </w:rPr>
        <w:t>0.165亿</w:t>
      </w:r>
      <w:r>
        <w:rPr>
          <w:rFonts w:hint="eastAsia"/>
          <w:lang w:eastAsia="zh-CN"/>
        </w:rPr>
        <w:t>m³。</w:t>
      </w:r>
    </w:p>
    <w:p w14:paraId="305CC4C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2025 年红寺堡区工业年需水量为 0.</w:t>
      </w:r>
      <w:r>
        <w:rPr>
          <w:rFonts w:hint="eastAsia"/>
          <w:lang w:val="en-US" w:eastAsia="zh-CN"/>
        </w:rPr>
        <w:t>253</w:t>
      </w:r>
      <w:r>
        <w:rPr>
          <w:rFonts w:hint="eastAsia"/>
          <w:lang w:eastAsia="zh-CN"/>
        </w:rPr>
        <w:t>亿m³。2035 年红寺堡区工业年需水量为 0.</w:t>
      </w:r>
      <w:r>
        <w:rPr>
          <w:rFonts w:hint="eastAsia"/>
          <w:lang w:val="en-US" w:eastAsia="zh-CN"/>
        </w:rPr>
        <w:t>211</w:t>
      </w:r>
      <w:r>
        <w:rPr>
          <w:rFonts w:hint="eastAsia"/>
          <w:lang w:eastAsia="zh-CN"/>
        </w:rPr>
        <w:t>亿m³。</w:t>
      </w:r>
    </w:p>
    <w:p w14:paraId="2F95025A">
      <w:pPr>
        <w:keepNext w:val="0"/>
        <w:keepLines w:val="0"/>
        <w:pageBreakBefore w:val="0"/>
        <w:widowControl w:val="0"/>
        <w:kinsoku/>
        <w:wordWrap/>
        <w:overflowPunct w:val="0"/>
        <w:topLinePunct w:val="0"/>
        <w:autoSpaceDE w:val="0"/>
        <w:autoSpaceDN w:val="0"/>
        <w:bidi w:val="0"/>
        <w:adjustRightInd w:val="0"/>
        <w:snapToGrid w:val="0"/>
        <w:spacing w:before="32" w:line="214" w:lineRule="auto"/>
        <w:ind w:left="0" w:leftChars="0" w:firstLine="0" w:firstLineChars="0"/>
        <w:jc w:val="both"/>
        <w:textAlignment w:val="baseline"/>
        <w:rPr>
          <w:rFonts w:hint="eastAsia" w:ascii="黑体" w:hAnsi="黑体" w:eastAsia="黑体" w:cs="黑体"/>
          <w:b w:val="0"/>
          <w:bCs w:val="0"/>
          <w:color w:val="auto"/>
          <w:spacing w:val="-1"/>
          <w:sz w:val="28"/>
          <w:szCs w:val="28"/>
          <w:lang w:eastAsia="zh-CN"/>
        </w:rPr>
      </w:pPr>
      <w:r>
        <w:rPr>
          <w:rFonts w:hint="eastAsia" w:ascii="黑体" w:hAnsi="黑体" w:eastAsia="黑体" w:cs="黑体"/>
          <w:b w:val="0"/>
          <w:bCs w:val="0"/>
          <w:color w:val="auto"/>
          <w:spacing w:val="-1"/>
          <w:sz w:val="28"/>
          <w:szCs w:val="28"/>
          <w:lang w:eastAsia="zh-CN"/>
        </w:rPr>
        <w:t xml:space="preserve">表 </w:t>
      </w:r>
      <w:r>
        <w:rPr>
          <w:rFonts w:hint="eastAsia" w:ascii="黑体" w:hAnsi="黑体" w:eastAsia="黑体" w:cs="黑体"/>
          <w:b w:val="0"/>
          <w:bCs w:val="0"/>
          <w:color w:val="auto"/>
          <w:spacing w:val="-1"/>
          <w:sz w:val="28"/>
          <w:szCs w:val="28"/>
          <w:lang w:val="en-US" w:eastAsia="zh-CN"/>
        </w:rPr>
        <w:t>3.2</w:t>
      </w:r>
      <w:r>
        <w:rPr>
          <w:rFonts w:hint="eastAsia" w:ascii="黑体" w:hAnsi="黑体" w:eastAsia="黑体" w:cs="黑体"/>
          <w:b w:val="0"/>
          <w:bCs w:val="0"/>
          <w:color w:val="auto"/>
          <w:spacing w:val="-1"/>
          <w:sz w:val="28"/>
          <w:szCs w:val="28"/>
          <w:lang w:eastAsia="zh-CN"/>
        </w:rPr>
        <w:t>-</w:t>
      </w:r>
      <w:r>
        <w:rPr>
          <w:rFonts w:hint="eastAsia" w:ascii="黑体" w:hAnsi="黑体" w:eastAsia="黑体" w:cs="黑体"/>
          <w:b w:val="0"/>
          <w:bCs w:val="0"/>
          <w:color w:val="auto"/>
          <w:spacing w:val="-1"/>
          <w:sz w:val="28"/>
          <w:szCs w:val="28"/>
          <w:lang w:val="en-US" w:eastAsia="zh-CN"/>
        </w:rPr>
        <w:t>2</w:t>
      </w:r>
      <w:r>
        <w:rPr>
          <w:rFonts w:hint="eastAsia" w:ascii="黑体" w:hAnsi="黑体" w:eastAsia="黑体" w:cs="黑体"/>
          <w:b w:val="0"/>
          <w:bCs w:val="0"/>
          <w:color w:val="auto"/>
          <w:spacing w:val="-1"/>
          <w:sz w:val="28"/>
          <w:szCs w:val="28"/>
          <w:lang w:eastAsia="zh-CN"/>
        </w:rPr>
        <w:t xml:space="preserve">     红寺堡区近四年农业用水量单位： 亿 m³</w:t>
      </w:r>
    </w:p>
    <w:tbl>
      <w:tblPr>
        <w:tblStyle w:val="21"/>
        <w:tblW w:w="68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419"/>
        <w:gridCol w:w="1343"/>
        <w:gridCol w:w="1340"/>
        <w:gridCol w:w="1340"/>
      </w:tblGrid>
      <w:tr w14:paraId="14078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433" w:type="dxa"/>
            <w:tcBorders>
              <w:top w:val="single" w:color="000000" w:sz="12" w:space="0"/>
              <w:left w:val="single" w:color="000000" w:sz="12" w:space="0"/>
            </w:tcBorders>
            <w:vAlign w:val="top"/>
          </w:tcPr>
          <w:p w14:paraId="28B55506">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46"/>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w:t>
            </w:r>
          </w:p>
        </w:tc>
        <w:tc>
          <w:tcPr>
            <w:tcW w:w="1419" w:type="dxa"/>
            <w:tcBorders>
              <w:top w:val="single" w:color="000000" w:sz="12" w:space="0"/>
            </w:tcBorders>
            <w:vAlign w:val="top"/>
          </w:tcPr>
          <w:p w14:paraId="7AA805CD">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44"/>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2020</w:t>
            </w:r>
            <w:r>
              <w:rPr>
                <w:rFonts w:hint="eastAsia" w:ascii="宋体" w:hAnsi="宋体" w:eastAsia="宋体" w:cs="宋体"/>
                <w:color w:val="auto"/>
                <w:spacing w:val="10"/>
                <w:sz w:val="21"/>
                <w:szCs w:val="21"/>
              </w:rPr>
              <w:t xml:space="preserve"> </w:t>
            </w:r>
            <w:r>
              <w:rPr>
                <w:rFonts w:hint="eastAsia" w:ascii="宋体" w:hAnsi="宋体" w:eastAsia="宋体" w:cs="宋体"/>
                <w:color w:val="auto"/>
                <w:spacing w:val="-1"/>
                <w:sz w:val="21"/>
                <w:szCs w:val="21"/>
              </w:rPr>
              <w:t>年</w:t>
            </w:r>
          </w:p>
        </w:tc>
        <w:tc>
          <w:tcPr>
            <w:tcW w:w="1343" w:type="dxa"/>
            <w:tcBorders>
              <w:top w:val="single" w:color="000000" w:sz="12" w:space="0"/>
            </w:tcBorders>
            <w:vAlign w:val="top"/>
          </w:tcPr>
          <w:p w14:paraId="45CD269E">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46"/>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2021</w:t>
            </w:r>
            <w:r>
              <w:rPr>
                <w:rFonts w:hint="eastAsia" w:ascii="宋体" w:hAnsi="宋体" w:eastAsia="宋体" w:cs="宋体"/>
                <w:color w:val="auto"/>
                <w:spacing w:val="10"/>
                <w:sz w:val="21"/>
                <w:szCs w:val="21"/>
              </w:rPr>
              <w:t xml:space="preserve"> </w:t>
            </w:r>
            <w:r>
              <w:rPr>
                <w:rFonts w:hint="eastAsia" w:ascii="宋体" w:hAnsi="宋体" w:eastAsia="宋体" w:cs="宋体"/>
                <w:color w:val="auto"/>
                <w:spacing w:val="-1"/>
                <w:sz w:val="21"/>
                <w:szCs w:val="21"/>
              </w:rPr>
              <w:t>年</w:t>
            </w:r>
          </w:p>
        </w:tc>
        <w:tc>
          <w:tcPr>
            <w:tcW w:w="1340" w:type="dxa"/>
            <w:tcBorders>
              <w:top w:val="single" w:color="000000" w:sz="12" w:space="0"/>
            </w:tcBorders>
            <w:vAlign w:val="top"/>
          </w:tcPr>
          <w:p w14:paraId="72980138">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14"/>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2022</w:t>
            </w:r>
            <w:r>
              <w:rPr>
                <w:rFonts w:hint="eastAsia" w:ascii="宋体" w:hAnsi="宋体" w:eastAsia="宋体" w:cs="宋体"/>
                <w:color w:val="auto"/>
                <w:spacing w:val="10"/>
                <w:sz w:val="21"/>
                <w:szCs w:val="21"/>
              </w:rPr>
              <w:t xml:space="preserve"> </w:t>
            </w:r>
            <w:r>
              <w:rPr>
                <w:rFonts w:hint="eastAsia" w:ascii="宋体" w:hAnsi="宋体" w:eastAsia="宋体" w:cs="宋体"/>
                <w:color w:val="auto"/>
                <w:spacing w:val="-1"/>
                <w:sz w:val="21"/>
                <w:szCs w:val="21"/>
              </w:rPr>
              <w:t>年</w:t>
            </w:r>
          </w:p>
        </w:tc>
        <w:tc>
          <w:tcPr>
            <w:tcW w:w="1340" w:type="dxa"/>
            <w:tcBorders>
              <w:top w:val="single" w:color="000000" w:sz="12" w:space="0"/>
              <w:right w:val="single" w:color="000000" w:sz="12" w:space="0"/>
            </w:tcBorders>
            <w:vAlign w:val="top"/>
          </w:tcPr>
          <w:p w14:paraId="4B8C7E67">
            <w:pPr>
              <w:pStyle w:val="22"/>
              <w:keepNext w:val="0"/>
              <w:keepLines w:val="0"/>
              <w:pageBreakBefore w:val="0"/>
              <w:widowControl w:val="0"/>
              <w:kinsoku/>
              <w:wordWrap/>
              <w:overflowPunct w:val="0"/>
              <w:topLinePunct w:val="0"/>
              <w:autoSpaceDE w:val="0"/>
              <w:autoSpaceDN w:val="0"/>
              <w:bidi w:val="0"/>
              <w:adjustRightInd w:val="0"/>
              <w:snapToGrid w:val="0"/>
              <w:spacing w:before="73" w:line="220" w:lineRule="auto"/>
              <w:ind w:left="318"/>
              <w:jc w:val="both"/>
              <w:textAlignment w:val="baseline"/>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rPr>
              <w:t>2023</w:t>
            </w:r>
            <w:r>
              <w:rPr>
                <w:rFonts w:hint="eastAsia" w:ascii="宋体" w:hAnsi="宋体" w:eastAsia="宋体" w:cs="宋体"/>
                <w:color w:val="auto"/>
                <w:spacing w:val="10"/>
                <w:sz w:val="21"/>
                <w:szCs w:val="21"/>
              </w:rPr>
              <w:t xml:space="preserve"> </w:t>
            </w:r>
            <w:r>
              <w:rPr>
                <w:rFonts w:hint="eastAsia" w:ascii="宋体" w:hAnsi="宋体" w:eastAsia="宋体" w:cs="宋体"/>
                <w:color w:val="auto"/>
                <w:spacing w:val="-1"/>
                <w:sz w:val="21"/>
                <w:szCs w:val="21"/>
              </w:rPr>
              <w:t>年</w:t>
            </w:r>
          </w:p>
        </w:tc>
      </w:tr>
      <w:tr w14:paraId="53CF7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433" w:type="dxa"/>
            <w:tcBorders>
              <w:left w:val="single" w:color="000000" w:sz="12" w:space="0"/>
            </w:tcBorders>
            <w:vAlign w:val="top"/>
          </w:tcPr>
          <w:p w14:paraId="4174A512">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农业用水量</w:t>
            </w:r>
          </w:p>
        </w:tc>
        <w:tc>
          <w:tcPr>
            <w:tcW w:w="1419" w:type="dxa"/>
            <w:vAlign w:val="top"/>
          </w:tcPr>
          <w:p w14:paraId="2D800530">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2.156</w:t>
            </w:r>
          </w:p>
        </w:tc>
        <w:tc>
          <w:tcPr>
            <w:tcW w:w="1343" w:type="dxa"/>
            <w:vAlign w:val="top"/>
          </w:tcPr>
          <w:p w14:paraId="2AAAD031">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2.177</w:t>
            </w:r>
          </w:p>
        </w:tc>
        <w:tc>
          <w:tcPr>
            <w:tcW w:w="1340" w:type="dxa"/>
            <w:vAlign w:val="top"/>
          </w:tcPr>
          <w:p w14:paraId="471FC15A">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2.525</w:t>
            </w:r>
          </w:p>
        </w:tc>
        <w:tc>
          <w:tcPr>
            <w:tcW w:w="1340" w:type="dxa"/>
            <w:tcBorders>
              <w:right w:val="single" w:color="000000" w:sz="12" w:space="0"/>
            </w:tcBorders>
            <w:vAlign w:val="top"/>
          </w:tcPr>
          <w:p w14:paraId="68EC86A3">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pacing w:val="-3"/>
                <w:sz w:val="21"/>
                <w:szCs w:val="21"/>
                <w:lang w:eastAsia="zh-CN"/>
              </w:rPr>
            </w:pPr>
            <w:r>
              <w:rPr>
                <w:rFonts w:hint="eastAsia" w:ascii="宋体" w:hAnsi="宋体" w:eastAsia="宋体" w:cs="宋体"/>
                <w:color w:val="auto"/>
                <w:spacing w:val="-3"/>
                <w:sz w:val="21"/>
                <w:szCs w:val="21"/>
                <w:lang w:eastAsia="zh-CN"/>
              </w:rPr>
              <w:t>2.473</w:t>
            </w:r>
          </w:p>
        </w:tc>
      </w:tr>
      <w:tr w14:paraId="35854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1433" w:type="dxa"/>
            <w:tcBorders>
              <w:left w:val="single" w:color="000000" w:sz="12" w:space="0"/>
              <w:bottom w:val="single" w:color="000000" w:sz="12" w:space="0"/>
            </w:tcBorders>
            <w:vAlign w:val="top"/>
          </w:tcPr>
          <w:p w14:paraId="74170390">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pacing w:val="-4"/>
                <w:sz w:val="21"/>
                <w:szCs w:val="21"/>
                <w:lang w:eastAsia="zh-CN"/>
              </w:rPr>
            </w:pPr>
            <w:r>
              <w:rPr>
                <w:rFonts w:hint="eastAsia" w:ascii="宋体" w:hAnsi="宋体" w:eastAsia="宋体" w:cs="宋体"/>
                <w:color w:val="auto"/>
                <w:spacing w:val="-4"/>
                <w:sz w:val="21"/>
                <w:szCs w:val="21"/>
                <w:lang w:eastAsia="zh-CN"/>
              </w:rPr>
              <w:t>占比（%）</w:t>
            </w:r>
          </w:p>
        </w:tc>
        <w:tc>
          <w:tcPr>
            <w:tcW w:w="1419" w:type="dxa"/>
            <w:tcBorders>
              <w:bottom w:val="single" w:color="000000" w:sz="12" w:space="0"/>
            </w:tcBorders>
            <w:vAlign w:val="top"/>
          </w:tcPr>
          <w:p w14:paraId="0BB0BF3F">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pacing w:val="-4"/>
                <w:sz w:val="21"/>
                <w:szCs w:val="21"/>
                <w:lang w:eastAsia="zh-CN"/>
              </w:rPr>
            </w:pPr>
            <w:r>
              <w:rPr>
                <w:rFonts w:hint="eastAsia" w:ascii="宋体" w:hAnsi="宋体" w:eastAsia="宋体" w:cs="宋体"/>
                <w:color w:val="auto"/>
                <w:spacing w:val="-4"/>
                <w:sz w:val="21"/>
                <w:szCs w:val="21"/>
                <w:lang w:eastAsia="zh-CN"/>
              </w:rPr>
              <w:t>96.6</w:t>
            </w:r>
          </w:p>
        </w:tc>
        <w:tc>
          <w:tcPr>
            <w:tcW w:w="1343" w:type="dxa"/>
            <w:tcBorders>
              <w:bottom w:val="single" w:color="000000" w:sz="12" w:space="0"/>
            </w:tcBorders>
            <w:vAlign w:val="top"/>
          </w:tcPr>
          <w:p w14:paraId="60B3B058">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pacing w:val="-2"/>
                <w:sz w:val="21"/>
                <w:szCs w:val="21"/>
                <w:lang w:eastAsia="zh-CN"/>
              </w:rPr>
            </w:pPr>
            <w:r>
              <w:rPr>
                <w:rFonts w:hint="eastAsia" w:ascii="宋体" w:hAnsi="宋体" w:eastAsia="宋体" w:cs="宋体"/>
                <w:color w:val="auto"/>
                <w:spacing w:val="-2"/>
                <w:sz w:val="21"/>
                <w:szCs w:val="21"/>
                <w:lang w:eastAsia="zh-CN"/>
              </w:rPr>
              <w:t>95.1</w:t>
            </w:r>
          </w:p>
        </w:tc>
        <w:tc>
          <w:tcPr>
            <w:tcW w:w="1340" w:type="dxa"/>
            <w:tcBorders>
              <w:bottom w:val="single" w:color="000000" w:sz="12" w:space="0"/>
            </w:tcBorders>
            <w:vAlign w:val="top"/>
          </w:tcPr>
          <w:p w14:paraId="7890EC47">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pacing w:val="-3"/>
                <w:sz w:val="21"/>
                <w:szCs w:val="21"/>
                <w:lang w:eastAsia="zh-CN"/>
              </w:rPr>
            </w:pPr>
            <w:r>
              <w:rPr>
                <w:rFonts w:hint="eastAsia" w:ascii="宋体" w:hAnsi="宋体" w:eastAsia="宋体" w:cs="宋体"/>
                <w:color w:val="auto"/>
                <w:spacing w:val="-3"/>
                <w:sz w:val="21"/>
                <w:szCs w:val="21"/>
                <w:lang w:eastAsia="zh-CN"/>
              </w:rPr>
              <w:t>92.2</w:t>
            </w:r>
          </w:p>
        </w:tc>
        <w:tc>
          <w:tcPr>
            <w:tcW w:w="1340" w:type="dxa"/>
            <w:tcBorders>
              <w:bottom w:val="single" w:color="000000" w:sz="12" w:space="0"/>
              <w:right w:val="single" w:color="000000" w:sz="12" w:space="0"/>
            </w:tcBorders>
            <w:vAlign w:val="top"/>
          </w:tcPr>
          <w:p w14:paraId="2015F59D">
            <w:pPr>
              <w:pStyle w:val="22"/>
              <w:keepNext w:val="0"/>
              <w:keepLines w:val="0"/>
              <w:pageBreakBefore w:val="0"/>
              <w:widowControl w:val="0"/>
              <w:kinsoku/>
              <w:wordWrap/>
              <w:overflowPunct w:val="0"/>
              <w:topLinePunct w:val="0"/>
              <w:autoSpaceDE w:val="0"/>
              <w:autoSpaceDN w:val="0"/>
              <w:bidi w:val="0"/>
              <w:adjustRightInd w:val="0"/>
              <w:snapToGrid w:val="0"/>
              <w:spacing w:before="123" w:line="187" w:lineRule="auto"/>
              <w:jc w:val="both"/>
              <w:textAlignment w:val="baseline"/>
              <w:rPr>
                <w:rFonts w:hint="eastAsia" w:ascii="宋体" w:hAnsi="宋体" w:eastAsia="宋体" w:cs="宋体"/>
                <w:color w:val="auto"/>
                <w:spacing w:val="-3"/>
                <w:sz w:val="21"/>
                <w:szCs w:val="21"/>
                <w:lang w:eastAsia="zh-CN"/>
              </w:rPr>
            </w:pPr>
            <w:r>
              <w:rPr>
                <w:rFonts w:hint="eastAsia" w:ascii="宋体" w:hAnsi="宋体" w:eastAsia="宋体" w:cs="宋体"/>
                <w:color w:val="auto"/>
                <w:spacing w:val="-3"/>
                <w:sz w:val="21"/>
                <w:szCs w:val="21"/>
                <w:lang w:eastAsia="zh-CN"/>
              </w:rPr>
              <w:t>90.0</w:t>
            </w:r>
          </w:p>
        </w:tc>
      </w:tr>
    </w:tbl>
    <w:p w14:paraId="6F57109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202</w:t>
      </w:r>
      <w:r>
        <w:rPr>
          <w:rFonts w:hint="eastAsia"/>
          <w:lang w:val="en-US" w:eastAsia="zh-CN"/>
        </w:rPr>
        <w:t>3</w:t>
      </w:r>
      <w:r>
        <w:rPr>
          <w:rFonts w:hint="eastAsia"/>
          <w:lang w:eastAsia="zh-CN"/>
        </w:rPr>
        <w:t>年农业用水量2.</w:t>
      </w:r>
      <w:r>
        <w:rPr>
          <w:rFonts w:hint="eastAsia"/>
          <w:lang w:val="en-US" w:eastAsia="zh-CN"/>
        </w:rPr>
        <w:t>473</w:t>
      </w:r>
      <w:r>
        <w:rPr>
          <w:rFonts w:hint="eastAsia"/>
          <w:lang w:eastAsia="zh-CN"/>
        </w:rPr>
        <w:t>亿m³ ，农业用水量占比</w:t>
      </w:r>
      <w:r>
        <w:rPr>
          <w:rFonts w:hint="eastAsia"/>
          <w:lang w:val="en-US" w:eastAsia="zh-CN"/>
        </w:rPr>
        <w:t>90.0</w:t>
      </w:r>
      <w:r>
        <w:rPr>
          <w:rFonts w:hint="eastAsia"/>
          <w:lang w:eastAsia="zh-CN"/>
        </w:rPr>
        <w:t>%，农业用水综合考虑</w:t>
      </w:r>
      <w:r>
        <w:rPr>
          <w:rFonts w:hint="eastAsia"/>
          <w:lang w:val="en-US" w:eastAsia="zh-CN"/>
        </w:rPr>
        <w:t>高效节水灌溉规模的发展</w:t>
      </w:r>
      <w:r>
        <w:rPr>
          <w:rFonts w:hint="eastAsia"/>
          <w:lang w:eastAsia="zh-CN"/>
        </w:rPr>
        <w:t>，预测2030年农业用水量</w:t>
      </w:r>
      <w:r>
        <w:rPr>
          <w:rFonts w:hint="eastAsia"/>
          <w:lang w:val="en-US" w:eastAsia="zh-CN"/>
        </w:rPr>
        <w:t>2.44</w:t>
      </w:r>
      <w:r>
        <w:rPr>
          <w:rFonts w:hint="eastAsia"/>
          <w:lang w:eastAsia="zh-CN"/>
        </w:rPr>
        <w:t>亿m³ ，生态用水量2030年为0.</w:t>
      </w:r>
      <w:r>
        <w:rPr>
          <w:rFonts w:hint="eastAsia"/>
          <w:lang w:val="en-US" w:eastAsia="zh-CN"/>
        </w:rPr>
        <w:t>307</w:t>
      </w:r>
      <w:r>
        <w:rPr>
          <w:rFonts w:hint="eastAsia"/>
          <w:lang w:eastAsia="zh-CN"/>
        </w:rPr>
        <w:t>亿m³ ,预测2035年农业用水量</w:t>
      </w:r>
      <w:r>
        <w:rPr>
          <w:rFonts w:hint="eastAsia"/>
          <w:lang w:val="en-US" w:eastAsia="zh-CN"/>
        </w:rPr>
        <w:t>1.99</w:t>
      </w:r>
      <w:r>
        <w:rPr>
          <w:rFonts w:hint="eastAsia"/>
          <w:lang w:eastAsia="zh-CN"/>
        </w:rPr>
        <w:t>亿m³ ，生态用水量为0.</w:t>
      </w:r>
      <w:r>
        <w:rPr>
          <w:rFonts w:hint="eastAsia"/>
          <w:lang w:val="en-US" w:eastAsia="zh-CN"/>
        </w:rPr>
        <w:t>23</w:t>
      </w:r>
      <w:r>
        <w:rPr>
          <w:rFonts w:hint="eastAsia"/>
          <w:lang w:eastAsia="zh-CN"/>
        </w:rPr>
        <w:t>亿m³。</w:t>
      </w:r>
    </w:p>
    <w:p w14:paraId="236C148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color w:val="auto"/>
          <w:lang w:eastAsia="zh-CN"/>
        </w:rPr>
      </w:pPr>
      <w:r>
        <w:rPr>
          <w:rFonts w:hint="eastAsia"/>
          <w:lang w:eastAsia="zh-CN"/>
        </w:rPr>
        <w:t>经预测，2030、2035年红寺堡区经济社会需水量分别为2.</w:t>
      </w:r>
      <w:r>
        <w:rPr>
          <w:rFonts w:hint="eastAsia"/>
          <w:lang w:val="en-US" w:eastAsia="zh-CN"/>
        </w:rPr>
        <w:t>678</w:t>
      </w:r>
      <w:r>
        <w:rPr>
          <w:rFonts w:hint="eastAsia"/>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、2.</w:t>
      </w:r>
      <w:r>
        <w:rPr>
          <w:rFonts w:hint="eastAsia" w:ascii="仿宋_GB2312" w:hAnsi="仿宋_GB2312" w:eastAsia="仿宋_GB2312" w:cs="仿宋_GB2312"/>
          <w:color w:val="auto"/>
          <w:lang w:val="en-US" w:eastAsia="zh-CN"/>
        </w:rPr>
        <w:t>667</w:t>
      </w:r>
      <w:r>
        <w:rPr>
          <w:rFonts w:hint="eastAsia" w:ascii="仿宋_GB2312" w:hAnsi="仿宋_GB2312" w:eastAsia="仿宋_GB2312" w:cs="仿宋_GB2312"/>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w:t>
      </w:r>
    </w:p>
    <w:p w14:paraId="5FF807D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color w:val="auto"/>
          <w:lang w:eastAsia="zh-CN"/>
        </w:rPr>
      </w:pPr>
    </w:p>
    <w:p w14:paraId="3E1CD0F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color w:val="auto"/>
          <w:lang w:eastAsia="zh-CN"/>
        </w:rPr>
      </w:pPr>
    </w:p>
    <w:p w14:paraId="7D1F3596">
      <w:pPr>
        <w:keepNext w:val="0"/>
        <w:keepLines w:val="0"/>
        <w:pageBreakBefore w:val="0"/>
        <w:widowControl w:val="0"/>
        <w:kinsoku/>
        <w:wordWrap/>
        <w:overflowPunct w:val="0"/>
        <w:topLinePunct w:val="0"/>
        <w:autoSpaceDE w:val="0"/>
        <w:autoSpaceDN w:val="0"/>
        <w:bidi w:val="0"/>
        <w:adjustRightInd w:val="0"/>
        <w:snapToGrid w:val="0"/>
        <w:spacing w:before="32" w:line="214" w:lineRule="auto"/>
        <w:ind w:left="0" w:leftChars="0" w:firstLine="0" w:firstLineChars="0"/>
        <w:jc w:val="both"/>
        <w:textAlignment w:val="baseline"/>
        <w:rPr>
          <w:rFonts w:hint="eastAsia" w:ascii="黑体" w:hAnsi="黑体" w:eastAsia="黑体" w:cs="黑体"/>
          <w:b w:val="0"/>
          <w:bCs w:val="0"/>
          <w:color w:val="auto"/>
          <w:spacing w:val="-1"/>
          <w:sz w:val="28"/>
          <w:szCs w:val="28"/>
          <w:lang w:eastAsia="zh-CN"/>
        </w:rPr>
      </w:pPr>
      <w:r>
        <w:rPr>
          <w:rFonts w:hint="eastAsia" w:ascii="黑体" w:hAnsi="黑体" w:eastAsia="黑体" w:cs="黑体"/>
          <w:b w:val="0"/>
          <w:bCs w:val="0"/>
          <w:color w:val="auto"/>
          <w:spacing w:val="-1"/>
          <w:sz w:val="28"/>
          <w:szCs w:val="28"/>
          <w:lang w:eastAsia="zh-CN"/>
        </w:rPr>
        <w:t>表</w:t>
      </w:r>
      <w:r>
        <w:rPr>
          <w:rFonts w:hint="eastAsia" w:ascii="黑体" w:hAnsi="黑体" w:eastAsia="黑体" w:cs="黑体"/>
          <w:b w:val="0"/>
          <w:bCs w:val="0"/>
          <w:color w:val="auto"/>
          <w:spacing w:val="-1"/>
          <w:sz w:val="28"/>
          <w:szCs w:val="28"/>
          <w:lang w:val="en-US" w:eastAsia="zh-CN"/>
        </w:rPr>
        <w:t>3.2</w:t>
      </w:r>
      <w:r>
        <w:rPr>
          <w:rFonts w:hint="eastAsia" w:ascii="黑体" w:hAnsi="黑体" w:eastAsia="黑体" w:cs="黑体"/>
          <w:b w:val="0"/>
          <w:bCs w:val="0"/>
          <w:color w:val="auto"/>
          <w:spacing w:val="-1"/>
          <w:sz w:val="28"/>
          <w:szCs w:val="28"/>
          <w:lang w:eastAsia="zh-CN"/>
        </w:rPr>
        <w:t>-</w:t>
      </w:r>
      <w:r>
        <w:rPr>
          <w:rFonts w:hint="eastAsia" w:ascii="黑体" w:hAnsi="黑体" w:eastAsia="黑体" w:cs="黑体"/>
          <w:b w:val="0"/>
          <w:bCs w:val="0"/>
          <w:color w:val="auto"/>
          <w:spacing w:val="-1"/>
          <w:sz w:val="28"/>
          <w:szCs w:val="28"/>
          <w:lang w:val="en-US" w:eastAsia="zh-CN"/>
        </w:rPr>
        <w:t>3</w:t>
      </w:r>
      <w:r>
        <w:rPr>
          <w:rFonts w:hint="eastAsia" w:ascii="黑体" w:hAnsi="黑体" w:eastAsia="黑体" w:cs="黑体"/>
          <w:b w:val="0"/>
          <w:bCs w:val="0"/>
          <w:color w:val="auto"/>
          <w:spacing w:val="-1"/>
          <w:sz w:val="28"/>
          <w:szCs w:val="28"/>
          <w:lang w:eastAsia="zh-CN"/>
        </w:rPr>
        <w:t xml:space="preserve">        需水量预测</w:t>
      </w:r>
    </w:p>
    <w:tbl>
      <w:tblPr>
        <w:tblStyle w:val="21"/>
        <w:tblpPr w:leftFromText="180" w:rightFromText="180" w:vertAnchor="text" w:horzAnchor="page" w:tblpX="1817" w:tblpY="11"/>
        <w:tblOverlap w:val="never"/>
        <w:tblW w:w="8432"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225"/>
        <w:gridCol w:w="1171"/>
        <w:gridCol w:w="1204"/>
        <w:gridCol w:w="1204"/>
        <w:gridCol w:w="1206"/>
        <w:gridCol w:w="1204"/>
        <w:gridCol w:w="1218"/>
      </w:tblGrid>
      <w:tr w14:paraId="053356B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4" w:hRule="atLeast"/>
        </w:trPr>
        <w:tc>
          <w:tcPr>
            <w:tcW w:w="1225" w:type="dxa"/>
            <w:vMerge w:val="restart"/>
            <w:tcBorders>
              <w:top w:val="single" w:color="000000" w:sz="12" w:space="0"/>
              <w:left w:val="single" w:color="000000" w:sz="12" w:space="0"/>
              <w:bottom w:val="single" w:color="000000" w:sz="4" w:space="0"/>
              <w:right w:val="single" w:color="000000" w:sz="4" w:space="0"/>
            </w:tcBorders>
            <w:vAlign w:val="center"/>
          </w:tcPr>
          <w:p w14:paraId="564F9686">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地区</w:t>
            </w:r>
          </w:p>
        </w:tc>
        <w:tc>
          <w:tcPr>
            <w:tcW w:w="1171" w:type="dxa"/>
            <w:vMerge w:val="restart"/>
            <w:tcBorders>
              <w:top w:val="single" w:color="000000" w:sz="12" w:space="0"/>
              <w:left w:val="single" w:color="000000" w:sz="4" w:space="0"/>
              <w:bottom w:val="single" w:color="000000" w:sz="4" w:space="0"/>
              <w:right w:val="single" w:color="000000" w:sz="4" w:space="0"/>
            </w:tcBorders>
            <w:vAlign w:val="center"/>
          </w:tcPr>
          <w:p w14:paraId="05CAB4AB">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水平年</w:t>
            </w:r>
          </w:p>
        </w:tc>
        <w:tc>
          <w:tcPr>
            <w:tcW w:w="6036" w:type="dxa"/>
            <w:gridSpan w:val="5"/>
            <w:tcBorders>
              <w:top w:val="single" w:color="000000" w:sz="12" w:space="0"/>
              <w:left w:val="single" w:color="000000" w:sz="4" w:space="0"/>
              <w:bottom w:val="single" w:color="000000" w:sz="4" w:space="0"/>
              <w:right w:val="single" w:color="000000" w:sz="12" w:space="0"/>
            </w:tcBorders>
            <w:vAlign w:val="center"/>
          </w:tcPr>
          <w:p w14:paraId="692A1E4C">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需水量（亿m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r>
      <w:tr w14:paraId="5A041F1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0" w:hRule="atLeast"/>
        </w:trPr>
        <w:tc>
          <w:tcPr>
            <w:tcW w:w="1225" w:type="dxa"/>
            <w:vMerge w:val="continue"/>
            <w:tcBorders>
              <w:top w:val="single" w:color="000000" w:sz="4" w:space="0"/>
              <w:left w:val="single" w:color="000000" w:sz="12" w:space="0"/>
              <w:bottom w:val="single" w:color="000000" w:sz="4" w:space="0"/>
              <w:right w:val="single" w:color="000000" w:sz="4" w:space="0"/>
            </w:tcBorders>
            <w:vAlign w:val="center"/>
          </w:tcPr>
          <w:p w14:paraId="6FE3F63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p>
        </w:tc>
        <w:tc>
          <w:tcPr>
            <w:tcW w:w="1171" w:type="dxa"/>
            <w:vMerge w:val="continue"/>
            <w:tcBorders>
              <w:top w:val="single" w:color="000000" w:sz="4" w:space="0"/>
              <w:left w:val="single" w:color="000000" w:sz="4" w:space="0"/>
              <w:bottom w:val="single" w:color="000000" w:sz="4" w:space="0"/>
              <w:right w:val="single" w:color="000000" w:sz="4" w:space="0"/>
            </w:tcBorders>
            <w:vAlign w:val="center"/>
          </w:tcPr>
          <w:p w14:paraId="6E120106">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p>
        </w:tc>
        <w:tc>
          <w:tcPr>
            <w:tcW w:w="1204" w:type="dxa"/>
            <w:tcBorders>
              <w:top w:val="single" w:color="000000" w:sz="4" w:space="0"/>
              <w:left w:val="single" w:color="000000" w:sz="4" w:space="0"/>
              <w:bottom w:val="single" w:color="000000" w:sz="4" w:space="0"/>
              <w:right w:val="single" w:color="000000" w:sz="4" w:space="0"/>
            </w:tcBorders>
            <w:vAlign w:val="center"/>
          </w:tcPr>
          <w:p w14:paraId="5A3417E5">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综合生活</w:t>
            </w:r>
          </w:p>
        </w:tc>
        <w:tc>
          <w:tcPr>
            <w:tcW w:w="1204" w:type="dxa"/>
            <w:tcBorders>
              <w:top w:val="single" w:color="000000" w:sz="4" w:space="0"/>
              <w:left w:val="single" w:color="000000" w:sz="4" w:space="0"/>
              <w:bottom w:val="single" w:color="000000" w:sz="4" w:space="0"/>
              <w:right w:val="single" w:color="000000" w:sz="4" w:space="0"/>
            </w:tcBorders>
            <w:vAlign w:val="center"/>
          </w:tcPr>
          <w:p w14:paraId="51BF8A0A">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工业</w:t>
            </w:r>
          </w:p>
        </w:tc>
        <w:tc>
          <w:tcPr>
            <w:tcW w:w="1206" w:type="dxa"/>
            <w:tcBorders>
              <w:top w:val="single" w:color="000000" w:sz="4" w:space="0"/>
              <w:left w:val="single" w:color="000000" w:sz="4" w:space="0"/>
              <w:bottom w:val="single" w:color="000000" w:sz="4" w:space="0"/>
              <w:right w:val="single" w:color="000000" w:sz="4" w:space="0"/>
            </w:tcBorders>
            <w:vAlign w:val="center"/>
          </w:tcPr>
          <w:p w14:paraId="5D2A9541">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农业</w:t>
            </w:r>
          </w:p>
        </w:tc>
        <w:tc>
          <w:tcPr>
            <w:tcW w:w="1204" w:type="dxa"/>
            <w:tcBorders>
              <w:top w:val="single" w:color="000000" w:sz="4" w:space="0"/>
              <w:left w:val="single" w:color="000000" w:sz="4" w:space="0"/>
              <w:bottom w:val="single" w:color="000000" w:sz="4" w:space="0"/>
              <w:right w:val="single" w:color="000000" w:sz="4" w:space="0"/>
            </w:tcBorders>
            <w:vAlign w:val="center"/>
          </w:tcPr>
          <w:p w14:paraId="100DCC8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生态环境</w:t>
            </w:r>
          </w:p>
        </w:tc>
        <w:tc>
          <w:tcPr>
            <w:tcW w:w="1218" w:type="dxa"/>
            <w:tcBorders>
              <w:top w:val="single" w:color="000000" w:sz="4" w:space="0"/>
              <w:left w:val="single" w:color="000000" w:sz="4" w:space="0"/>
              <w:bottom w:val="single" w:color="000000" w:sz="4" w:space="0"/>
              <w:right w:val="single" w:color="000000" w:sz="12" w:space="0"/>
            </w:tcBorders>
            <w:vAlign w:val="center"/>
          </w:tcPr>
          <w:p w14:paraId="64F8B7E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总需水量</w:t>
            </w:r>
          </w:p>
        </w:tc>
      </w:tr>
      <w:tr w14:paraId="58D8A8B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0" w:hRule="atLeast"/>
        </w:trPr>
        <w:tc>
          <w:tcPr>
            <w:tcW w:w="1225" w:type="dxa"/>
            <w:vMerge w:val="restart"/>
            <w:tcBorders>
              <w:top w:val="single" w:color="000000" w:sz="4" w:space="0"/>
              <w:left w:val="single" w:color="000000" w:sz="12" w:space="0"/>
              <w:bottom w:val="single" w:color="000000" w:sz="4" w:space="0"/>
              <w:right w:val="single" w:color="000000" w:sz="4" w:space="0"/>
            </w:tcBorders>
            <w:vAlign w:val="center"/>
          </w:tcPr>
          <w:p w14:paraId="415DE926">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红寺堡区</w:t>
            </w:r>
          </w:p>
        </w:tc>
        <w:tc>
          <w:tcPr>
            <w:tcW w:w="1171" w:type="dxa"/>
            <w:tcBorders>
              <w:top w:val="single" w:color="000000" w:sz="4" w:space="0"/>
              <w:left w:val="single" w:color="000000" w:sz="4" w:space="0"/>
              <w:bottom w:val="single" w:color="000000" w:sz="4" w:space="0"/>
              <w:right w:val="single" w:color="000000" w:sz="4" w:space="0"/>
            </w:tcBorders>
            <w:vAlign w:val="center"/>
          </w:tcPr>
          <w:p w14:paraId="7AD30655">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2030年</w:t>
            </w:r>
          </w:p>
        </w:tc>
        <w:tc>
          <w:tcPr>
            <w:tcW w:w="1204" w:type="dxa"/>
            <w:tcBorders>
              <w:top w:val="single" w:color="000000" w:sz="4" w:space="0"/>
              <w:left w:val="single" w:color="000000" w:sz="4" w:space="0"/>
              <w:bottom w:val="single" w:color="000000" w:sz="4" w:space="0"/>
              <w:right w:val="single" w:color="000000" w:sz="4" w:space="0"/>
            </w:tcBorders>
            <w:vAlign w:val="center"/>
          </w:tcPr>
          <w:p w14:paraId="7DC9917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167</w:t>
            </w:r>
          </w:p>
        </w:tc>
        <w:tc>
          <w:tcPr>
            <w:tcW w:w="1204" w:type="dxa"/>
            <w:tcBorders>
              <w:top w:val="single" w:color="000000" w:sz="4" w:space="0"/>
              <w:left w:val="single" w:color="000000" w:sz="4" w:space="0"/>
              <w:bottom w:val="single" w:color="000000" w:sz="4" w:space="0"/>
              <w:right w:val="single" w:color="000000" w:sz="4" w:space="0"/>
            </w:tcBorders>
            <w:vAlign w:val="center"/>
          </w:tcPr>
          <w:p w14:paraId="485709D2">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253</w:t>
            </w:r>
          </w:p>
        </w:tc>
        <w:tc>
          <w:tcPr>
            <w:tcW w:w="1206" w:type="dxa"/>
            <w:tcBorders>
              <w:top w:val="single" w:color="000000" w:sz="4" w:space="0"/>
              <w:left w:val="single" w:color="000000" w:sz="4" w:space="0"/>
              <w:bottom w:val="single" w:color="000000" w:sz="4" w:space="0"/>
              <w:right w:val="single" w:color="000000" w:sz="4" w:space="0"/>
            </w:tcBorders>
            <w:vAlign w:val="center"/>
          </w:tcPr>
          <w:p w14:paraId="4BE932C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2.44</w:t>
            </w:r>
          </w:p>
        </w:tc>
        <w:tc>
          <w:tcPr>
            <w:tcW w:w="1204" w:type="dxa"/>
            <w:tcBorders>
              <w:top w:val="single" w:color="000000" w:sz="4" w:space="0"/>
              <w:left w:val="single" w:color="000000" w:sz="4" w:space="0"/>
              <w:bottom w:val="single" w:color="000000" w:sz="4" w:space="0"/>
              <w:right w:val="single" w:color="000000" w:sz="4" w:space="0"/>
            </w:tcBorders>
            <w:vAlign w:val="center"/>
          </w:tcPr>
          <w:p w14:paraId="17559DEB">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307</w:t>
            </w:r>
          </w:p>
        </w:tc>
        <w:tc>
          <w:tcPr>
            <w:tcW w:w="1218" w:type="dxa"/>
            <w:tcBorders>
              <w:top w:val="single" w:color="000000" w:sz="4" w:space="0"/>
              <w:left w:val="single" w:color="000000" w:sz="4" w:space="0"/>
              <w:bottom w:val="single" w:color="000000" w:sz="4" w:space="0"/>
              <w:right w:val="single" w:color="000000" w:sz="12" w:space="0"/>
            </w:tcBorders>
            <w:vAlign w:val="center"/>
          </w:tcPr>
          <w:p w14:paraId="7F377FB0">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3.168</w:t>
            </w:r>
          </w:p>
        </w:tc>
      </w:tr>
      <w:tr w14:paraId="0992597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0" w:hRule="atLeast"/>
        </w:trPr>
        <w:tc>
          <w:tcPr>
            <w:tcW w:w="1225" w:type="dxa"/>
            <w:vMerge w:val="continue"/>
            <w:tcBorders>
              <w:top w:val="single" w:color="000000" w:sz="4" w:space="0"/>
              <w:left w:val="single" w:color="000000" w:sz="12" w:space="0"/>
              <w:bottom w:val="single" w:color="000000" w:sz="12" w:space="0"/>
              <w:right w:val="single" w:color="000000" w:sz="4" w:space="0"/>
            </w:tcBorders>
            <w:vAlign w:val="center"/>
          </w:tcPr>
          <w:p w14:paraId="4C0C2750">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p>
        </w:tc>
        <w:tc>
          <w:tcPr>
            <w:tcW w:w="1171" w:type="dxa"/>
            <w:tcBorders>
              <w:top w:val="single" w:color="000000" w:sz="4" w:space="0"/>
              <w:left w:val="single" w:color="000000" w:sz="4" w:space="0"/>
              <w:bottom w:val="single" w:color="000000" w:sz="12" w:space="0"/>
              <w:right w:val="single" w:color="000000" w:sz="4" w:space="0"/>
            </w:tcBorders>
            <w:vAlign w:val="center"/>
          </w:tcPr>
          <w:p w14:paraId="27D219B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2035年</w:t>
            </w:r>
          </w:p>
        </w:tc>
        <w:tc>
          <w:tcPr>
            <w:tcW w:w="1204" w:type="dxa"/>
            <w:tcBorders>
              <w:top w:val="single" w:color="000000" w:sz="4" w:space="0"/>
              <w:left w:val="single" w:color="000000" w:sz="4" w:space="0"/>
              <w:bottom w:val="single" w:color="000000" w:sz="12" w:space="0"/>
              <w:right w:val="single" w:color="000000" w:sz="4" w:space="0"/>
            </w:tcBorders>
            <w:vAlign w:val="center"/>
          </w:tcPr>
          <w:p w14:paraId="4B0615B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0.</w:t>
            </w:r>
            <w:r>
              <w:rPr>
                <w:rFonts w:hint="eastAsia" w:ascii="宋体" w:hAnsi="宋体" w:eastAsia="宋体" w:cs="宋体"/>
                <w:color w:val="auto"/>
                <w:sz w:val="21"/>
                <w:szCs w:val="21"/>
                <w:lang w:val="en-US" w:eastAsia="zh-CN"/>
              </w:rPr>
              <w:t>165</w:t>
            </w:r>
          </w:p>
        </w:tc>
        <w:tc>
          <w:tcPr>
            <w:tcW w:w="1204" w:type="dxa"/>
            <w:tcBorders>
              <w:top w:val="single" w:color="000000" w:sz="4" w:space="0"/>
              <w:left w:val="single" w:color="000000" w:sz="4" w:space="0"/>
              <w:bottom w:val="single" w:color="000000" w:sz="12" w:space="0"/>
              <w:right w:val="single" w:color="000000" w:sz="4" w:space="0"/>
            </w:tcBorders>
            <w:vAlign w:val="center"/>
          </w:tcPr>
          <w:p w14:paraId="7E69A18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0.</w:t>
            </w:r>
            <w:r>
              <w:rPr>
                <w:rFonts w:hint="eastAsia" w:ascii="宋体" w:hAnsi="宋体" w:eastAsia="宋体" w:cs="宋体"/>
                <w:color w:val="auto"/>
                <w:sz w:val="21"/>
                <w:szCs w:val="21"/>
                <w:lang w:val="en-US" w:eastAsia="zh-CN"/>
              </w:rPr>
              <w:t>211</w:t>
            </w:r>
          </w:p>
        </w:tc>
        <w:tc>
          <w:tcPr>
            <w:tcW w:w="1206" w:type="dxa"/>
            <w:tcBorders>
              <w:top w:val="single" w:color="000000" w:sz="4" w:space="0"/>
              <w:left w:val="single" w:color="000000" w:sz="4" w:space="0"/>
              <w:bottom w:val="single" w:color="000000" w:sz="12" w:space="0"/>
              <w:right w:val="single" w:color="000000" w:sz="4" w:space="0"/>
            </w:tcBorders>
            <w:vAlign w:val="center"/>
          </w:tcPr>
          <w:p w14:paraId="43A7606D">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1.99</w:t>
            </w:r>
          </w:p>
        </w:tc>
        <w:tc>
          <w:tcPr>
            <w:tcW w:w="1204" w:type="dxa"/>
            <w:tcBorders>
              <w:top w:val="single" w:color="000000" w:sz="4" w:space="0"/>
              <w:left w:val="single" w:color="000000" w:sz="4" w:space="0"/>
              <w:bottom w:val="single" w:color="000000" w:sz="12" w:space="0"/>
              <w:right w:val="single" w:color="000000" w:sz="4" w:space="0"/>
            </w:tcBorders>
            <w:vAlign w:val="center"/>
          </w:tcPr>
          <w:p w14:paraId="0EB60F3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0.</w:t>
            </w:r>
            <w:r>
              <w:rPr>
                <w:rFonts w:hint="eastAsia" w:ascii="宋体" w:hAnsi="宋体" w:eastAsia="宋体" w:cs="宋体"/>
                <w:color w:val="auto"/>
                <w:sz w:val="21"/>
                <w:szCs w:val="21"/>
                <w:lang w:val="en-US" w:eastAsia="zh-CN"/>
              </w:rPr>
              <w:t>23</w:t>
            </w:r>
          </w:p>
        </w:tc>
        <w:tc>
          <w:tcPr>
            <w:tcW w:w="1218" w:type="dxa"/>
            <w:tcBorders>
              <w:top w:val="single" w:color="000000" w:sz="4" w:space="0"/>
              <w:left w:val="single" w:color="000000" w:sz="4" w:space="0"/>
              <w:bottom w:val="single" w:color="000000" w:sz="12" w:space="0"/>
              <w:right w:val="single" w:color="000000" w:sz="12" w:space="0"/>
            </w:tcBorders>
            <w:vAlign w:val="center"/>
          </w:tcPr>
          <w:p w14:paraId="0958A4EB">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2.596</w:t>
            </w:r>
          </w:p>
        </w:tc>
      </w:tr>
    </w:tbl>
    <w:p w14:paraId="0C9839D7">
      <w:pPr>
        <w:keepNext w:val="0"/>
        <w:keepLines w:val="0"/>
        <w:pageBreakBefore w:val="0"/>
        <w:widowControl w:val="0"/>
        <w:kinsoku/>
        <w:wordWrap/>
        <w:overflowPunct w:val="0"/>
        <w:topLinePunct w:val="0"/>
        <w:autoSpaceDE w:val="0"/>
        <w:autoSpaceDN w:val="0"/>
        <w:bidi w:val="0"/>
        <w:adjustRightInd w:val="0"/>
        <w:snapToGrid w:val="0"/>
        <w:spacing w:line="28" w:lineRule="exact"/>
        <w:ind w:firstLine="560"/>
        <w:jc w:val="both"/>
        <w:textAlignment w:val="baseline"/>
        <w:rPr>
          <w:rFonts w:hint="eastAsia" w:ascii="方正仿宋_GB2312" w:hAnsi="方正仿宋_GB2312" w:eastAsia="方正仿宋_GB2312" w:cs="方正仿宋_GB2312"/>
          <w:color w:val="0000FF"/>
        </w:rPr>
      </w:pPr>
    </w:p>
    <w:p w14:paraId="4C5A967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b/>
          <w:bCs/>
          <w:color w:val="auto"/>
        </w:rPr>
      </w:pPr>
      <w:bookmarkStart w:id="93" w:name="_Toc24250"/>
      <w:bookmarkStart w:id="94" w:name="_Toc5340"/>
      <w:bookmarkStart w:id="95" w:name="_Toc20657"/>
      <w:r>
        <w:rPr>
          <w:rFonts w:hint="eastAsia" w:ascii="仿宋_GB2312" w:hAnsi="仿宋_GB2312" w:cs="仿宋_GB2312"/>
          <w:b/>
          <w:bCs/>
          <w:color w:val="auto"/>
          <w:lang w:val="en-US" w:eastAsia="zh-CN"/>
        </w:rPr>
        <w:t>4.</w:t>
      </w:r>
      <w:r>
        <w:rPr>
          <w:rFonts w:hint="eastAsia" w:ascii="仿宋_GB2312" w:hAnsi="仿宋_GB2312" w:eastAsia="仿宋_GB2312" w:cs="仿宋_GB2312"/>
          <w:b/>
          <w:bCs/>
          <w:color w:val="auto"/>
        </w:rPr>
        <w:t>可供水量分析</w:t>
      </w:r>
      <w:bookmarkEnd w:id="93"/>
      <w:bookmarkEnd w:id="94"/>
      <w:bookmarkEnd w:id="95"/>
    </w:p>
    <w:p w14:paraId="03F42E4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color w:val="auto"/>
          <w:lang w:eastAsia="zh-CN"/>
        </w:rPr>
      </w:pPr>
      <w:r>
        <w:rPr>
          <w:rFonts w:hint="eastAsia"/>
          <w:lang w:eastAsia="zh-CN"/>
        </w:rPr>
        <w:t>根据《自治区水利厅关于印发 2023 年宁夏水量分配及调度计划的通知》（宁水资发〔2023〕4 号），2023 年红寺堡区取水总量控制指标为 2.484 亿 m</w:t>
      </w:r>
      <w:r>
        <w:rPr>
          <w:rFonts w:hint="eastAsia"/>
          <w:vertAlign w:val="superscript"/>
          <w:lang w:eastAsia="zh-CN"/>
        </w:rPr>
        <w:t>3</w:t>
      </w:r>
      <w:r>
        <w:rPr>
          <w:rFonts w:hint="eastAsia"/>
          <w:lang w:eastAsia="zh-CN"/>
        </w:rPr>
        <w:t>，其中黄河水为2.425亿 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，地下水为0.041亿m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，非常规水源0.018亿m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；2024年红寺堡区取水总量控制指标为2.486亿m</w:t>
      </w:r>
      <w:r>
        <w:rPr>
          <w:rFonts w:hint="eastAsia" w:ascii="仿宋_GB2312" w:hAnsi="仿宋_GB2312" w:eastAsia="仿宋_GB2312" w:cs="仿宋_GB2312"/>
          <w:color w:val="auto"/>
          <w:vertAlign w:val="superscript"/>
          <w:lang w:eastAsia="zh-CN"/>
        </w:rPr>
        <w:t>3</w:t>
      </w:r>
      <w:r>
        <w:rPr>
          <w:rFonts w:hint="eastAsia" w:ascii="仿宋_GB2312" w:hAnsi="仿宋_GB2312" w:eastAsia="仿宋_GB2312" w:cs="仿宋_GB2312"/>
          <w:color w:val="auto"/>
          <w:lang w:eastAsia="zh-CN"/>
        </w:rPr>
        <w:t>，其中黄河水为2.429亿m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，地下水为0.035亿m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，非常规水源0.022亿m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；2025 年红寺堡区取水总量控制指标为2.515亿m</w:t>
      </w:r>
      <w:r>
        <w:rPr>
          <w:rFonts w:hint="eastAsia" w:ascii="仿宋_GB2312" w:hAnsi="仿宋_GB2312" w:eastAsia="仿宋_GB2312" w:cs="仿宋_GB2312"/>
          <w:color w:val="auto"/>
          <w:vertAlign w:val="superscript"/>
          <w:lang w:eastAsia="zh-CN"/>
        </w:rPr>
        <w:t>3</w:t>
      </w:r>
      <w:r>
        <w:rPr>
          <w:rFonts w:hint="eastAsia" w:ascii="仿宋_GB2312" w:hAnsi="仿宋_GB2312" w:eastAsia="仿宋_GB2312" w:cs="仿宋_GB2312"/>
          <w:color w:val="auto"/>
          <w:lang w:eastAsia="zh-CN"/>
        </w:rPr>
        <w:t>，其中黄河水为2.45亿m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 xml:space="preserve"> ，地下水为0.035亿m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，非常规水源0.03亿 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；详见表3-2。</w:t>
      </w:r>
    </w:p>
    <w:p w14:paraId="619462A2">
      <w:pPr>
        <w:keepNext w:val="0"/>
        <w:keepLines w:val="0"/>
        <w:pageBreakBefore w:val="0"/>
        <w:widowControl w:val="0"/>
        <w:kinsoku/>
        <w:wordWrap/>
        <w:overflowPunct w:val="0"/>
        <w:topLinePunct w:val="0"/>
        <w:autoSpaceDE w:val="0"/>
        <w:autoSpaceDN w:val="0"/>
        <w:bidi w:val="0"/>
        <w:adjustRightInd w:val="0"/>
        <w:snapToGrid w:val="0"/>
        <w:spacing w:before="32" w:line="214" w:lineRule="auto"/>
        <w:ind w:left="0" w:leftChars="0" w:firstLine="0" w:firstLineChars="0"/>
        <w:jc w:val="both"/>
        <w:textAlignment w:val="baseline"/>
        <w:rPr>
          <w:rFonts w:hint="eastAsia" w:ascii="黑体" w:hAnsi="黑体" w:eastAsia="黑体" w:cs="黑体"/>
          <w:b w:val="0"/>
          <w:bCs w:val="0"/>
          <w:color w:val="auto"/>
          <w:spacing w:val="-1"/>
          <w:sz w:val="28"/>
          <w:szCs w:val="28"/>
          <w:lang w:eastAsia="zh-CN"/>
        </w:rPr>
      </w:pPr>
      <w:r>
        <w:rPr>
          <w:rFonts w:hint="eastAsia" w:ascii="黑体" w:hAnsi="黑体" w:eastAsia="黑体" w:cs="黑体"/>
          <w:b w:val="0"/>
          <w:bCs w:val="0"/>
          <w:color w:val="auto"/>
          <w:spacing w:val="-1"/>
          <w:sz w:val="28"/>
          <w:szCs w:val="28"/>
          <w:lang w:eastAsia="zh-CN"/>
        </w:rPr>
        <w:t xml:space="preserve">表 </w:t>
      </w:r>
      <w:r>
        <w:rPr>
          <w:rFonts w:hint="eastAsia" w:ascii="黑体" w:hAnsi="黑体" w:eastAsia="黑体" w:cs="黑体"/>
          <w:b w:val="0"/>
          <w:bCs w:val="0"/>
          <w:color w:val="auto"/>
          <w:spacing w:val="-1"/>
          <w:sz w:val="28"/>
          <w:szCs w:val="28"/>
          <w:lang w:val="en-US" w:eastAsia="zh-CN"/>
        </w:rPr>
        <w:t>3.2</w:t>
      </w:r>
      <w:r>
        <w:rPr>
          <w:rFonts w:hint="eastAsia" w:ascii="黑体" w:hAnsi="黑体" w:eastAsia="黑体" w:cs="黑体"/>
          <w:b w:val="0"/>
          <w:bCs w:val="0"/>
          <w:color w:val="auto"/>
          <w:spacing w:val="-1"/>
          <w:sz w:val="28"/>
          <w:szCs w:val="28"/>
          <w:lang w:eastAsia="zh-CN"/>
        </w:rPr>
        <w:t>-</w:t>
      </w:r>
      <w:r>
        <w:rPr>
          <w:rFonts w:hint="eastAsia" w:ascii="黑体" w:hAnsi="黑体" w:eastAsia="黑体" w:cs="黑体"/>
          <w:b w:val="0"/>
          <w:bCs w:val="0"/>
          <w:color w:val="auto"/>
          <w:spacing w:val="-1"/>
          <w:sz w:val="28"/>
          <w:szCs w:val="28"/>
          <w:lang w:val="en-US" w:eastAsia="zh-CN"/>
        </w:rPr>
        <w:t>4</w:t>
      </w:r>
      <w:r>
        <w:rPr>
          <w:rFonts w:hint="eastAsia" w:ascii="黑体" w:hAnsi="黑体" w:eastAsia="黑体" w:cs="黑体"/>
          <w:b w:val="0"/>
          <w:bCs w:val="0"/>
          <w:color w:val="auto"/>
          <w:spacing w:val="-1"/>
          <w:sz w:val="28"/>
          <w:szCs w:val="28"/>
          <w:lang w:eastAsia="zh-CN"/>
        </w:rPr>
        <w:t xml:space="preserve">  红寺堡区取水总量控制指标表 单位：亿 m</w:t>
      </w:r>
      <w:r>
        <w:rPr>
          <w:rFonts w:hint="eastAsia" w:ascii="黑体" w:hAnsi="黑体" w:eastAsia="黑体" w:cs="黑体"/>
          <w:b w:val="0"/>
          <w:bCs w:val="0"/>
          <w:color w:val="auto"/>
          <w:spacing w:val="-1"/>
          <w:sz w:val="28"/>
          <w:szCs w:val="28"/>
          <w:vertAlign w:val="superscript"/>
          <w:lang w:eastAsia="zh-CN"/>
        </w:rPr>
        <w:t>3</w:t>
      </w:r>
    </w:p>
    <w:tbl>
      <w:tblPr>
        <w:tblStyle w:val="21"/>
        <w:tblW w:w="919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8"/>
        <w:gridCol w:w="1149"/>
        <w:gridCol w:w="1149"/>
        <w:gridCol w:w="1149"/>
        <w:gridCol w:w="1149"/>
        <w:gridCol w:w="1149"/>
        <w:gridCol w:w="1149"/>
        <w:gridCol w:w="1149"/>
      </w:tblGrid>
      <w:tr w14:paraId="7B9D4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jc w:val="center"/>
        </w:trPr>
        <w:tc>
          <w:tcPr>
            <w:tcW w:w="850" w:type="dxa"/>
            <w:vMerge w:val="restart"/>
            <w:tcBorders>
              <w:top w:val="single" w:color="auto" w:sz="12" w:space="0"/>
              <w:left w:val="single" w:color="auto" w:sz="12" w:space="0"/>
              <w:bottom w:val="single" w:color="auto" w:sz="4" w:space="0"/>
              <w:right w:val="single" w:color="auto" w:sz="4" w:space="0"/>
            </w:tcBorders>
            <w:vAlign w:val="center"/>
          </w:tcPr>
          <w:p w14:paraId="61FBA8F0">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年份</w:t>
            </w:r>
          </w:p>
        </w:tc>
        <w:tc>
          <w:tcPr>
            <w:tcW w:w="850" w:type="dxa"/>
            <w:vMerge w:val="restart"/>
            <w:tcBorders>
              <w:top w:val="single" w:color="auto" w:sz="12" w:space="0"/>
              <w:left w:val="single" w:color="auto" w:sz="4" w:space="0"/>
              <w:bottom w:val="single" w:color="auto" w:sz="4" w:space="0"/>
              <w:right w:val="single" w:color="auto" w:sz="4" w:space="0"/>
            </w:tcBorders>
            <w:vAlign w:val="center"/>
          </w:tcPr>
          <w:p w14:paraId="436354B9">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取水总量</w:t>
            </w:r>
          </w:p>
        </w:tc>
        <w:tc>
          <w:tcPr>
            <w:tcW w:w="850" w:type="dxa"/>
            <w:gridSpan w:val="3"/>
            <w:tcBorders>
              <w:top w:val="single" w:color="auto" w:sz="12" w:space="0"/>
              <w:left w:val="single" w:color="auto" w:sz="4" w:space="0"/>
              <w:bottom w:val="single" w:color="auto" w:sz="4" w:space="0"/>
              <w:right w:val="single" w:color="auto" w:sz="4" w:space="0"/>
            </w:tcBorders>
            <w:vAlign w:val="center"/>
          </w:tcPr>
          <w:p w14:paraId="191FD340">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rPr>
              <w:t>取水量</w:t>
            </w:r>
            <w:r>
              <w:rPr>
                <w:rFonts w:hint="eastAsia" w:ascii="方正仿宋_GB2312" w:hAnsi="方正仿宋_GB2312" w:eastAsia="方正仿宋_GB2312" w:cs="方正仿宋_GB2312"/>
                <w:color w:val="auto"/>
                <w:lang w:eastAsia="zh-CN"/>
              </w:rPr>
              <w:t>控制指标</w:t>
            </w:r>
          </w:p>
        </w:tc>
        <w:tc>
          <w:tcPr>
            <w:tcW w:w="850" w:type="dxa"/>
            <w:gridSpan w:val="3"/>
            <w:tcBorders>
              <w:top w:val="single" w:color="auto" w:sz="12" w:space="0"/>
              <w:left w:val="single" w:color="auto" w:sz="4" w:space="0"/>
              <w:bottom w:val="single" w:color="auto" w:sz="4" w:space="0"/>
              <w:right w:val="single" w:color="auto" w:sz="12" w:space="0"/>
            </w:tcBorders>
            <w:vAlign w:val="center"/>
          </w:tcPr>
          <w:p w14:paraId="5054C7FF">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用水户指标</w:t>
            </w:r>
          </w:p>
        </w:tc>
      </w:tr>
      <w:tr w14:paraId="080E0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850" w:type="dxa"/>
            <w:vMerge w:val="continue"/>
            <w:tcBorders>
              <w:top w:val="single" w:color="auto" w:sz="4" w:space="0"/>
              <w:left w:val="single" w:color="auto" w:sz="12" w:space="0"/>
              <w:bottom w:val="single" w:color="auto" w:sz="4" w:space="0"/>
              <w:right w:val="single" w:color="auto" w:sz="4" w:space="0"/>
            </w:tcBorders>
            <w:vAlign w:val="center"/>
          </w:tcPr>
          <w:p w14:paraId="2434FCFF">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F82AE0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p>
        </w:tc>
        <w:tc>
          <w:tcPr>
            <w:tcW w:w="850" w:type="dxa"/>
            <w:tcBorders>
              <w:top w:val="single" w:color="auto" w:sz="4" w:space="0"/>
              <w:left w:val="single" w:color="auto" w:sz="4" w:space="0"/>
              <w:bottom w:val="single" w:color="auto" w:sz="4" w:space="0"/>
              <w:right w:val="single" w:color="auto" w:sz="4" w:space="0"/>
            </w:tcBorders>
            <w:vAlign w:val="center"/>
          </w:tcPr>
          <w:p w14:paraId="0F79170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黄河水</w:t>
            </w:r>
          </w:p>
        </w:tc>
        <w:tc>
          <w:tcPr>
            <w:tcW w:w="850" w:type="dxa"/>
            <w:tcBorders>
              <w:top w:val="single" w:color="auto" w:sz="4" w:space="0"/>
              <w:left w:val="single" w:color="auto" w:sz="4" w:space="0"/>
              <w:bottom w:val="single" w:color="auto" w:sz="4" w:space="0"/>
              <w:right w:val="single" w:color="auto" w:sz="4" w:space="0"/>
            </w:tcBorders>
            <w:vAlign w:val="center"/>
          </w:tcPr>
          <w:p w14:paraId="6293F015">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地下水</w:t>
            </w:r>
          </w:p>
        </w:tc>
        <w:tc>
          <w:tcPr>
            <w:tcW w:w="850" w:type="dxa"/>
            <w:tcBorders>
              <w:top w:val="single" w:color="auto" w:sz="4" w:space="0"/>
              <w:left w:val="single" w:color="auto" w:sz="4" w:space="0"/>
              <w:bottom w:val="single" w:color="auto" w:sz="4" w:space="0"/>
              <w:right w:val="single" w:color="auto" w:sz="4" w:space="0"/>
            </w:tcBorders>
            <w:vAlign w:val="center"/>
          </w:tcPr>
          <w:p w14:paraId="2109531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lang w:eastAsia="zh-CN"/>
              </w:rPr>
              <w:t>非常规水</w:t>
            </w:r>
          </w:p>
        </w:tc>
        <w:tc>
          <w:tcPr>
            <w:tcW w:w="850" w:type="dxa"/>
            <w:tcBorders>
              <w:top w:val="single" w:color="auto" w:sz="4" w:space="0"/>
              <w:left w:val="single" w:color="auto" w:sz="4" w:space="0"/>
              <w:bottom w:val="single" w:color="auto" w:sz="4" w:space="0"/>
              <w:right w:val="single" w:color="auto" w:sz="4" w:space="0"/>
            </w:tcBorders>
            <w:vAlign w:val="center"/>
          </w:tcPr>
          <w:p w14:paraId="12BD92F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生活</w:t>
            </w:r>
          </w:p>
        </w:tc>
        <w:tc>
          <w:tcPr>
            <w:tcW w:w="850" w:type="dxa"/>
            <w:tcBorders>
              <w:top w:val="single" w:color="auto" w:sz="4" w:space="0"/>
              <w:left w:val="single" w:color="auto" w:sz="4" w:space="0"/>
              <w:bottom w:val="single" w:color="auto" w:sz="4" w:space="0"/>
              <w:right w:val="single" w:color="auto" w:sz="4" w:space="0"/>
            </w:tcBorders>
            <w:vAlign w:val="center"/>
          </w:tcPr>
          <w:p w14:paraId="2E88B644">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工业</w:t>
            </w:r>
          </w:p>
        </w:tc>
        <w:tc>
          <w:tcPr>
            <w:tcW w:w="850" w:type="dxa"/>
            <w:tcBorders>
              <w:top w:val="single" w:color="auto" w:sz="4" w:space="0"/>
              <w:left w:val="single" w:color="auto" w:sz="4" w:space="0"/>
              <w:bottom w:val="single" w:color="auto" w:sz="4" w:space="0"/>
              <w:right w:val="single" w:color="auto" w:sz="12" w:space="0"/>
            </w:tcBorders>
            <w:vAlign w:val="center"/>
          </w:tcPr>
          <w:p w14:paraId="55FE8945">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农业+生态</w:t>
            </w:r>
          </w:p>
        </w:tc>
      </w:tr>
      <w:tr w14:paraId="2A7CE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850" w:type="dxa"/>
            <w:tcBorders>
              <w:top w:val="single" w:color="auto" w:sz="4" w:space="0"/>
              <w:left w:val="single" w:color="auto" w:sz="12" w:space="0"/>
              <w:bottom w:val="single" w:color="auto" w:sz="4" w:space="0"/>
              <w:right w:val="single" w:color="auto" w:sz="4" w:space="0"/>
            </w:tcBorders>
            <w:vAlign w:val="center"/>
          </w:tcPr>
          <w:p w14:paraId="21AF512A">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2023</w:t>
            </w:r>
          </w:p>
        </w:tc>
        <w:tc>
          <w:tcPr>
            <w:tcW w:w="850" w:type="dxa"/>
            <w:tcBorders>
              <w:top w:val="single" w:color="auto" w:sz="4" w:space="0"/>
              <w:left w:val="single" w:color="auto" w:sz="4" w:space="0"/>
              <w:bottom w:val="single" w:color="auto" w:sz="4" w:space="0"/>
              <w:right w:val="single" w:color="auto" w:sz="4" w:space="0"/>
            </w:tcBorders>
            <w:vAlign w:val="center"/>
          </w:tcPr>
          <w:p w14:paraId="1E300289">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2.484</w:t>
            </w:r>
          </w:p>
        </w:tc>
        <w:tc>
          <w:tcPr>
            <w:tcW w:w="850" w:type="dxa"/>
            <w:tcBorders>
              <w:top w:val="single" w:color="auto" w:sz="4" w:space="0"/>
              <w:left w:val="single" w:color="auto" w:sz="4" w:space="0"/>
              <w:bottom w:val="single" w:color="auto" w:sz="4" w:space="0"/>
              <w:right w:val="single" w:color="auto" w:sz="4" w:space="0"/>
            </w:tcBorders>
            <w:vAlign w:val="center"/>
          </w:tcPr>
          <w:p w14:paraId="18CE1459">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2.484</w:t>
            </w:r>
          </w:p>
        </w:tc>
        <w:tc>
          <w:tcPr>
            <w:tcW w:w="850" w:type="dxa"/>
            <w:tcBorders>
              <w:top w:val="single" w:color="auto" w:sz="4" w:space="0"/>
              <w:left w:val="single" w:color="auto" w:sz="4" w:space="0"/>
              <w:bottom w:val="single" w:color="auto" w:sz="4" w:space="0"/>
              <w:right w:val="single" w:color="auto" w:sz="4" w:space="0"/>
            </w:tcBorders>
            <w:vAlign w:val="center"/>
          </w:tcPr>
          <w:p w14:paraId="5070FF5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0.0</w:t>
            </w:r>
            <w:r>
              <w:rPr>
                <w:rFonts w:hint="eastAsia" w:ascii="方正仿宋_GB2312" w:hAnsi="方正仿宋_GB2312" w:eastAsia="方正仿宋_GB2312" w:cs="方正仿宋_GB2312"/>
                <w:color w:val="auto"/>
                <w:lang w:eastAsia="zh-CN"/>
              </w:rPr>
              <w:t>41</w:t>
            </w:r>
          </w:p>
        </w:tc>
        <w:tc>
          <w:tcPr>
            <w:tcW w:w="850" w:type="dxa"/>
            <w:tcBorders>
              <w:top w:val="single" w:color="auto" w:sz="4" w:space="0"/>
              <w:left w:val="single" w:color="auto" w:sz="4" w:space="0"/>
              <w:bottom w:val="single" w:color="auto" w:sz="4" w:space="0"/>
              <w:right w:val="single" w:color="auto" w:sz="4" w:space="0"/>
            </w:tcBorders>
            <w:vAlign w:val="center"/>
          </w:tcPr>
          <w:p w14:paraId="76FEB8A5">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rPr>
              <w:t>0.0</w:t>
            </w:r>
            <w:r>
              <w:rPr>
                <w:rFonts w:hint="eastAsia" w:ascii="方正仿宋_GB2312" w:hAnsi="方正仿宋_GB2312" w:eastAsia="方正仿宋_GB2312" w:cs="方正仿宋_GB2312"/>
                <w:color w:val="auto"/>
                <w:lang w:eastAsia="zh-CN"/>
              </w:rPr>
              <w:t>18</w:t>
            </w:r>
          </w:p>
        </w:tc>
        <w:tc>
          <w:tcPr>
            <w:tcW w:w="850" w:type="dxa"/>
            <w:tcBorders>
              <w:top w:val="single" w:color="auto" w:sz="4" w:space="0"/>
              <w:left w:val="single" w:color="auto" w:sz="4" w:space="0"/>
              <w:bottom w:val="single" w:color="auto" w:sz="4" w:space="0"/>
              <w:right w:val="single" w:color="auto" w:sz="4" w:space="0"/>
            </w:tcBorders>
            <w:vAlign w:val="center"/>
          </w:tcPr>
          <w:p w14:paraId="6828A6E0">
            <w:pPr>
              <w:keepNext w:val="0"/>
              <w:keepLines w:val="0"/>
              <w:pageBreakBefore w:val="0"/>
              <w:widowControl w:val="0"/>
              <w:kinsoku/>
              <w:wordWrap/>
              <w:overflowPunct w:val="0"/>
              <w:topLinePunct w:val="0"/>
              <w:autoSpaceDE w:val="0"/>
              <w:autoSpaceDN w:val="0"/>
              <w:bidi w:val="0"/>
              <w:adjustRightInd w:val="0"/>
              <w:snapToGrid w:val="0"/>
              <w:ind w:firstLine="0" w:firstLineChars="0"/>
              <w:jc w:val="both"/>
              <w:textAlignment w:val="baseline"/>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lang w:eastAsia="zh-CN"/>
              </w:rPr>
              <w:t>0.109</w:t>
            </w:r>
          </w:p>
        </w:tc>
        <w:tc>
          <w:tcPr>
            <w:tcW w:w="850" w:type="dxa"/>
            <w:tcBorders>
              <w:top w:val="single" w:color="auto" w:sz="4" w:space="0"/>
              <w:left w:val="single" w:color="auto" w:sz="4" w:space="0"/>
              <w:bottom w:val="single" w:color="auto" w:sz="4" w:space="0"/>
              <w:right w:val="single" w:color="auto" w:sz="4" w:space="0"/>
            </w:tcBorders>
            <w:vAlign w:val="center"/>
          </w:tcPr>
          <w:p w14:paraId="0CB2AA5B">
            <w:pPr>
              <w:keepNext w:val="0"/>
              <w:keepLines w:val="0"/>
              <w:pageBreakBefore w:val="0"/>
              <w:widowControl w:val="0"/>
              <w:kinsoku/>
              <w:wordWrap/>
              <w:overflowPunct w:val="0"/>
              <w:topLinePunct w:val="0"/>
              <w:autoSpaceDE w:val="0"/>
              <w:autoSpaceDN w:val="0"/>
              <w:bidi w:val="0"/>
              <w:adjustRightInd w:val="0"/>
              <w:snapToGrid w:val="0"/>
              <w:ind w:firstLine="0" w:firstLineChars="0"/>
              <w:jc w:val="both"/>
              <w:textAlignment w:val="baseline"/>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lang w:eastAsia="zh-CN"/>
              </w:rPr>
              <w:t>0.138</w:t>
            </w:r>
          </w:p>
        </w:tc>
        <w:tc>
          <w:tcPr>
            <w:tcW w:w="850" w:type="dxa"/>
            <w:tcBorders>
              <w:top w:val="single" w:color="auto" w:sz="4" w:space="0"/>
              <w:left w:val="single" w:color="auto" w:sz="4" w:space="0"/>
              <w:bottom w:val="single" w:color="auto" w:sz="4" w:space="0"/>
              <w:right w:val="single" w:color="auto" w:sz="12" w:space="0"/>
            </w:tcBorders>
            <w:vAlign w:val="center"/>
          </w:tcPr>
          <w:p w14:paraId="2D060868">
            <w:pPr>
              <w:keepNext w:val="0"/>
              <w:keepLines w:val="0"/>
              <w:pageBreakBefore w:val="0"/>
              <w:widowControl w:val="0"/>
              <w:kinsoku/>
              <w:wordWrap/>
              <w:overflowPunct w:val="0"/>
              <w:topLinePunct w:val="0"/>
              <w:autoSpaceDE w:val="0"/>
              <w:autoSpaceDN w:val="0"/>
              <w:bidi w:val="0"/>
              <w:adjustRightInd w:val="0"/>
              <w:snapToGrid w:val="0"/>
              <w:ind w:firstLine="0" w:firstLineChars="0"/>
              <w:jc w:val="both"/>
              <w:textAlignment w:val="baseline"/>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lang w:eastAsia="zh-CN"/>
              </w:rPr>
              <w:t>2.237</w:t>
            </w:r>
          </w:p>
        </w:tc>
      </w:tr>
      <w:tr w14:paraId="580A6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850" w:type="dxa"/>
            <w:tcBorders>
              <w:top w:val="single" w:color="auto" w:sz="4" w:space="0"/>
              <w:left w:val="single" w:color="auto" w:sz="12" w:space="0"/>
              <w:bottom w:val="single" w:color="auto" w:sz="4" w:space="0"/>
              <w:right w:val="single" w:color="auto" w:sz="4" w:space="0"/>
            </w:tcBorders>
            <w:vAlign w:val="center"/>
          </w:tcPr>
          <w:p w14:paraId="6F313659">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2024</w:t>
            </w:r>
          </w:p>
        </w:tc>
        <w:tc>
          <w:tcPr>
            <w:tcW w:w="850" w:type="dxa"/>
            <w:tcBorders>
              <w:top w:val="single" w:color="auto" w:sz="4" w:space="0"/>
              <w:left w:val="single" w:color="auto" w:sz="4" w:space="0"/>
              <w:bottom w:val="single" w:color="auto" w:sz="4" w:space="0"/>
              <w:right w:val="single" w:color="auto" w:sz="4" w:space="0"/>
            </w:tcBorders>
            <w:vAlign w:val="center"/>
          </w:tcPr>
          <w:p w14:paraId="415635DD">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2.486</w:t>
            </w:r>
          </w:p>
        </w:tc>
        <w:tc>
          <w:tcPr>
            <w:tcW w:w="850" w:type="dxa"/>
            <w:tcBorders>
              <w:top w:val="single" w:color="auto" w:sz="4" w:space="0"/>
              <w:left w:val="single" w:color="auto" w:sz="4" w:space="0"/>
              <w:bottom w:val="single" w:color="auto" w:sz="4" w:space="0"/>
              <w:right w:val="single" w:color="auto" w:sz="4" w:space="0"/>
            </w:tcBorders>
            <w:vAlign w:val="center"/>
          </w:tcPr>
          <w:p w14:paraId="25530BA5">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2.429</w:t>
            </w:r>
          </w:p>
        </w:tc>
        <w:tc>
          <w:tcPr>
            <w:tcW w:w="850" w:type="dxa"/>
            <w:tcBorders>
              <w:top w:val="single" w:color="auto" w:sz="4" w:space="0"/>
              <w:left w:val="single" w:color="auto" w:sz="4" w:space="0"/>
              <w:bottom w:val="single" w:color="auto" w:sz="4" w:space="0"/>
              <w:right w:val="single" w:color="auto" w:sz="4" w:space="0"/>
            </w:tcBorders>
            <w:vAlign w:val="center"/>
          </w:tcPr>
          <w:p w14:paraId="0C9D7B4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0.035</w:t>
            </w:r>
          </w:p>
        </w:tc>
        <w:tc>
          <w:tcPr>
            <w:tcW w:w="850" w:type="dxa"/>
            <w:tcBorders>
              <w:top w:val="single" w:color="auto" w:sz="4" w:space="0"/>
              <w:left w:val="single" w:color="auto" w:sz="4" w:space="0"/>
              <w:bottom w:val="single" w:color="auto" w:sz="4" w:space="0"/>
              <w:right w:val="single" w:color="auto" w:sz="4" w:space="0"/>
            </w:tcBorders>
            <w:vAlign w:val="center"/>
          </w:tcPr>
          <w:p w14:paraId="72A0A29F">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0.022</w:t>
            </w:r>
          </w:p>
        </w:tc>
        <w:tc>
          <w:tcPr>
            <w:tcW w:w="850" w:type="dxa"/>
            <w:tcBorders>
              <w:top w:val="single" w:color="auto" w:sz="4" w:space="0"/>
              <w:left w:val="single" w:color="auto" w:sz="4" w:space="0"/>
              <w:bottom w:val="single" w:color="auto" w:sz="4" w:space="0"/>
              <w:right w:val="single" w:color="auto" w:sz="4" w:space="0"/>
            </w:tcBorders>
            <w:vAlign w:val="center"/>
          </w:tcPr>
          <w:p w14:paraId="2325656D">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0.113</w:t>
            </w:r>
          </w:p>
        </w:tc>
        <w:tc>
          <w:tcPr>
            <w:tcW w:w="850" w:type="dxa"/>
            <w:tcBorders>
              <w:top w:val="single" w:color="auto" w:sz="4" w:space="0"/>
              <w:left w:val="single" w:color="auto" w:sz="4" w:space="0"/>
              <w:bottom w:val="single" w:color="auto" w:sz="4" w:space="0"/>
              <w:right w:val="single" w:color="auto" w:sz="4" w:space="0"/>
            </w:tcBorders>
            <w:vAlign w:val="center"/>
          </w:tcPr>
          <w:p w14:paraId="4BFC285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0.154</w:t>
            </w:r>
          </w:p>
        </w:tc>
        <w:tc>
          <w:tcPr>
            <w:tcW w:w="850" w:type="dxa"/>
            <w:tcBorders>
              <w:top w:val="single" w:color="auto" w:sz="4" w:space="0"/>
              <w:left w:val="single" w:color="auto" w:sz="4" w:space="0"/>
              <w:bottom w:val="single" w:color="auto" w:sz="4" w:space="0"/>
              <w:right w:val="single" w:color="auto" w:sz="12" w:space="0"/>
            </w:tcBorders>
            <w:vAlign w:val="center"/>
          </w:tcPr>
          <w:p w14:paraId="41FD2028">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2.219</w:t>
            </w:r>
          </w:p>
        </w:tc>
      </w:tr>
      <w:tr w14:paraId="2BE1B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850" w:type="dxa"/>
            <w:tcBorders>
              <w:top w:val="single" w:color="auto" w:sz="4" w:space="0"/>
              <w:left w:val="single" w:color="auto" w:sz="12" w:space="0"/>
              <w:bottom w:val="single" w:color="auto" w:sz="12" w:space="0"/>
              <w:right w:val="single" w:color="auto" w:sz="4" w:space="0"/>
            </w:tcBorders>
            <w:vAlign w:val="center"/>
          </w:tcPr>
          <w:p w14:paraId="6DA746D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方正仿宋_GB2312" w:hAnsi="方正仿宋_GB2312" w:eastAsia="方正仿宋_GB2312" w:cs="方正仿宋_GB2312"/>
                <w:color w:val="auto"/>
                <w:lang w:val="en-US" w:eastAsia="zh-CN"/>
              </w:rPr>
            </w:pPr>
            <w:r>
              <w:rPr>
                <w:rFonts w:hint="eastAsia" w:ascii="方正仿宋_GB2312" w:hAnsi="方正仿宋_GB2312" w:cs="方正仿宋_GB2312"/>
                <w:color w:val="auto"/>
                <w:lang w:eastAsia="zh-CN"/>
              </w:rPr>
              <w:t>20</w:t>
            </w:r>
            <w:r>
              <w:rPr>
                <w:rFonts w:hint="eastAsia" w:ascii="方正仿宋_GB2312" w:hAnsi="方正仿宋_GB2312" w:cs="方正仿宋_GB2312"/>
                <w:color w:val="auto"/>
                <w:lang w:val="en-US" w:eastAsia="zh-CN"/>
              </w:rPr>
              <w:t>25</w:t>
            </w:r>
          </w:p>
        </w:tc>
        <w:tc>
          <w:tcPr>
            <w:tcW w:w="850" w:type="dxa"/>
            <w:tcBorders>
              <w:top w:val="single" w:color="auto" w:sz="4" w:space="0"/>
              <w:left w:val="single" w:color="auto" w:sz="4" w:space="0"/>
              <w:bottom w:val="single" w:color="auto" w:sz="12" w:space="0"/>
              <w:right w:val="single" w:color="auto" w:sz="4" w:space="0"/>
            </w:tcBorders>
            <w:vAlign w:val="center"/>
          </w:tcPr>
          <w:p w14:paraId="7DB2236C">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2.515</w:t>
            </w:r>
          </w:p>
        </w:tc>
        <w:tc>
          <w:tcPr>
            <w:tcW w:w="850" w:type="dxa"/>
            <w:tcBorders>
              <w:top w:val="single" w:color="auto" w:sz="4" w:space="0"/>
              <w:left w:val="single" w:color="auto" w:sz="4" w:space="0"/>
              <w:bottom w:val="single" w:color="auto" w:sz="12" w:space="0"/>
              <w:right w:val="single" w:color="auto" w:sz="4" w:space="0"/>
            </w:tcBorders>
            <w:vAlign w:val="center"/>
          </w:tcPr>
          <w:p w14:paraId="2FDAC4AB">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2.45</w:t>
            </w:r>
          </w:p>
        </w:tc>
        <w:tc>
          <w:tcPr>
            <w:tcW w:w="850" w:type="dxa"/>
            <w:tcBorders>
              <w:top w:val="single" w:color="auto" w:sz="4" w:space="0"/>
              <w:left w:val="single" w:color="auto" w:sz="4" w:space="0"/>
              <w:bottom w:val="single" w:color="auto" w:sz="12" w:space="0"/>
              <w:right w:val="single" w:color="auto" w:sz="4" w:space="0"/>
            </w:tcBorders>
            <w:vAlign w:val="center"/>
          </w:tcPr>
          <w:p w14:paraId="72AEAAE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0.035</w:t>
            </w:r>
          </w:p>
        </w:tc>
        <w:tc>
          <w:tcPr>
            <w:tcW w:w="850" w:type="dxa"/>
            <w:tcBorders>
              <w:top w:val="single" w:color="auto" w:sz="4" w:space="0"/>
              <w:left w:val="single" w:color="auto" w:sz="4" w:space="0"/>
              <w:bottom w:val="single" w:color="auto" w:sz="12" w:space="0"/>
              <w:right w:val="single" w:color="auto" w:sz="4" w:space="0"/>
            </w:tcBorders>
            <w:vAlign w:val="center"/>
          </w:tcPr>
          <w:p w14:paraId="371AA531">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lang w:eastAsia="zh-CN"/>
              </w:rPr>
              <w:t>0.030</w:t>
            </w:r>
          </w:p>
        </w:tc>
        <w:tc>
          <w:tcPr>
            <w:tcW w:w="850" w:type="dxa"/>
            <w:tcBorders>
              <w:top w:val="single" w:color="auto" w:sz="4" w:space="0"/>
              <w:left w:val="single" w:color="auto" w:sz="4" w:space="0"/>
              <w:bottom w:val="single" w:color="auto" w:sz="12" w:space="0"/>
              <w:right w:val="single" w:color="auto" w:sz="4" w:space="0"/>
            </w:tcBorders>
            <w:vAlign w:val="center"/>
          </w:tcPr>
          <w:p w14:paraId="1C42F5AC">
            <w:pPr>
              <w:keepNext w:val="0"/>
              <w:keepLines w:val="0"/>
              <w:pageBreakBefore w:val="0"/>
              <w:widowControl w:val="0"/>
              <w:kinsoku/>
              <w:wordWrap/>
              <w:overflowPunct w:val="0"/>
              <w:topLinePunct w:val="0"/>
              <w:autoSpaceDE w:val="0"/>
              <w:autoSpaceDN w:val="0"/>
              <w:bidi w:val="0"/>
              <w:adjustRightInd w:val="0"/>
              <w:snapToGrid w:val="0"/>
              <w:ind w:firstLine="0" w:firstLineChars="0"/>
              <w:jc w:val="both"/>
              <w:textAlignment w:val="baseline"/>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lang w:eastAsia="zh-CN"/>
              </w:rPr>
              <w:t>0.165</w:t>
            </w:r>
          </w:p>
        </w:tc>
        <w:tc>
          <w:tcPr>
            <w:tcW w:w="850" w:type="dxa"/>
            <w:tcBorders>
              <w:top w:val="single" w:color="auto" w:sz="4" w:space="0"/>
              <w:left w:val="single" w:color="auto" w:sz="4" w:space="0"/>
              <w:bottom w:val="single" w:color="auto" w:sz="12" w:space="0"/>
              <w:right w:val="single" w:color="auto" w:sz="4" w:space="0"/>
            </w:tcBorders>
            <w:vAlign w:val="center"/>
          </w:tcPr>
          <w:p w14:paraId="24DC3263">
            <w:pPr>
              <w:keepNext w:val="0"/>
              <w:keepLines w:val="0"/>
              <w:pageBreakBefore w:val="0"/>
              <w:widowControl w:val="0"/>
              <w:kinsoku/>
              <w:wordWrap/>
              <w:overflowPunct w:val="0"/>
              <w:topLinePunct w:val="0"/>
              <w:autoSpaceDE w:val="0"/>
              <w:autoSpaceDN w:val="0"/>
              <w:bidi w:val="0"/>
              <w:adjustRightInd w:val="0"/>
              <w:snapToGrid w:val="0"/>
              <w:ind w:firstLine="0" w:firstLineChars="0"/>
              <w:jc w:val="both"/>
              <w:textAlignment w:val="baseline"/>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lang w:eastAsia="zh-CN"/>
              </w:rPr>
              <w:t>0.130</w:t>
            </w:r>
          </w:p>
        </w:tc>
        <w:tc>
          <w:tcPr>
            <w:tcW w:w="850" w:type="dxa"/>
            <w:tcBorders>
              <w:top w:val="single" w:color="auto" w:sz="4" w:space="0"/>
              <w:left w:val="single" w:color="auto" w:sz="4" w:space="0"/>
              <w:bottom w:val="single" w:color="auto" w:sz="12" w:space="0"/>
              <w:right w:val="single" w:color="auto" w:sz="12" w:space="0"/>
            </w:tcBorders>
            <w:vAlign w:val="center"/>
          </w:tcPr>
          <w:p w14:paraId="13A903E8">
            <w:pPr>
              <w:keepNext w:val="0"/>
              <w:keepLines w:val="0"/>
              <w:pageBreakBefore w:val="0"/>
              <w:widowControl w:val="0"/>
              <w:kinsoku/>
              <w:wordWrap/>
              <w:overflowPunct w:val="0"/>
              <w:topLinePunct w:val="0"/>
              <w:autoSpaceDE w:val="0"/>
              <w:autoSpaceDN w:val="0"/>
              <w:bidi w:val="0"/>
              <w:adjustRightInd w:val="0"/>
              <w:snapToGrid w:val="0"/>
              <w:ind w:firstLine="0" w:firstLineChars="0"/>
              <w:jc w:val="both"/>
              <w:textAlignment w:val="baseline"/>
              <w:rPr>
                <w:rFonts w:hint="eastAsia" w:ascii="方正仿宋_GB2312" w:hAnsi="方正仿宋_GB2312" w:eastAsia="方正仿宋_GB2312" w:cs="方正仿宋_GB2312"/>
                <w:color w:val="auto"/>
                <w:sz w:val="24"/>
                <w:szCs w:val="24"/>
                <w:lang w:eastAsia="zh-CN"/>
              </w:rPr>
            </w:pPr>
            <w:r>
              <w:rPr>
                <w:rFonts w:hint="eastAsia" w:ascii="方正仿宋_GB2312" w:hAnsi="方正仿宋_GB2312" w:eastAsia="方正仿宋_GB2312" w:cs="方正仿宋_GB2312"/>
                <w:color w:val="auto"/>
                <w:sz w:val="24"/>
                <w:szCs w:val="24"/>
                <w:lang w:eastAsia="zh-CN"/>
              </w:rPr>
              <w:t>2.22</w:t>
            </w:r>
          </w:p>
        </w:tc>
      </w:tr>
    </w:tbl>
    <w:p w14:paraId="723B429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ascii="仿宋_GB2312" w:hAnsi="仿宋_GB2312" w:cs="仿宋_GB2312"/>
          <w:color w:val="auto"/>
          <w:lang w:val="en-US" w:eastAsia="zh-CN"/>
        </w:rPr>
        <w:t>红寺堡区取水指标以宁夏“十四五”用水权管控指标为准，</w:t>
      </w:r>
      <w:r>
        <w:rPr>
          <w:rFonts w:hint="eastAsia" w:ascii="仿宋_GB2312" w:hAnsi="仿宋_GB2312" w:eastAsia="仿宋_GB2312" w:cs="仿宋_GB2312"/>
          <w:color w:val="auto"/>
          <w:lang w:eastAsia="zh-CN"/>
        </w:rPr>
        <w:t>近期规划水平年</w:t>
      </w:r>
      <w:r>
        <w:rPr>
          <w:rFonts w:hint="eastAsia" w:ascii="仿宋_GB2312" w:hAnsi="仿宋_GB2312" w:cs="仿宋_GB2312"/>
          <w:color w:val="auto"/>
          <w:lang w:eastAsia="zh-CN"/>
        </w:rPr>
        <w:t>2030</w:t>
      </w:r>
      <w:r>
        <w:rPr>
          <w:rFonts w:hint="eastAsia" w:ascii="仿宋_GB2312" w:hAnsi="仿宋_GB2312" w:eastAsia="仿宋_GB2312" w:cs="仿宋_GB2312"/>
          <w:color w:val="auto"/>
          <w:lang w:eastAsia="zh-CN"/>
        </w:rPr>
        <w:t>年</w:t>
      </w:r>
      <w:r>
        <w:rPr>
          <w:rFonts w:hint="eastAsia" w:ascii="仿宋_GB2312" w:hAnsi="仿宋_GB2312" w:eastAsia="仿宋_GB2312" w:cs="仿宋_GB2312"/>
          <w:color w:val="auto"/>
          <w:lang w:val="en-US" w:eastAsia="zh-CN"/>
        </w:rPr>
        <w:t>及</w:t>
      </w:r>
      <w:r>
        <w:rPr>
          <w:rFonts w:hint="eastAsia" w:ascii="仿宋_GB2312" w:hAnsi="仿宋_GB2312" w:eastAsia="仿宋_GB2312" w:cs="仿宋_GB2312"/>
          <w:color w:val="auto"/>
          <w:lang w:eastAsia="zh-CN"/>
        </w:rPr>
        <w:t>远期规划水平年为2035年黄河水可供水量</w:t>
      </w:r>
      <w:r>
        <w:rPr>
          <w:rFonts w:hint="eastAsia" w:ascii="仿宋_GB2312" w:hAnsi="仿宋_GB2312" w:eastAsia="仿宋_GB2312" w:cs="仿宋_GB2312"/>
          <w:color w:val="auto"/>
          <w:lang w:val="en-US" w:eastAsia="zh-CN"/>
        </w:rPr>
        <w:t>均</w:t>
      </w:r>
      <w:r>
        <w:rPr>
          <w:rFonts w:hint="eastAsia" w:ascii="仿宋_GB2312" w:hAnsi="仿宋_GB2312" w:eastAsia="仿宋_GB2312" w:cs="仿宋_GB2312"/>
          <w:color w:val="auto"/>
          <w:lang w:eastAsia="zh-CN"/>
        </w:rPr>
        <w:t>暂不考虑南水北调西线工程生效，</w:t>
      </w:r>
      <w:r>
        <w:rPr>
          <w:rFonts w:hint="eastAsia" w:ascii="仿宋_GB2312" w:hAnsi="仿宋_GB2312" w:eastAsia="仿宋_GB2312" w:cs="仿宋_GB2312"/>
          <w:color w:val="auto"/>
          <w:lang w:val="en-US" w:eastAsia="zh-CN"/>
        </w:rPr>
        <w:t>黄河水</w:t>
      </w:r>
      <w:r>
        <w:rPr>
          <w:rFonts w:hint="eastAsia" w:ascii="仿宋_GB2312" w:hAnsi="仿宋_GB2312" w:eastAsia="仿宋_GB2312" w:cs="仿宋_GB2312"/>
          <w:color w:val="auto"/>
          <w:lang w:eastAsia="zh-CN"/>
        </w:rPr>
        <w:t>维持</w:t>
      </w:r>
      <w:r>
        <w:rPr>
          <w:rFonts w:hint="eastAsia" w:ascii="仿宋_GB2312" w:hAnsi="仿宋_GB2312" w:eastAsia="仿宋_GB2312" w:cs="仿宋_GB2312"/>
          <w:color w:val="auto"/>
          <w:lang w:val="en-US" w:eastAsia="zh-CN"/>
        </w:rPr>
        <w:t>2025年</w:t>
      </w:r>
      <w:r>
        <w:rPr>
          <w:rFonts w:hint="eastAsia" w:ascii="仿宋_GB2312" w:hAnsi="仿宋_GB2312" w:eastAsia="仿宋_GB2312" w:cs="仿宋_GB2312"/>
          <w:color w:val="auto"/>
          <w:lang w:eastAsia="zh-CN"/>
        </w:rPr>
        <w:t>取水总量控制指标2.45亿m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。当地地下水可供水量</w:t>
      </w:r>
      <w:r>
        <w:rPr>
          <w:rFonts w:hint="eastAsia" w:ascii="仿宋_GB2312" w:hAnsi="仿宋_GB2312" w:eastAsia="仿宋_GB2312" w:cs="仿宋_GB2312"/>
          <w:color w:val="auto"/>
          <w:lang w:val="en-US" w:eastAsia="zh-CN"/>
        </w:rPr>
        <w:t>维持现状</w:t>
      </w:r>
      <w:r>
        <w:rPr>
          <w:rFonts w:hint="eastAsia" w:ascii="仿宋_GB2312" w:hAnsi="仿宋_GB2312" w:eastAsia="仿宋_GB2312" w:cs="仿宋_GB2312"/>
          <w:color w:val="auto"/>
          <w:lang w:eastAsia="zh-CN"/>
        </w:rPr>
        <w:t>确定为0.0</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lang w:eastAsia="zh-CN"/>
        </w:rPr>
        <w:t>5亿m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。非常规水可供水量结合生活、工业排水和再生水利用工程规划情况，以及矿井疏干水、苦咸水和雨洪水利用工程实施计划，预测203</w:t>
      </w:r>
      <w:r>
        <w:rPr>
          <w:rFonts w:hint="eastAsia" w:ascii="仿宋_GB2312" w:hAnsi="仿宋_GB2312" w:cs="仿宋_GB2312"/>
          <w:color w:val="auto"/>
          <w:lang w:val="en-US" w:eastAsia="zh-CN"/>
        </w:rPr>
        <w:t>0</w:t>
      </w:r>
      <w:r>
        <w:rPr>
          <w:rFonts w:hint="eastAsia" w:ascii="仿宋_GB2312" w:hAnsi="仿宋_GB2312" w:eastAsia="仿宋_GB2312" w:cs="仿宋_GB2312"/>
          <w:color w:val="auto"/>
          <w:lang w:eastAsia="zh-CN"/>
        </w:rPr>
        <w:t>年可利用量在0.08</w:t>
      </w:r>
      <w:r>
        <w:rPr>
          <w:rFonts w:hint="eastAsia" w:ascii="仿宋_GB2312" w:hAnsi="仿宋_GB2312" w:cs="仿宋_GB2312"/>
          <w:color w:val="auto"/>
          <w:lang w:val="en-US" w:eastAsia="zh-CN"/>
        </w:rPr>
        <w:t>2</w:t>
      </w:r>
      <w:r>
        <w:rPr>
          <w:rFonts w:hint="eastAsia" w:ascii="仿宋_GB2312" w:hAnsi="仿宋_GB2312" w:eastAsia="仿宋_GB2312" w:cs="仿宋_GB2312"/>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lang w:eastAsia="zh-CN"/>
        </w:rPr>
        <w:t>以上。</w:t>
      </w:r>
      <w:r>
        <w:rPr>
          <w:rFonts w:hint="eastAsia" w:ascii="仿宋_GB2312" w:hAnsi="仿宋_GB2312" w:eastAsia="仿宋_GB2312" w:cs="仿宋_GB2312"/>
          <w:color w:val="auto"/>
          <w:lang w:eastAsia="zh-CN"/>
        </w:rPr>
        <w:t>预测2035年可利用量在0.</w:t>
      </w:r>
      <w:r>
        <w:rPr>
          <w:rFonts w:hint="eastAsia" w:ascii="仿宋_GB2312" w:hAnsi="仿宋_GB2312" w:cs="仿宋_GB2312"/>
          <w:color w:val="auto"/>
          <w:lang w:val="en-US" w:eastAsia="zh-CN"/>
        </w:rPr>
        <w:t>11</w:t>
      </w:r>
      <w:r>
        <w:rPr>
          <w:rFonts w:hint="eastAsia" w:ascii="仿宋_GB2312" w:hAnsi="仿宋_GB2312" w:eastAsia="仿宋_GB2312" w:cs="仿宋_GB2312"/>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lang w:eastAsia="zh-CN"/>
        </w:rPr>
        <w:t>以上。</w:t>
      </w:r>
    </w:p>
    <w:p w14:paraId="2900D91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_GB2312" w:hAnsi="仿宋_GB2312" w:eastAsia="仿宋_GB2312" w:cs="仿宋_GB2312"/>
          <w:color w:val="FF0000"/>
          <w:lang w:eastAsia="zh-CN"/>
        </w:rPr>
      </w:pPr>
      <w:r>
        <w:rPr>
          <w:rFonts w:hint="eastAsia"/>
          <w:color w:val="auto"/>
          <w:lang w:eastAsia="zh-CN"/>
        </w:rPr>
        <w:t>综上，在不考虑南水北调西线工程调整情况下，203</w:t>
      </w:r>
      <w:r>
        <w:rPr>
          <w:rFonts w:hint="eastAsia"/>
          <w:color w:val="auto"/>
          <w:lang w:val="en-US" w:eastAsia="zh-CN"/>
        </w:rPr>
        <w:t>0</w:t>
      </w:r>
      <w:r>
        <w:rPr>
          <w:rFonts w:hint="eastAsia"/>
          <w:color w:val="auto"/>
          <w:lang w:eastAsia="zh-CN"/>
        </w:rPr>
        <w:t>年宁夏多年平均可供水总量为2.5</w:t>
      </w:r>
      <w:r>
        <w:rPr>
          <w:rFonts w:hint="eastAsia"/>
          <w:color w:val="auto"/>
          <w:lang w:val="en-US" w:eastAsia="zh-CN"/>
        </w:rPr>
        <w:t>67</w:t>
      </w:r>
      <w:r>
        <w:rPr>
          <w:rFonts w:hint="eastAsia"/>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color w:val="auto"/>
          <w:lang w:eastAsia="zh-CN"/>
        </w:rPr>
        <w:t>，2035年宁夏多年平均可供水总量为2.</w:t>
      </w:r>
      <w:r>
        <w:rPr>
          <w:rFonts w:hint="eastAsia"/>
          <w:color w:val="auto"/>
          <w:lang w:val="en-US" w:eastAsia="zh-CN"/>
        </w:rPr>
        <w:t>596</w:t>
      </w:r>
      <w:r>
        <w:rPr>
          <w:rFonts w:hint="eastAsia"/>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w:t>
      </w:r>
    </w:p>
    <w:p w14:paraId="73C521E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bookmarkStart w:id="96" w:name="_Toc17046"/>
      <w:bookmarkStart w:id="97" w:name="_Toc15963"/>
      <w:bookmarkStart w:id="98" w:name="_Toc25495"/>
      <w:r>
        <w:rPr>
          <w:rFonts w:hint="eastAsia"/>
          <w:b/>
          <w:bCs/>
          <w:lang w:val="en-US" w:eastAsia="zh-CN"/>
        </w:rPr>
        <w:t>5.</w:t>
      </w:r>
      <w:r>
        <w:rPr>
          <w:rFonts w:hint="eastAsia"/>
          <w:b/>
          <w:bCs/>
          <w:lang w:eastAsia="zh-CN"/>
        </w:rPr>
        <w:t>水资源供需分析</w:t>
      </w:r>
      <w:bookmarkEnd w:id="96"/>
      <w:bookmarkEnd w:id="97"/>
      <w:bookmarkEnd w:id="98"/>
    </w:p>
    <w:p w14:paraId="143D08D1">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cs="仿宋_GB2312"/>
          <w:b/>
          <w:bCs/>
          <w:color w:val="auto"/>
          <w:lang w:eastAsia="zh-CN"/>
        </w:rPr>
        <w:t>2030</w:t>
      </w:r>
      <w:r>
        <w:rPr>
          <w:rFonts w:hint="eastAsia" w:ascii="仿宋_GB2312" w:hAnsi="仿宋_GB2312" w:eastAsia="仿宋_GB2312" w:cs="仿宋_GB2312"/>
          <w:b/>
          <w:bCs/>
          <w:color w:val="auto"/>
          <w:lang w:eastAsia="zh-CN"/>
        </w:rPr>
        <w:t>年供需分析。</w:t>
      </w:r>
      <w:r>
        <w:rPr>
          <w:rFonts w:hint="eastAsia" w:ascii="仿宋_GB2312" w:hAnsi="仿宋_GB2312" w:cs="仿宋_GB2312"/>
          <w:color w:val="auto"/>
          <w:lang w:eastAsia="zh-CN"/>
        </w:rPr>
        <w:t>2030</w:t>
      </w:r>
      <w:r>
        <w:rPr>
          <w:rFonts w:hint="eastAsia" w:ascii="仿宋_GB2312" w:hAnsi="仿宋_GB2312" w:eastAsia="仿宋_GB2312" w:cs="仿宋_GB2312"/>
          <w:color w:val="auto"/>
          <w:lang w:val="en-US" w:eastAsia="zh-CN"/>
        </w:rPr>
        <w:t>红寺堡区</w:t>
      </w:r>
      <w:r>
        <w:rPr>
          <w:rFonts w:hint="eastAsia" w:ascii="仿宋_GB2312" w:hAnsi="仿宋_GB2312" w:eastAsia="仿宋_GB2312" w:cs="仿宋_GB2312"/>
          <w:color w:val="auto"/>
          <w:lang w:eastAsia="zh-CN"/>
        </w:rPr>
        <w:t>需水</w:t>
      </w:r>
      <w:r>
        <w:rPr>
          <w:rFonts w:hint="eastAsia" w:ascii="仿宋_GB2312" w:hAnsi="仿宋_GB2312" w:cs="仿宋_GB2312"/>
          <w:color w:val="auto"/>
          <w:lang w:val="en-US" w:eastAsia="zh-CN"/>
        </w:rPr>
        <w:t>3.168</w:t>
      </w:r>
      <w:r>
        <w:rPr>
          <w:rFonts w:hint="eastAsia" w:ascii="仿宋_GB2312" w:hAnsi="仿宋_GB2312" w:eastAsia="仿宋_GB2312" w:cs="仿宋_GB2312"/>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，可供水量2.5</w:t>
      </w:r>
      <w:r>
        <w:rPr>
          <w:rFonts w:hint="eastAsia" w:ascii="仿宋_GB2312" w:hAnsi="仿宋_GB2312" w:cs="仿宋_GB2312"/>
          <w:color w:val="auto"/>
          <w:lang w:val="en-US" w:eastAsia="zh-CN"/>
        </w:rPr>
        <w:t>67</w:t>
      </w:r>
      <w:r>
        <w:rPr>
          <w:rFonts w:hint="eastAsia" w:ascii="仿宋_GB2312" w:hAnsi="仿宋_GB2312" w:eastAsia="仿宋_GB2312" w:cs="仿宋_GB2312"/>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，缺水0.</w:t>
      </w:r>
      <w:r>
        <w:rPr>
          <w:rFonts w:hint="eastAsia" w:ascii="仿宋_GB2312" w:hAnsi="仿宋_GB2312" w:cs="仿宋_GB2312"/>
          <w:color w:val="auto"/>
          <w:lang w:val="en-US" w:eastAsia="zh-CN"/>
        </w:rPr>
        <w:t>601</w:t>
      </w:r>
      <w:r>
        <w:rPr>
          <w:rFonts w:hint="eastAsia" w:ascii="仿宋_GB2312" w:hAnsi="仿宋_GB2312" w:eastAsia="仿宋_GB2312" w:cs="仿宋_GB2312"/>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，缺水率</w:t>
      </w:r>
      <w:r>
        <w:rPr>
          <w:rFonts w:hint="eastAsia" w:ascii="仿宋_GB2312" w:hAnsi="仿宋_GB2312" w:cs="仿宋_GB2312"/>
          <w:color w:val="auto"/>
          <w:lang w:val="en-US" w:eastAsia="zh-CN"/>
        </w:rPr>
        <w:t>18.94</w:t>
      </w:r>
      <w:r>
        <w:rPr>
          <w:rFonts w:hint="eastAsia" w:ascii="仿宋_GB2312" w:hAnsi="仿宋_GB2312" w:eastAsia="仿宋_GB2312" w:cs="仿宋_GB2312"/>
          <w:color w:val="auto"/>
          <w:lang w:eastAsia="zh-CN"/>
        </w:rPr>
        <w:t>%。缺水的主要原因</w:t>
      </w:r>
      <w:r>
        <w:rPr>
          <w:rFonts w:hint="eastAsia" w:ascii="仿宋_GB2312" w:hAnsi="仿宋_GB2312" w:eastAsia="仿宋_GB2312" w:cs="仿宋_GB2312"/>
          <w:color w:val="auto"/>
          <w:lang w:val="en-US" w:eastAsia="zh-CN"/>
        </w:rPr>
        <w:t>是实际灌溉面积的增加以及</w:t>
      </w:r>
      <w:r>
        <w:rPr>
          <w:rFonts w:hint="eastAsia" w:ascii="仿宋_GB2312" w:hAnsi="仿宋_GB2312" w:eastAsia="仿宋_GB2312" w:cs="仿宋_GB2312"/>
          <w:color w:val="auto"/>
          <w:lang w:eastAsia="zh-CN"/>
        </w:rPr>
        <w:t>部分农田尤其是位于灌区末梢和生态移民区的农田无法充分灌溉，部分生态防护林无法建设</w:t>
      </w:r>
      <w:r>
        <w:rPr>
          <w:rFonts w:hint="eastAsia" w:ascii="仿宋_GB2312" w:hAnsi="仿宋_GB2312" w:cs="仿宋_GB2312"/>
          <w:color w:val="auto"/>
          <w:lang w:eastAsia="zh-CN"/>
        </w:rPr>
        <w:t>，</w:t>
      </w:r>
      <w:r>
        <w:rPr>
          <w:rFonts w:hint="eastAsia" w:ascii="仿宋_GB2312" w:hAnsi="仿宋_GB2312" w:cs="仿宋_GB2312"/>
          <w:color w:val="auto"/>
          <w:lang w:val="en-US" w:eastAsia="zh-CN"/>
        </w:rPr>
        <w:t>现代化建设对水资源的需求刚性增长，黄河水分配指标没有相应调整</w:t>
      </w:r>
      <w:r>
        <w:rPr>
          <w:rFonts w:hint="eastAsia" w:ascii="仿宋_GB2312" w:hAnsi="仿宋_GB2312" w:eastAsia="仿宋_GB2312" w:cs="仿宋_GB2312"/>
          <w:color w:val="auto"/>
          <w:lang w:eastAsia="zh-CN"/>
        </w:rPr>
        <w:t>。</w:t>
      </w:r>
    </w:p>
    <w:p w14:paraId="7D83CE7B">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2035年供需分析。</w:t>
      </w:r>
      <w:r>
        <w:rPr>
          <w:rFonts w:hint="eastAsia" w:ascii="仿宋_GB2312" w:hAnsi="仿宋_GB2312" w:eastAsia="仿宋_GB2312" w:cs="仿宋_GB2312"/>
          <w:color w:val="auto"/>
          <w:lang w:eastAsia="zh-CN"/>
        </w:rPr>
        <w:t>不考虑南水北调西线工程生效情况下，2035年</w:t>
      </w:r>
      <w:r>
        <w:rPr>
          <w:rFonts w:hint="eastAsia" w:ascii="仿宋_GB2312" w:hAnsi="仿宋_GB2312" w:eastAsia="仿宋_GB2312" w:cs="仿宋_GB2312"/>
          <w:color w:val="auto"/>
          <w:lang w:val="en-US" w:eastAsia="zh-CN"/>
        </w:rPr>
        <w:t>红寺堡区</w:t>
      </w:r>
      <w:r>
        <w:rPr>
          <w:rFonts w:hint="eastAsia" w:ascii="仿宋_GB2312" w:hAnsi="仿宋_GB2312" w:eastAsia="仿宋_GB2312" w:cs="仿宋_GB2312"/>
          <w:color w:val="auto"/>
          <w:lang w:eastAsia="zh-CN"/>
        </w:rPr>
        <w:t>需水</w:t>
      </w:r>
      <w:r>
        <w:rPr>
          <w:rFonts w:hint="eastAsia" w:ascii="仿宋_GB2312" w:hAnsi="仿宋_GB2312" w:cs="仿宋_GB2312"/>
          <w:color w:val="auto"/>
          <w:lang w:val="en-US" w:eastAsia="zh-CN"/>
        </w:rPr>
        <w:t>3.773</w:t>
      </w:r>
      <w:r>
        <w:rPr>
          <w:rFonts w:hint="eastAsia" w:ascii="仿宋_GB2312" w:hAnsi="仿宋_GB2312" w:eastAsia="仿宋_GB2312" w:cs="仿宋_GB2312"/>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，可供水量2.</w:t>
      </w:r>
      <w:r>
        <w:rPr>
          <w:rFonts w:hint="eastAsia" w:ascii="仿宋_GB2312" w:hAnsi="仿宋_GB2312" w:cs="仿宋_GB2312"/>
          <w:color w:val="auto"/>
          <w:lang w:val="en-US" w:eastAsia="zh-CN"/>
        </w:rPr>
        <w:t>596</w:t>
      </w:r>
      <w:r>
        <w:rPr>
          <w:rFonts w:hint="eastAsia" w:ascii="仿宋_GB2312" w:hAnsi="仿宋_GB2312" w:eastAsia="仿宋_GB2312" w:cs="仿宋_GB2312"/>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，缺水</w:t>
      </w:r>
      <w:r>
        <w:rPr>
          <w:rFonts w:hint="eastAsia" w:ascii="仿宋_GB2312" w:hAnsi="仿宋_GB2312" w:cs="仿宋_GB2312"/>
          <w:color w:val="auto"/>
          <w:lang w:val="en-US" w:eastAsia="zh-CN"/>
        </w:rPr>
        <w:t>1.177</w:t>
      </w:r>
      <w:r>
        <w:rPr>
          <w:rFonts w:hint="eastAsia" w:ascii="仿宋_GB2312" w:hAnsi="仿宋_GB2312" w:eastAsia="仿宋_GB2312" w:cs="仿宋_GB2312"/>
          <w:color w:val="auto"/>
          <w:lang w:eastAsia="zh-CN"/>
        </w:rPr>
        <w:t>亿m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，缺水率</w:t>
      </w:r>
      <w:r>
        <w:rPr>
          <w:rFonts w:hint="eastAsia" w:ascii="仿宋_GB2312" w:hAnsi="仿宋_GB2312" w:cs="仿宋_GB2312"/>
          <w:color w:val="auto"/>
          <w:lang w:val="en-US" w:eastAsia="zh-CN"/>
        </w:rPr>
        <w:t>31.2</w:t>
      </w:r>
      <w:r>
        <w:rPr>
          <w:rFonts w:hint="eastAsia" w:ascii="仿宋_GB2312" w:hAnsi="仿宋_GB2312" w:eastAsia="仿宋_GB2312" w:cs="仿宋_GB2312"/>
          <w:color w:val="auto"/>
          <w:lang w:eastAsia="zh-CN"/>
        </w:rPr>
        <w:t>%。缺水的主要原因</w:t>
      </w:r>
      <w:r>
        <w:rPr>
          <w:rFonts w:hint="eastAsia" w:ascii="仿宋_GB2312" w:hAnsi="仿宋_GB2312" w:eastAsia="仿宋_GB2312" w:cs="仿宋_GB2312"/>
          <w:color w:val="auto"/>
          <w:lang w:val="en-US" w:eastAsia="zh-CN"/>
        </w:rPr>
        <w:t>是实际灌溉面积的增加以及</w:t>
      </w:r>
      <w:r>
        <w:rPr>
          <w:rFonts w:hint="eastAsia" w:ascii="仿宋_GB2312" w:hAnsi="仿宋_GB2312" w:eastAsia="仿宋_GB2312" w:cs="仿宋_GB2312"/>
          <w:color w:val="auto"/>
          <w:lang w:eastAsia="zh-CN"/>
        </w:rPr>
        <w:t>部分农田尤其是位于灌区末梢和生态移民区的农田无法充分灌溉，部分生态防护林无法建设</w:t>
      </w:r>
      <w:r>
        <w:rPr>
          <w:rFonts w:hint="eastAsia" w:ascii="仿宋_GB2312" w:hAnsi="仿宋_GB2312" w:cs="仿宋_GB2312"/>
          <w:color w:val="auto"/>
          <w:lang w:eastAsia="zh-CN"/>
        </w:rPr>
        <w:t>，</w:t>
      </w:r>
      <w:r>
        <w:rPr>
          <w:rFonts w:hint="eastAsia" w:ascii="仿宋_GB2312" w:hAnsi="仿宋_GB2312" w:cs="仿宋_GB2312"/>
          <w:color w:val="auto"/>
          <w:lang w:val="en-US" w:eastAsia="zh-CN"/>
        </w:rPr>
        <w:t>现代化建设对水资源的需求刚性增长，黄河水分配指标没有相应调整</w:t>
      </w:r>
      <w:r>
        <w:rPr>
          <w:rFonts w:hint="eastAsia" w:ascii="仿宋_GB2312" w:hAnsi="仿宋_GB2312" w:eastAsia="仿宋_GB2312" w:cs="仿宋_GB2312"/>
          <w:color w:val="auto"/>
          <w:lang w:eastAsia="zh-CN"/>
        </w:rPr>
        <w:t>。</w:t>
      </w:r>
    </w:p>
    <w:p w14:paraId="61AEB7A8">
      <w:pPr>
        <w:keepNext w:val="0"/>
        <w:keepLines w:val="0"/>
        <w:pageBreakBefore w:val="0"/>
        <w:widowControl w:val="0"/>
        <w:kinsoku/>
        <w:wordWrap/>
        <w:overflowPunct w:val="0"/>
        <w:topLinePunct w:val="0"/>
        <w:autoSpaceDE w:val="0"/>
        <w:autoSpaceDN w:val="0"/>
        <w:bidi w:val="0"/>
        <w:adjustRightInd w:val="0"/>
        <w:snapToGrid w:val="0"/>
        <w:spacing w:before="32" w:line="214" w:lineRule="auto"/>
        <w:ind w:left="0" w:leftChars="0" w:firstLine="0" w:firstLineChars="0"/>
        <w:jc w:val="both"/>
        <w:textAlignment w:val="baseline"/>
        <w:rPr>
          <w:rFonts w:hint="eastAsia"/>
          <w:lang w:eastAsia="zh-CN"/>
        </w:rPr>
      </w:pPr>
      <w:r>
        <w:rPr>
          <w:rFonts w:hint="eastAsia" w:ascii="黑体" w:hAnsi="黑体" w:eastAsia="黑体" w:cs="黑体"/>
          <w:b w:val="0"/>
          <w:bCs w:val="0"/>
          <w:color w:val="auto"/>
          <w:spacing w:val="-1"/>
          <w:sz w:val="28"/>
          <w:szCs w:val="28"/>
          <w:lang w:eastAsia="zh-CN"/>
        </w:rPr>
        <w:t>表</w:t>
      </w:r>
      <w:r>
        <w:rPr>
          <w:rFonts w:hint="eastAsia" w:ascii="黑体" w:hAnsi="黑体" w:eastAsia="黑体" w:cs="黑体"/>
          <w:b w:val="0"/>
          <w:bCs w:val="0"/>
          <w:color w:val="auto"/>
          <w:spacing w:val="-1"/>
          <w:sz w:val="28"/>
          <w:szCs w:val="28"/>
          <w:lang w:val="en-US" w:eastAsia="zh-CN"/>
        </w:rPr>
        <w:t>3.2</w:t>
      </w:r>
      <w:r>
        <w:rPr>
          <w:rFonts w:hint="eastAsia" w:ascii="黑体" w:hAnsi="黑体" w:eastAsia="黑体" w:cs="黑体"/>
          <w:b w:val="0"/>
          <w:bCs w:val="0"/>
          <w:color w:val="auto"/>
          <w:spacing w:val="-1"/>
          <w:sz w:val="28"/>
          <w:szCs w:val="28"/>
          <w:lang w:eastAsia="zh-CN"/>
        </w:rPr>
        <w:t>-</w:t>
      </w:r>
      <w:r>
        <w:rPr>
          <w:rFonts w:hint="eastAsia" w:ascii="黑体" w:hAnsi="黑体" w:eastAsia="黑体" w:cs="黑体"/>
          <w:b w:val="0"/>
          <w:bCs w:val="0"/>
          <w:color w:val="auto"/>
          <w:spacing w:val="-1"/>
          <w:sz w:val="28"/>
          <w:szCs w:val="28"/>
          <w:lang w:val="en-US" w:eastAsia="zh-CN"/>
        </w:rPr>
        <w:t>5</w:t>
      </w:r>
      <w:r>
        <w:rPr>
          <w:rFonts w:hint="eastAsia" w:ascii="黑体" w:hAnsi="黑体" w:eastAsia="黑体" w:cs="黑体"/>
          <w:b w:val="0"/>
          <w:bCs w:val="0"/>
          <w:color w:val="auto"/>
          <w:spacing w:val="-1"/>
          <w:sz w:val="28"/>
          <w:szCs w:val="28"/>
          <w:lang w:eastAsia="zh-CN"/>
        </w:rPr>
        <w:t xml:space="preserve">      规划水平年各分区水资源供需平衡分析</w:t>
      </w:r>
    </w:p>
    <w:tbl>
      <w:tblPr>
        <w:tblStyle w:val="21"/>
        <w:tblW w:w="83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62"/>
        <w:gridCol w:w="1274"/>
        <w:gridCol w:w="1274"/>
        <w:gridCol w:w="1274"/>
        <w:gridCol w:w="1274"/>
        <w:gridCol w:w="1275"/>
      </w:tblGrid>
      <w:tr w14:paraId="587650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397" w:type="dxa"/>
            <w:tcBorders>
              <w:tl2br w:val="nil"/>
              <w:tr2bl w:val="nil"/>
            </w:tcBorders>
            <w:vAlign w:val="center"/>
          </w:tcPr>
          <w:p w14:paraId="49546824">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分区</w:t>
            </w:r>
          </w:p>
        </w:tc>
        <w:tc>
          <w:tcPr>
            <w:tcW w:w="907" w:type="dxa"/>
            <w:tcBorders>
              <w:tl2br w:val="nil"/>
              <w:tr2bl w:val="nil"/>
            </w:tcBorders>
            <w:vAlign w:val="center"/>
          </w:tcPr>
          <w:p w14:paraId="6115142A">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水平年</w:t>
            </w:r>
          </w:p>
        </w:tc>
        <w:tc>
          <w:tcPr>
            <w:tcW w:w="907" w:type="dxa"/>
            <w:tcBorders>
              <w:tl2br w:val="nil"/>
              <w:tr2bl w:val="nil"/>
            </w:tcBorders>
            <w:vAlign w:val="center"/>
          </w:tcPr>
          <w:p w14:paraId="5DE1EA5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需水量</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（亿m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907" w:type="dxa"/>
            <w:tcBorders>
              <w:tl2br w:val="nil"/>
              <w:tr2bl w:val="nil"/>
            </w:tcBorders>
            <w:vAlign w:val="center"/>
          </w:tcPr>
          <w:p w14:paraId="65094410">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可供水量</w:t>
            </w:r>
          </w:p>
          <w:p w14:paraId="5EE358CB">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（亿m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lang w:eastAsia="zh-CN"/>
              </w:rPr>
              <w:t>）</w:t>
            </w:r>
          </w:p>
        </w:tc>
        <w:tc>
          <w:tcPr>
            <w:tcW w:w="907" w:type="dxa"/>
            <w:tcBorders>
              <w:tl2br w:val="nil"/>
              <w:tr2bl w:val="nil"/>
            </w:tcBorders>
            <w:vAlign w:val="center"/>
          </w:tcPr>
          <w:p w14:paraId="74BE95C4">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缺水量</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（亿m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907" w:type="dxa"/>
            <w:tcBorders>
              <w:tl2br w:val="nil"/>
              <w:tr2bl w:val="nil"/>
            </w:tcBorders>
            <w:vAlign w:val="center"/>
          </w:tcPr>
          <w:p w14:paraId="1FB2CB4D">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缺水率</w:t>
            </w:r>
          </w:p>
          <w:p w14:paraId="09EDC56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14:paraId="18D3E0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397" w:type="dxa"/>
            <w:vMerge w:val="restart"/>
            <w:tcBorders>
              <w:tl2br w:val="nil"/>
              <w:tr2bl w:val="nil"/>
            </w:tcBorders>
            <w:vAlign w:val="center"/>
          </w:tcPr>
          <w:p w14:paraId="0464E9B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红寺堡区</w:t>
            </w:r>
          </w:p>
        </w:tc>
        <w:tc>
          <w:tcPr>
            <w:tcW w:w="907" w:type="dxa"/>
            <w:tcBorders>
              <w:tl2br w:val="nil"/>
              <w:tr2bl w:val="nil"/>
            </w:tcBorders>
            <w:vAlign w:val="center"/>
          </w:tcPr>
          <w:p w14:paraId="3B67121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lang w:eastAsia="zh-CN"/>
              </w:rPr>
              <w:t>2030</w:t>
            </w:r>
            <w:r>
              <w:rPr>
                <w:rFonts w:hint="eastAsia" w:ascii="宋体" w:hAnsi="宋体" w:eastAsia="宋体" w:cs="宋体"/>
                <w:color w:val="auto"/>
                <w:sz w:val="21"/>
                <w:szCs w:val="21"/>
              </w:rPr>
              <w:t>年</w:t>
            </w:r>
          </w:p>
        </w:tc>
        <w:tc>
          <w:tcPr>
            <w:tcW w:w="907" w:type="dxa"/>
            <w:tcBorders>
              <w:tl2br w:val="nil"/>
              <w:tr2bl w:val="nil"/>
            </w:tcBorders>
            <w:vAlign w:val="center"/>
          </w:tcPr>
          <w:p w14:paraId="2CFE16C5">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3.168</w:t>
            </w:r>
          </w:p>
        </w:tc>
        <w:tc>
          <w:tcPr>
            <w:tcW w:w="907" w:type="dxa"/>
            <w:tcBorders>
              <w:tl2br w:val="nil"/>
              <w:tr2bl w:val="nil"/>
            </w:tcBorders>
            <w:vAlign w:val="center"/>
          </w:tcPr>
          <w:p w14:paraId="36224E7A">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2.5</w:t>
            </w:r>
            <w:r>
              <w:rPr>
                <w:rFonts w:hint="eastAsia" w:ascii="宋体" w:hAnsi="宋体" w:eastAsia="宋体" w:cs="宋体"/>
                <w:color w:val="auto"/>
                <w:sz w:val="21"/>
                <w:szCs w:val="21"/>
                <w:lang w:val="en-US" w:eastAsia="zh-CN"/>
              </w:rPr>
              <w:t>67</w:t>
            </w:r>
          </w:p>
        </w:tc>
        <w:tc>
          <w:tcPr>
            <w:tcW w:w="907" w:type="dxa"/>
            <w:tcBorders>
              <w:tl2br w:val="nil"/>
              <w:tr2bl w:val="nil"/>
            </w:tcBorders>
            <w:vAlign w:val="center"/>
          </w:tcPr>
          <w:p w14:paraId="37DA4AEC">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0.</w:t>
            </w:r>
            <w:r>
              <w:rPr>
                <w:rFonts w:hint="eastAsia" w:ascii="宋体" w:hAnsi="宋体" w:eastAsia="宋体" w:cs="宋体"/>
                <w:color w:val="auto"/>
                <w:sz w:val="21"/>
                <w:szCs w:val="21"/>
                <w:lang w:val="en-US" w:eastAsia="zh-CN"/>
              </w:rPr>
              <w:t>602</w:t>
            </w:r>
          </w:p>
        </w:tc>
        <w:tc>
          <w:tcPr>
            <w:tcW w:w="907" w:type="dxa"/>
            <w:tcBorders>
              <w:tl2br w:val="nil"/>
              <w:tr2bl w:val="nil"/>
            </w:tcBorders>
            <w:vAlign w:val="center"/>
          </w:tcPr>
          <w:p w14:paraId="4452EFA1">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18.94</w:t>
            </w:r>
          </w:p>
        </w:tc>
      </w:tr>
      <w:tr w14:paraId="1BAF6D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397" w:type="dxa"/>
            <w:vMerge w:val="continue"/>
            <w:tcBorders>
              <w:tl2br w:val="nil"/>
              <w:tr2bl w:val="nil"/>
            </w:tcBorders>
            <w:vAlign w:val="center"/>
          </w:tcPr>
          <w:p w14:paraId="2682BDB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p>
        </w:tc>
        <w:tc>
          <w:tcPr>
            <w:tcW w:w="907" w:type="dxa"/>
            <w:tcBorders>
              <w:tl2br w:val="nil"/>
              <w:tr2bl w:val="nil"/>
            </w:tcBorders>
            <w:vAlign w:val="center"/>
          </w:tcPr>
          <w:p w14:paraId="173B8A0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2035年</w:t>
            </w:r>
          </w:p>
        </w:tc>
        <w:tc>
          <w:tcPr>
            <w:tcW w:w="907" w:type="dxa"/>
            <w:tcBorders>
              <w:tl2br w:val="nil"/>
              <w:tr2bl w:val="nil"/>
            </w:tcBorders>
            <w:vAlign w:val="center"/>
          </w:tcPr>
          <w:p w14:paraId="6E829DE2">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3.773</w:t>
            </w:r>
          </w:p>
        </w:tc>
        <w:tc>
          <w:tcPr>
            <w:tcW w:w="907" w:type="dxa"/>
            <w:tcBorders>
              <w:tl2br w:val="nil"/>
              <w:tr2bl w:val="nil"/>
            </w:tcBorders>
            <w:vAlign w:val="center"/>
          </w:tcPr>
          <w:p w14:paraId="3F1BC6F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2.</w:t>
            </w:r>
            <w:r>
              <w:rPr>
                <w:rFonts w:hint="eastAsia" w:ascii="宋体" w:hAnsi="宋体" w:eastAsia="宋体" w:cs="宋体"/>
                <w:color w:val="auto"/>
                <w:sz w:val="21"/>
                <w:szCs w:val="21"/>
                <w:lang w:val="en-US" w:eastAsia="zh-CN"/>
              </w:rPr>
              <w:t>596</w:t>
            </w:r>
          </w:p>
        </w:tc>
        <w:tc>
          <w:tcPr>
            <w:tcW w:w="907" w:type="dxa"/>
            <w:tcBorders>
              <w:tl2br w:val="nil"/>
              <w:tr2bl w:val="nil"/>
            </w:tcBorders>
            <w:vAlign w:val="center"/>
          </w:tcPr>
          <w:p w14:paraId="1E3C48AB">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1.177</w:t>
            </w:r>
          </w:p>
        </w:tc>
        <w:tc>
          <w:tcPr>
            <w:tcW w:w="907" w:type="dxa"/>
            <w:tcBorders>
              <w:tl2br w:val="nil"/>
              <w:tr2bl w:val="nil"/>
            </w:tcBorders>
            <w:vAlign w:val="center"/>
          </w:tcPr>
          <w:p w14:paraId="6CC2E98A">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31.2</w:t>
            </w:r>
          </w:p>
        </w:tc>
      </w:tr>
    </w:tbl>
    <w:p w14:paraId="2ACD58DC">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lang w:val="en-US" w:eastAsia="zh-CN"/>
        </w:rPr>
      </w:pPr>
      <w:bookmarkStart w:id="99" w:name="_Toc26583"/>
      <w:bookmarkStart w:id="100" w:name="_Toc809"/>
      <w:bookmarkStart w:id="101" w:name="_Toc19597"/>
      <w:bookmarkStart w:id="102" w:name="_Toc6638"/>
    </w:p>
    <w:p w14:paraId="6DB5864E">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lang w:eastAsia="zh-CN"/>
        </w:rPr>
      </w:pPr>
      <w:r>
        <w:rPr>
          <w:rFonts w:hint="eastAsia"/>
          <w:lang w:val="en-US" w:eastAsia="zh-CN"/>
        </w:rPr>
        <w:t xml:space="preserve">第三节  </w:t>
      </w:r>
      <w:r>
        <w:rPr>
          <w:rFonts w:hint="eastAsia"/>
          <w:lang w:eastAsia="zh-CN"/>
        </w:rPr>
        <w:t>水资源优化配置确权</w:t>
      </w:r>
      <w:bookmarkEnd w:id="99"/>
      <w:bookmarkEnd w:id="100"/>
      <w:bookmarkEnd w:id="101"/>
      <w:bookmarkEnd w:id="102"/>
    </w:p>
    <w:p w14:paraId="02DA2B4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b/>
          <w:bCs/>
          <w:lang w:val="en-US" w:eastAsia="zh-CN"/>
        </w:rPr>
      </w:pPr>
      <w:r>
        <w:rPr>
          <w:rFonts w:hint="eastAsia"/>
          <w:b/>
          <w:bCs/>
          <w:lang w:val="en-US" w:eastAsia="zh-CN"/>
        </w:rPr>
        <w:t>一．水资源优化配置方案</w:t>
      </w:r>
    </w:p>
    <w:p w14:paraId="7C171D7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强化多水源联合调控，用好用足黄河水，优化利用地表水，严格管控地下水，综合利用非常规水。坚持以人为本、产业为要、生态为重，优先满足城乡居民生活用水，保障重点特色产业发展用水，补充增加生态用水，持续提升供水服务保障能力，优化水量配置，满足人民生活更高水平用水需求。</w:t>
      </w:r>
    </w:p>
    <w:p w14:paraId="7B703B48">
      <w:pPr>
        <w:keepNext w:val="0"/>
        <w:keepLines w:val="0"/>
        <w:pageBreakBefore w:val="0"/>
        <w:widowControl w:val="0"/>
        <w:kinsoku/>
        <w:wordWrap/>
        <w:overflowPunct w:val="0"/>
        <w:topLinePunct w:val="0"/>
        <w:autoSpaceDE w:val="0"/>
        <w:autoSpaceDN w:val="0"/>
        <w:bidi w:val="0"/>
        <w:adjustRightInd w:val="0"/>
        <w:snapToGrid w:val="0"/>
        <w:spacing w:before="32" w:line="214" w:lineRule="auto"/>
        <w:ind w:left="0" w:leftChars="0" w:firstLine="0" w:firstLineChars="0"/>
        <w:jc w:val="both"/>
        <w:textAlignment w:val="baseline"/>
        <w:rPr>
          <w:rFonts w:hint="eastAsia"/>
          <w:lang w:eastAsia="zh-CN"/>
        </w:rPr>
      </w:pPr>
      <w:r>
        <w:rPr>
          <w:rFonts w:hint="eastAsia" w:ascii="黑体" w:hAnsi="黑体" w:eastAsia="黑体" w:cs="黑体"/>
          <w:b w:val="0"/>
          <w:bCs w:val="0"/>
          <w:color w:val="auto"/>
          <w:spacing w:val="-1"/>
          <w:sz w:val="28"/>
          <w:szCs w:val="28"/>
          <w:lang w:eastAsia="zh-CN"/>
        </w:rPr>
        <w:t>表</w:t>
      </w:r>
      <w:r>
        <w:rPr>
          <w:rFonts w:hint="eastAsia" w:ascii="黑体" w:hAnsi="黑体" w:eastAsia="黑体" w:cs="黑体"/>
          <w:b w:val="0"/>
          <w:bCs w:val="0"/>
          <w:color w:val="auto"/>
          <w:spacing w:val="-1"/>
          <w:sz w:val="28"/>
          <w:szCs w:val="28"/>
          <w:lang w:val="en-US" w:eastAsia="zh-CN"/>
        </w:rPr>
        <w:t>3.3</w:t>
      </w:r>
      <w:r>
        <w:rPr>
          <w:rFonts w:hint="eastAsia" w:ascii="黑体" w:hAnsi="黑体" w:eastAsia="黑体" w:cs="黑体"/>
          <w:b w:val="0"/>
          <w:bCs w:val="0"/>
          <w:color w:val="auto"/>
          <w:spacing w:val="-1"/>
          <w:sz w:val="28"/>
          <w:szCs w:val="28"/>
          <w:lang w:eastAsia="zh-CN"/>
        </w:rPr>
        <w:t>-</w:t>
      </w:r>
      <w:r>
        <w:rPr>
          <w:rFonts w:hint="eastAsia" w:ascii="黑体" w:hAnsi="黑体" w:eastAsia="黑体" w:cs="黑体"/>
          <w:b w:val="0"/>
          <w:bCs w:val="0"/>
          <w:color w:val="auto"/>
          <w:spacing w:val="-1"/>
          <w:sz w:val="28"/>
          <w:szCs w:val="28"/>
          <w:lang w:val="en-US" w:eastAsia="zh-CN"/>
        </w:rPr>
        <w:t xml:space="preserve">1  </w:t>
      </w:r>
      <w:r>
        <w:rPr>
          <w:rFonts w:hint="eastAsia" w:ascii="黑体" w:hAnsi="黑体" w:eastAsia="黑体" w:cs="黑体"/>
          <w:b w:val="0"/>
          <w:bCs w:val="0"/>
          <w:color w:val="auto"/>
          <w:spacing w:val="-1"/>
          <w:sz w:val="28"/>
          <w:szCs w:val="28"/>
          <w:lang w:eastAsia="zh-CN"/>
        </w:rPr>
        <w:t>规划水平年各分区水资源配置表</w:t>
      </w:r>
    </w:p>
    <w:tbl>
      <w:tblPr>
        <w:tblStyle w:val="21"/>
        <w:tblW w:w="86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7"/>
        <w:gridCol w:w="1171"/>
        <w:gridCol w:w="918"/>
        <w:gridCol w:w="742"/>
        <w:gridCol w:w="742"/>
        <w:gridCol w:w="742"/>
        <w:gridCol w:w="743"/>
        <w:gridCol w:w="743"/>
        <w:gridCol w:w="743"/>
        <w:gridCol w:w="743"/>
      </w:tblGrid>
      <w:tr w14:paraId="0892D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7" w:type="dxa"/>
            <w:vMerge w:val="restart"/>
            <w:tcBorders>
              <w:top w:val="single" w:color="000000" w:sz="12" w:space="0"/>
              <w:left w:val="single" w:color="000000" w:sz="12" w:space="0"/>
              <w:right w:val="single" w:color="000000" w:sz="4" w:space="0"/>
            </w:tcBorders>
            <w:vAlign w:val="center"/>
          </w:tcPr>
          <w:p w14:paraId="4706322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p>
          <w:p w14:paraId="16E37CB4">
            <w:pPr>
              <w:pStyle w:val="22"/>
              <w:keepNext w:val="0"/>
              <w:keepLines w:val="0"/>
              <w:pageBreakBefore w:val="0"/>
              <w:widowControl w:val="0"/>
              <w:kinsoku/>
              <w:wordWrap/>
              <w:overflowPunct w:val="0"/>
              <w:topLinePunct w:val="0"/>
              <w:autoSpaceDE w:val="0"/>
              <w:autoSpaceDN w:val="0"/>
              <w:bidi w:val="0"/>
              <w:adjustRightInd w:val="0"/>
              <w:snapToGrid w:val="0"/>
              <w:ind w:firstLine="0" w:firstLineChars="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地区</w:t>
            </w:r>
          </w:p>
        </w:tc>
        <w:tc>
          <w:tcPr>
            <w:tcW w:w="1171" w:type="dxa"/>
            <w:vMerge w:val="restart"/>
            <w:tcBorders>
              <w:top w:val="single" w:color="000000" w:sz="12" w:space="0"/>
              <w:left w:val="single" w:color="000000" w:sz="12" w:space="0"/>
              <w:bottom w:val="single" w:color="000000" w:sz="4" w:space="0"/>
              <w:right w:val="single" w:color="000000" w:sz="4" w:space="0"/>
            </w:tcBorders>
            <w:vAlign w:val="center"/>
          </w:tcPr>
          <w:p w14:paraId="44197B94">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p>
          <w:p w14:paraId="7B2A97B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水平年</w:t>
            </w:r>
          </w:p>
        </w:tc>
        <w:tc>
          <w:tcPr>
            <w:tcW w:w="918" w:type="dxa"/>
            <w:vMerge w:val="restart"/>
            <w:tcBorders>
              <w:top w:val="single" w:color="000000" w:sz="12" w:space="0"/>
              <w:left w:val="single" w:color="000000" w:sz="4" w:space="0"/>
              <w:bottom w:val="single" w:color="000000" w:sz="4" w:space="0"/>
              <w:right w:val="single" w:color="000000" w:sz="4" w:space="0"/>
            </w:tcBorders>
            <w:vAlign w:val="center"/>
          </w:tcPr>
          <w:p w14:paraId="2A24156F">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合计</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（亿m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lang w:eastAsia="zh-CN"/>
              </w:rPr>
              <w:t>）</w:t>
            </w:r>
          </w:p>
        </w:tc>
        <w:tc>
          <w:tcPr>
            <w:tcW w:w="2226" w:type="dxa"/>
            <w:gridSpan w:val="3"/>
            <w:tcBorders>
              <w:top w:val="single" w:color="000000" w:sz="12" w:space="0"/>
              <w:left w:val="single" w:color="000000" w:sz="4" w:space="0"/>
              <w:bottom w:val="single" w:color="000000" w:sz="4" w:space="0"/>
              <w:right w:val="single" w:color="000000" w:sz="4" w:space="0"/>
            </w:tcBorders>
            <w:vAlign w:val="center"/>
          </w:tcPr>
          <w:p w14:paraId="73F652A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分水源（亿m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lang w:eastAsia="zh-CN"/>
              </w:rPr>
              <w:t>）</w:t>
            </w:r>
          </w:p>
        </w:tc>
        <w:tc>
          <w:tcPr>
            <w:tcW w:w="2972" w:type="dxa"/>
            <w:gridSpan w:val="4"/>
            <w:tcBorders>
              <w:top w:val="single" w:color="000000" w:sz="12" w:space="0"/>
              <w:left w:val="single" w:color="000000" w:sz="4" w:space="0"/>
              <w:bottom w:val="single" w:color="000000" w:sz="4" w:space="0"/>
              <w:right w:val="single" w:color="000000" w:sz="12" w:space="0"/>
            </w:tcBorders>
            <w:vAlign w:val="center"/>
          </w:tcPr>
          <w:p w14:paraId="10353C22">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分行业（亿m</w:t>
            </w:r>
            <w:r>
              <w:rPr>
                <w:rFonts w:hint="eastAsia" w:ascii="宋体" w:hAnsi="宋体" w:eastAsia="宋体" w:cs="宋体"/>
                <w:color w:val="auto"/>
                <w:sz w:val="21"/>
                <w:szCs w:val="21"/>
                <w:vertAlign w:val="superscript"/>
                <w:lang w:eastAsia="zh-CN"/>
              </w:rPr>
              <w:t>3</w:t>
            </w:r>
            <w:r>
              <w:rPr>
                <w:rFonts w:hint="eastAsia" w:ascii="宋体" w:hAnsi="宋体" w:eastAsia="宋体" w:cs="宋体"/>
                <w:color w:val="auto"/>
                <w:sz w:val="21"/>
                <w:szCs w:val="21"/>
                <w:lang w:eastAsia="zh-CN"/>
              </w:rPr>
              <w:t>）</w:t>
            </w:r>
          </w:p>
        </w:tc>
      </w:tr>
      <w:tr w14:paraId="79F4B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1347" w:type="dxa"/>
            <w:vMerge w:val="continue"/>
            <w:tcBorders>
              <w:left w:val="single" w:color="000000" w:sz="12" w:space="0"/>
              <w:bottom w:val="single" w:color="000000" w:sz="4" w:space="0"/>
              <w:right w:val="single" w:color="000000" w:sz="4" w:space="0"/>
            </w:tcBorders>
            <w:vAlign w:val="center"/>
          </w:tcPr>
          <w:p w14:paraId="4688725E">
            <w:pPr>
              <w:pStyle w:val="22"/>
              <w:keepNext w:val="0"/>
              <w:keepLines w:val="0"/>
              <w:pageBreakBefore w:val="0"/>
              <w:widowControl w:val="0"/>
              <w:kinsoku/>
              <w:wordWrap/>
              <w:overflowPunct w:val="0"/>
              <w:topLinePunct w:val="0"/>
              <w:autoSpaceDE w:val="0"/>
              <w:autoSpaceDN w:val="0"/>
              <w:bidi w:val="0"/>
              <w:adjustRightInd w:val="0"/>
              <w:snapToGrid w:val="0"/>
              <w:ind w:firstLine="0" w:firstLineChars="0"/>
              <w:jc w:val="both"/>
              <w:textAlignment w:val="baseline"/>
              <w:rPr>
                <w:rFonts w:hint="eastAsia" w:ascii="宋体" w:hAnsi="宋体" w:eastAsia="宋体" w:cs="宋体"/>
                <w:color w:val="auto"/>
                <w:sz w:val="21"/>
                <w:szCs w:val="21"/>
                <w:lang w:eastAsia="zh-CN"/>
              </w:rPr>
            </w:pPr>
          </w:p>
        </w:tc>
        <w:tc>
          <w:tcPr>
            <w:tcW w:w="1171" w:type="dxa"/>
            <w:vMerge w:val="continue"/>
            <w:tcBorders>
              <w:top w:val="single" w:color="000000" w:sz="4" w:space="0"/>
              <w:left w:val="single" w:color="000000" w:sz="12" w:space="0"/>
              <w:bottom w:val="single" w:color="000000" w:sz="4" w:space="0"/>
              <w:right w:val="single" w:color="000000" w:sz="4" w:space="0"/>
            </w:tcBorders>
            <w:vAlign w:val="center"/>
          </w:tcPr>
          <w:p w14:paraId="33E7FEB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p>
        </w:tc>
        <w:tc>
          <w:tcPr>
            <w:tcW w:w="918" w:type="dxa"/>
            <w:vMerge w:val="continue"/>
            <w:tcBorders>
              <w:top w:val="single" w:color="000000" w:sz="4" w:space="0"/>
              <w:left w:val="single" w:color="000000" w:sz="4" w:space="0"/>
              <w:bottom w:val="single" w:color="000000" w:sz="4" w:space="0"/>
              <w:right w:val="single" w:color="000000" w:sz="4" w:space="0"/>
            </w:tcBorders>
            <w:vAlign w:val="center"/>
          </w:tcPr>
          <w:p w14:paraId="2B3642F5">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31EC976B">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黄河水</w:t>
            </w:r>
          </w:p>
        </w:tc>
        <w:tc>
          <w:tcPr>
            <w:tcW w:w="742" w:type="dxa"/>
            <w:tcBorders>
              <w:top w:val="single" w:color="000000" w:sz="4" w:space="0"/>
              <w:left w:val="single" w:color="000000" w:sz="4" w:space="0"/>
              <w:bottom w:val="single" w:color="000000" w:sz="4" w:space="0"/>
              <w:right w:val="single" w:color="000000" w:sz="4" w:space="0"/>
            </w:tcBorders>
            <w:vAlign w:val="center"/>
          </w:tcPr>
          <w:p w14:paraId="4428F37C">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地下水</w:t>
            </w:r>
          </w:p>
        </w:tc>
        <w:tc>
          <w:tcPr>
            <w:tcW w:w="742" w:type="dxa"/>
            <w:tcBorders>
              <w:top w:val="single" w:color="000000" w:sz="4" w:space="0"/>
              <w:left w:val="single" w:color="000000" w:sz="4" w:space="0"/>
              <w:bottom w:val="single" w:color="000000" w:sz="4" w:space="0"/>
              <w:right w:val="single" w:color="000000" w:sz="4" w:space="0"/>
            </w:tcBorders>
            <w:vAlign w:val="center"/>
          </w:tcPr>
          <w:p w14:paraId="54F2D1C9">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非常</w:t>
            </w:r>
          </w:p>
          <w:p w14:paraId="7DD25DFC">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规水</w:t>
            </w:r>
          </w:p>
        </w:tc>
        <w:tc>
          <w:tcPr>
            <w:tcW w:w="743" w:type="dxa"/>
            <w:tcBorders>
              <w:top w:val="single" w:color="000000" w:sz="4" w:space="0"/>
              <w:left w:val="single" w:color="000000" w:sz="4" w:space="0"/>
              <w:bottom w:val="single" w:color="000000" w:sz="4" w:space="0"/>
              <w:right w:val="single" w:color="000000" w:sz="4" w:space="0"/>
            </w:tcBorders>
            <w:vAlign w:val="center"/>
          </w:tcPr>
          <w:p w14:paraId="186BE7A9">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生活</w:t>
            </w:r>
          </w:p>
        </w:tc>
        <w:tc>
          <w:tcPr>
            <w:tcW w:w="743" w:type="dxa"/>
            <w:tcBorders>
              <w:top w:val="single" w:color="000000" w:sz="4" w:space="0"/>
              <w:left w:val="single" w:color="000000" w:sz="4" w:space="0"/>
              <w:bottom w:val="single" w:color="000000" w:sz="4" w:space="0"/>
              <w:right w:val="single" w:color="000000" w:sz="4" w:space="0"/>
            </w:tcBorders>
            <w:vAlign w:val="center"/>
          </w:tcPr>
          <w:p w14:paraId="36453B4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工业</w:t>
            </w:r>
          </w:p>
        </w:tc>
        <w:tc>
          <w:tcPr>
            <w:tcW w:w="743" w:type="dxa"/>
            <w:tcBorders>
              <w:top w:val="single" w:color="000000" w:sz="4" w:space="0"/>
              <w:left w:val="single" w:color="000000" w:sz="4" w:space="0"/>
              <w:bottom w:val="single" w:color="000000" w:sz="4" w:space="0"/>
              <w:right w:val="single" w:color="000000" w:sz="4" w:space="0"/>
            </w:tcBorders>
            <w:vAlign w:val="center"/>
          </w:tcPr>
          <w:p w14:paraId="5ED2C55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农业</w:t>
            </w:r>
          </w:p>
        </w:tc>
        <w:tc>
          <w:tcPr>
            <w:tcW w:w="743" w:type="dxa"/>
            <w:tcBorders>
              <w:top w:val="single" w:color="000000" w:sz="4" w:space="0"/>
              <w:left w:val="single" w:color="000000" w:sz="4" w:space="0"/>
              <w:bottom w:val="single" w:color="000000" w:sz="4" w:space="0"/>
              <w:right w:val="single" w:color="000000" w:sz="12" w:space="0"/>
            </w:tcBorders>
            <w:vAlign w:val="center"/>
          </w:tcPr>
          <w:p w14:paraId="4D2A98A1">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生态</w:t>
            </w:r>
          </w:p>
        </w:tc>
      </w:tr>
      <w:tr w14:paraId="172A3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1347" w:type="dxa"/>
            <w:vMerge w:val="restart"/>
            <w:tcBorders>
              <w:top w:val="single" w:color="000000" w:sz="4" w:space="0"/>
              <w:left w:val="single" w:color="000000" w:sz="12" w:space="0"/>
              <w:right w:val="single" w:color="000000" w:sz="4" w:space="0"/>
            </w:tcBorders>
            <w:vAlign w:val="center"/>
          </w:tcPr>
          <w:p w14:paraId="5729766B">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both"/>
              <w:textAlignment w:val="baseline"/>
              <w:rPr>
                <w:rFonts w:hint="eastAsia" w:ascii="宋体" w:hAnsi="宋体" w:eastAsia="宋体" w:cs="宋体"/>
                <w:color w:val="auto"/>
                <w:sz w:val="21"/>
                <w:szCs w:val="21"/>
                <w:lang w:eastAsia="zh-CN"/>
              </w:rPr>
            </w:pPr>
            <w:r>
              <w:rPr>
                <w:rFonts w:hint="eastAsia" w:ascii="宋体" w:hAnsi="宋体" w:eastAsia="宋体" w:cs="宋体"/>
                <w:snapToGrid w:val="0"/>
                <w:color w:val="auto"/>
                <w:sz w:val="21"/>
                <w:szCs w:val="21"/>
                <w:lang w:val="en-US" w:eastAsia="zh-CN" w:bidi="ar-SA"/>
              </w:rPr>
              <w:t>红寺堡区</w:t>
            </w:r>
          </w:p>
        </w:tc>
        <w:tc>
          <w:tcPr>
            <w:tcW w:w="1171" w:type="dxa"/>
            <w:tcBorders>
              <w:top w:val="single" w:color="000000" w:sz="4" w:space="0"/>
              <w:left w:val="single" w:color="000000" w:sz="12" w:space="0"/>
              <w:bottom w:val="single" w:color="000000" w:sz="4" w:space="0"/>
              <w:right w:val="single" w:color="000000" w:sz="4" w:space="0"/>
            </w:tcBorders>
            <w:vAlign w:val="center"/>
          </w:tcPr>
          <w:p w14:paraId="38BBDCA4">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2030</w:t>
            </w:r>
          </w:p>
        </w:tc>
        <w:tc>
          <w:tcPr>
            <w:tcW w:w="918" w:type="dxa"/>
            <w:tcBorders>
              <w:top w:val="single" w:color="000000" w:sz="4" w:space="0"/>
              <w:left w:val="single" w:color="000000" w:sz="4" w:space="0"/>
              <w:bottom w:val="single" w:color="000000" w:sz="4" w:space="0"/>
              <w:right w:val="single" w:color="000000" w:sz="4" w:space="0"/>
            </w:tcBorders>
            <w:vAlign w:val="center"/>
          </w:tcPr>
          <w:p w14:paraId="2D221371">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2.5</w:t>
            </w:r>
            <w:r>
              <w:rPr>
                <w:rFonts w:hint="eastAsia" w:ascii="宋体" w:hAnsi="宋体" w:eastAsia="宋体" w:cs="宋体"/>
                <w:color w:val="auto"/>
                <w:sz w:val="21"/>
                <w:szCs w:val="21"/>
                <w:lang w:val="en-US" w:eastAsia="zh-CN"/>
              </w:rPr>
              <w:t>67</w:t>
            </w:r>
          </w:p>
        </w:tc>
        <w:tc>
          <w:tcPr>
            <w:tcW w:w="742" w:type="dxa"/>
            <w:tcBorders>
              <w:top w:val="single" w:color="000000" w:sz="4" w:space="0"/>
              <w:left w:val="single" w:color="000000" w:sz="4" w:space="0"/>
              <w:bottom w:val="single" w:color="000000" w:sz="4" w:space="0"/>
              <w:right w:val="single" w:color="000000" w:sz="4" w:space="0"/>
            </w:tcBorders>
            <w:vAlign w:val="center"/>
          </w:tcPr>
          <w:p w14:paraId="7A27FDB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2.45</w:t>
            </w:r>
          </w:p>
        </w:tc>
        <w:tc>
          <w:tcPr>
            <w:tcW w:w="742" w:type="dxa"/>
            <w:tcBorders>
              <w:top w:val="single" w:color="000000" w:sz="4" w:space="0"/>
              <w:left w:val="single" w:color="000000" w:sz="4" w:space="0"/>
              <w:bottom w:val="single" w:color="000000" w:sz="4" w:space="0"/>
              <w:right w:val="single" w:color="000000" w:sz="4" w:space="0"/>
            </w:tcBorders>
            <w:vAlign w:val="center"/>
          </w:tcPr>
          <w:p w14:paraId="350EF568">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0.04</w:t>
            </w:r>
          </w:p>
        </w:tc>
        <w:tc>
          <w:tcPr>
            <w:tcW w:w="742" w:type="dxa"/>
            <w:tcBorders>
              <w:top w:val="single" w:color="000000" w:sz="4" w:space="0"/>
              <w:left w:val="single" w:color="000000" w:sz="4" w:space="0"/>
              <w:bottom w:val="single" w:color="000000" w:sz="4" w:space="0"/>
              <w:right w:val="single" w:color="000000" w:sz="4" w:space="0"/>
            </w:tcBorders>
            <w:vAlign w:val="center"/>
          </w:tcPr>
          <w:p w14:paraId="264F81BD">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0.0</w:t>
            </w:r>
            <w:r>
              <w:rPr>
                <w:rFonts w:hint="eastAsia" w:ascii="宋体" w:hAnsi="宋体" w:eastAsia="宋体" w:cs="宋体"/>
                <w:color w:val="auto"/>
                <w:sz w:val="21"/>
                <w:szCs w:val="21"/>
                <w:lang w:val="en-US" w:eastAsia="zh-CN"/>
              </w:rPr>
              <w:t>82</w:t>
            </w:r>
          </w:p>
        </w:tc>
        <w:tc>
          <w:tcPr>
            <w:tcW w:w="743" w:type="dxa"/>
            <w:tcBorders>
              <w:top w:val="single" w:color="000000" w:sz="4" w:space="0"/>
              <w:left w:val="single" w:color="000000" w:sz="4" w:space="0"/>
              <w:bottom w:val="single" w:color="000000" w:sz="4" w:space="0"/>
              <w:right w:val="single" w:color="000000" w:sz="4" w:space="0"/>
            </w:tcBorders>
            <w:vAlign w:val="center"/>
          </w:tcPr>
          <w:p w14:paraId="221CA66E">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0.167</w:t>
            </w:r>
          </w:p>
        </w:tc>
        <w:tc>
          <w:tcPr>
            <w:tcW w:w="743" w:type="dxa"/>
            <w:tcBorders>
              <w:top w:val="single" w:color="000000" w:sz="4" w:space="0"/>
              <w:left w:val="single" w:color="000000" w:sz="4" w:space="0"/>
              <w:bottom w:val="single" w:color="000000" w:sz="4" w:space="0"/>
              <w:right w:val="single" w:color="000000" w:sz="4" w:space="0"/>
            </w:tcBorders>
            <w:vAlign w:val="center"/>
          </w:tcPr>
          <w:p w14:paraId="6EAFE154">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0.1</w:t>
            </w:r>
            <w:r>
              <w:rPr>
                <w:rFonts w:hint="eastAsia" w:ascii="宋体" w:hAnsi="宋体" w:eastAsia="宋体" w:cs="宋体"/>
                <w:color w:val="auto"/>
                <w:sz w:val="21"/>
                <w:szCs w:val="21"/>
                <w:lang w:val="en-US" w:eastAsia="zh-CN"/>
              </w:rPr>
              <w:t>8</w:t>
            </w:r>
          </w:p>
        </w:tc>
        <w:tc>
          <w:tcPr>
            <w:tcW w:w="743" w:type="dxa"/>
            <w:tcBorders>
              <w:top w:val="single" w:color="000000" w:sz="4" w:space="0"/>
              <w:left w:val="single" w:color="000000" w:sz="4" w:space="0"/>
              <w:bottom w:val="single" w:color="000000" w:sz="4" w:space="0"/>
              <w:right w:val="single" w:color="000000" w:sz="4" w:space="0"/>
            </w:tcBorders>
            <w:vAlign w:val="center"/>
          </w:tcPr>
          <w:p w14:paraId="7045872C">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1.99</w:t>
            </w:r>
          </w:p>
        </w:tc>
        <w:tc>
          <w:tcPr>
            <w:tcW w:w="743" w:type="dxa"/>
            <w:tcBorders>
              <w:top w:val="single" w:color="000000" w:sz="4" w:space="0"/>
              <w:left w:val="single" w:color="000000" w:sz="4" w:space="0"/>
              <w:bottom w:val="single" w:color="000000" w:sz="4" w:space="0"/>
              <w:right w:val="single" w:color="000000" w:sz="12" w:space="0"/>
            </w:tcBorders>
            <w:vAlign w:val="center"/>
          </w:tcPr>
          <w:p w14:paraId="6AC5BFC3">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0.23</w:t>
            </w:r>
          </w:p>
        </w:tc>
      </w:tr>
      <w:tr w14:paraId="4EDAB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1347" w:type="dxa"/>
            <w:vMerge w:val="continue"/>
            <w:tcBorders>
              <w:left w:val="single" w:color="000000" w:sz="12" w:space="0"/>
              <w:bottom w:val="single" w:color="000000" w:sz="12" w:space="0"/>
              <w:right w:val="single" w:color="000000" w:sz="4" w:space="0"/>
            </w:tcBorders>
            <w:vAlign w:val="center"/>
          </w:tcPr>
          <w:p w14:paraId="5BE8C012">
            <w:pPr>
              <w:keepNext w:val="0"/>
              <w:keepLines w:val="0"/>
              <w:pageBreakBefore w:val="0"/>
              <w:widowControl w:val="0"/>
              <w:kinsoku/>
              <w:wordWrap/>
              <w:overflowPunct w:val="0"/>
              <w:topLinePunct w:val="0"/>
              <w:autoSpaceDE w:val="0"/>
              <w:autoSpaceDN w:val="0"/>
              <w:bidi w:val="0"/>
              <w:adjustRightInd w:val="0"/>
              <w:snapToGrid w:val="0"/>
              <w:ind w:firstLine="420" w:firstLineChars="200"/>
              <w:jc w:val="both"/>
              <w:textAlignment w:val="baseline"/>
              <w:rPr>
                <w:rFonts w:hint="eastAsia" w:ascii="宋体" w:hAnsi="宋体" w:eastAsia="宋体" w:cs="宋体"/>
                <w:color w:val="auto"/>
                <w:sz w:val="21"/>
                <w:szCs w:val="21"/>
                <w:lang w:eastAsia="zh-CN"/>
              </w:rPr>
            </w:pPr>
          </w:p>
        </w:tc>
        <w:tc>
          <w:tcPr>
            <w:tcW w:w="1171" w:type="dxa"/>
            <w:tcBorders>
              <w:top w:val="single" w:color="000000" w:sz="4" w:space="0"/>
              <w:left w:val="single" w:color="000000" w:sz="12" w:space="0"/>
              <w:bottom w:val="single" w:color="000000" w:sz="12" w:space="0"/>
              <w:right w:val="single" w:color="000000" w:sz="4" w:space="0"/>
            </w:tcBorders>
            <w:vAlign w:val="center"/>
          </w:tcPr>
          <w:p w14:paraId="6105395A">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2035</w:t>
            </w:r>
          </w:p>
        </w:tc>
        <w:tc>
          <w:tcPr>
            <w:tcW w:w="918" w:type="dxa"/>
            <w:tcBorders>
              <w:top w:val="single" w:color="000000" w:sz="4" w:space="0"/>
              <w:left w:val="single" w:color="000000" w:sz="4" w:space="0"/>
              <w:bottom w:val="single" w:color="000000" w:sz="12" w:space="0"/>
              <w:right w:val="single" w:color="000000" w:sz="4" w:space="0"/>
            </w:tcBorders>
            <w:vAlign w:val="center"/>
          </w:tcPr>
          <w:p w14:paraId="5597BE3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2.596</w:t>
            </w:r>
          </w:p>
        </w:tc>
        <w:tc>
          <w:tcPr>
            <w:tcW w:w="742" w:type="dxa"/>
            <w:tcBorders>
              <w:top w:val="single" w:color="000000" w:sz="4" w:space="0"/>
              <w:left w:val="single" w:color="000000" w:sz="4" w:space="0"/>
              <w:bottom w:val="single" w:color="000000" w:sz="12" w:space="0"/>
              <w:right w:val="single" w:color="000000" w:sz="4" w:space="0"/>
            </w:tcBorders>
            <w:vAlign w:val="center"/>
          </w:tcPr>
          <w:p w14:paraId="643E8BC5">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2.45</w:t>
            </w:r>
          </w:p>
        </w:tc>
        <w:tc>
          <w:tcPr>
            <w:tcW w:w="742" w:type="dxa"/>
            <w:tcBorders>
              <w:top w:val="single" w:color="000000" w:sz="4" w:space="0"/>
              <w:left w:val="single" w:color="000000" w:sz="4" w:space="0"/>
              <w:bottom w:val="single" w:color="000000" w:sz="12" w:space="0"/>
              <w:right w:val="single" w:color="000000" w:sz="4" w:space="0"/>
            </w:tcBorders>
            <w:vAlign w:val="center"/>
          </w:tcPr>
          <w:p w14:paraId="4128DB1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w:t>
            </w:r>
          </w:p>
        </w:tc>
        <w:tc>
          <w:tcPr>
            <w:tcW w:w="742" w:type="dxa"/>
            <w:tcBorders>
              <w:top w:val="single" w:color="000000" w:sz="4" w:space="0"/>
              <w:left w:val="single" w:color="000000" w:sz="4" w:space="0"/>
              <w:bottom w:val="single" w:color="000000" w:sz="12" w:space="0"/>
              <w:right w:val="single" w:color="000000" w:sz="4" w:space="0"/>
            </w:tcBorders>
            <w:vAlign w:val="center"/>
          </w:tcPr>
          <w:p w14:paraId="602DEF4F">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0.11</w:t>
            </w:r>
          </w:p>
        </w:tc>
        <w:tc>
          <w:tcPr>
            <w:tcW w:w="743" w:type="dxa"/>
            <w:tcBorders>
              <w:top w:val="single" w:color="000000" w:sz="4" w:space="0"/>
              <w:left w:val="single" w:color="000000" w:sz="4" w:space="0"/>
              <w:bottom w:val="single" w:color="000000" w:sz="12" w:space="0"/>
              <w:right w:val="single" w:color="000000" w:sz="4" w:space="0"/>
            </w:tcBorders>
            <w:vAlign w:val="center"/>
          </w:tcPr>
          <w:p w14:paraId="088CAEF7">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0.167</w:t>
            </w:r>
          </w:p>
        </w:tc>
        <w:tc>
          <w:tcPr>
            <w:tcW w:w="743" w:type="dxa"/>
            <w:tcBorders>
              <w:top w:val="single" w:color="000000" w:sz="4" w:space="0"/>
              <w:left w:val="single" w:color="000000" w:sz="4" w:space="0"/>
              <w:bottom w:val="single" w:color="000000" w:sz="12" w:space="0"/>
              <w:right w:val="single" w:color="000000" w:sz="4" w:space="0"/>
            </w:tcBorders>
            <w:vAlign w:val="center"/>
          </w:tcPr>
          <w:p w14:paraId="52439208">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0.21</w:t>
            </w:r>
          </w:p>
        </w:tc>
        <w:tc>
          <w:tcPr>
            <w:tcW w:w="743" w:type="dxa"/>
            <w:tcBorders>
              <w:top w:val="single" w:color="000000" w:sz="4" w:space="0"/>
              <w:left w:val="single" w:color="000000" w:sz="4" w:space="0"/>
              <w:bottom w:val="single" w:color="000000" w:sz="12" w:space="0"/>
              <w:right w:val="single" w:color="000000" w:sz="4" w:space="0"/>
            </w:tcBorders>
            <w:vAlign w:val="center"/>
          </w:tcPr>
          <w:p w14:paraId="7403E784">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1.99</w:t>
            </w:r>
          </w:p>
        </w:tc>
        <w:tc>
          <w:tcPr>
            <w:tcW w:w="743" w:type="dxa"/>
            <w:tcBorders>
              <w:top w:val="single" w:color="000000" w:sz="4" w:space="0"/>
              <w:left w:val="single" w:color="000000" w:sz="4" w:space="0"/>
              <w:bottom w:val="single" w:color="000000" w:sz="12" w:space="0"/>
              <w:right w:val="single" w:color="000000" w:sz="12" w:space="0"/>
            </w:tcBorders>
            <w:vAlign w:val="center"/>
          </w:tcPr>
          <w:p w14:paraId="1279A268">
            <w:pPr>
              <w:pStyle w:val="22"/>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0.23</w:t>
            </w:r>
          </w:p>
        </w:tc>
      </w:tr>
    </w:tbl>
    <w:p w14:paraId="7CCD4C9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p>
    <w:p w14:paraId="0814C28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eastAsia="zh-CN"/>
        </w:rPr>
      </w:pPr>
      <w:bookmarkStart w:id="103" w:name="_Toc26287"/>
      <w:bookmarkStart w:id="104" w:name="_Toc4311"/>
      <w:bookmarkStart w:id="105" w:name="_Toc16702"/>
      <w:r>
        <w:rPr>
          <w:rFonts w:hint="eastAsia"/>
          <w:b/>
          <w:bCs/>
          <w:lang w:val="en-US" w:eastAsia="zh-CN"/>
        </w:rPr>
        <w:t>二．</w:t>
      </w:r>
      <w:r>
        <w:rPr>
          <w:rFonts w:hint="eastAsia"/>
          <w:b/>
          <w:bCs/>
          <w:lang w:eastAsia="zh-CN"/>
        </w:rPr>
        <w:t>解决红寺堡区水资源短缺的途径</w:t>
      </w:r>
      <w:bookmarkEnd w:id="103"/>
      <w:bookmarkEnd w:id="104"/>
      <w:bookmarkEnd w:id="105"/>
    </w:p>
    <w:p w14:paraId="7E76FF37">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深度开展节水控水。</w:t>
      </w:r>
      <w:r>
        <w:rPr>
          <w:rFonts w:hint="eastAsia" w:ascii="仿宋_GB2312" w:hAnsi="仿宋_GB2312" w:eastAsia="仿宋_GB2312" w:cs="仿宋_GB2312"/>
          <w:color w:val="auto"/>
          <w:lang w:eastAsia="zh-CN"/>
        </w:rPr>
        <w:t>全方位落实“四水四定”，强化水资源最大刚性约束，提高水资源利用效率，形成有利于水资源节约循环利用的空间格局、产业结构、生产生活方式。严格实行用水总量和强度控制，制定水资源用途管制措施。加强用水全过程管控</w:t>
      </w:r>
      <w:r>
        <w:rPr>
          <w:rFonts w:hint="eastAsia" w:ascii="仿宋_GB2312" w:hAnsi="仿宋_GB2312" w:cs="仿宋_GB2312"/>
          <w:color w:val="auto"/>
          <w:lang w:eastAsia="zh-CN"/>
        </w:rPr>
        <w:t>。</w:t>
      </w:r>
    </w:p>
    <w:p w14:paraId="6D53E6CE">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深化用水权改革方面。</w:t>
      </w:r>
      <w:r>
        <w:rPr>
          <w:rFonts w:hint="eastAsia" w:ascii="仿宋_GB2312" w:hAnsi="仿宋_GB2312" w:eastAsia="仿宋_GB2312" w:cs="仿宋_GB2312"/>
          <w:color w:val="auto"/>
          <w:lang w:eastAsia="zh-CN"/>
        </w:rPr>
        <w:t>一是完成农业水价综合改革，红寺堡区人民政府印发《吴忠市红寺堡区农业水价综合改革执行方案》的通知，对红寺堡区全区灌区农业供水价格进行调整；完善超计划用水加价制度，非居民用水实行超定额累进加价，超出定额部分的用水价格按以下加价标准缴纳超定额水费：超20%以下加价1倍缴纳；超20%以上至50%加价2倍缴纳；超50%以上加价3倍缴纳。充分发挥水价 杠杆作用，激活了各环节用水主体节水意识，倒逼各行业节约用水。二是精准核定用水权，完成用水权确权。将“十四五”取水管控指标精准确权到各支开口（村），并发放用水权证，破解了权属不清、用水粗放等问题，有力推动了农业节水增效、工业节水减排、城市节水降耗。执行自治区用水权基准价，红寺堡区内工业企业用水权有偿使用费标准为黄河水或当地地表水为0.798元/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，地下水为1.791</w:t>
      </w:r>
    </w:p>
    <w:p w14:paraId="527E7166">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元/m</w:t>
      </w:r>
      <w:r>
        <w:rPr>
          <w:rFonts w:hint="eastAsia" w:ascii="方正仿宋_GB2312" w:hAnsi="方正仿宋_GB2312" w:eastAsia="方正仿宋_GB2312" w:cs="方正仿宋_GB2312"/>
          <w:color w:val="auto"/>
          <w:vertAlign w:val="superscript"/>
          <w:lang w:eastAsia="zh-CN"/>
        </w:rPr>
        <w:t>3</w:t>
      </w:r>
      <w:r>
        <w:rPr>
          <w:rFonts w:hint="eastAsia" w:ascii="仿宋_GB2312" w:hAnsi="仿宋_GB2312" w:eastAsia="仿宋_GB2312" w:cs="仿宋_GB2312"/>
          <w:color w:val="auto"/>
          <w:lang w:eastAsia="zh-CN"/>
        </w:rPr>
        <w:t>。</w:t>
      </w:r>
    </w:p>
    <w:p w14:paraId="3E6E9EC7">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eastAsia="zh-CN"/>
        </w:rPr>
        <w:t>加快推进重大水源工程建设。</w:t>
      </w:r>
      <w:r>
        <w:rPr>
          <w:rFonts w:hint="eastAsia" w:ascii="仿宋_GB2312" w:hAnsi="仿宋_GB2312" w:eastAsia="仿宋_GB2312" w:cs="仿宋_GB2312"/>
          <w:color w:val="auto"/>
          <w:lang w:eastAsia="zh-CN"/>
        </w:rPr>
        <w:t>在全面节水控水的基础上，统筹开源与节流，配合做好南水北调西线工程论证，全面积极对接黑山峡水利枢纽工程开工，从根本上解决红寺堡区缺水问题。</w:t>
      </w:r>
    </w:p>
    <w:p w14:paraId="6ACAC6FB">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5E5B0B63">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67F786D6">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40C2E99B">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0C3ABEB1">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088CC069">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401A7830">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4DB5CE72">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4B7F26AF">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5343820E">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2F3E1EF2">
      <w:pPr>
        <w:keepNext w:val="0"/>
        <w:keepLines w:val="0"/>
        <w:pageBreakBefore w:val="0"/>
        <w:widowControl w:val="0"/>
        <w:kinsoku/>
        <w:wordWrap/>
        <w:overflowPunct w:val="0"/>
        <w:topLinePunct w:val="0"/>
        <w:autoSpaceDE w:val="0"/>
        <w:autoSpaceDN w:val="0"/>
        <w:bidi w:val="0"/>
        <w:adjustRightInd w:val="0"/>
        <w:snapToGrid w:val="0"/>
        <w:ind w:firstLine="560"/>
        <w:rPr>
          <w:rFonts w:hint="eastAsia" w:ascii="仿宋_GB2312" w:hAnsi="仿宋_GB2312" w:eastAsia="仿宋_GB2312" w:cs="仿宋_GB2312"/>
          <w:color w:val="auto"/>
          <w:lang w:eastAsia="zh-CN"/>
        </w:rPr>
      </w:pPr>
    </w:p>
    <w:p w14:paraId="14C5B382">
      <w:pPr>
        <w:pStyle w:val="2"/>
        <w:keepNext w:val="0"/>
        <w:keepLines w:val="0"/>
        <w:pageBreakBefore w:val="0"/>
        <w:widowControl w:val="0"/>
        <w:kinsoku/>
        <w:wordWrap/>
        <w:overflowPunct w:val="0"/>
        <w:topLinePunct w:val="0"/>
        <w:autoSpaceDE w:val="0"/>
        <w:autoSpaceDN w:val="0"/>
        <w:bidi w:val="0"/>
        <w:adjustRightInd w:val="0"/>
        <w:snapToGrid w:val="0"/>
        <w:rPr>
          <w:rFonts w:hint="default"/>
          <w:lang w:val="en-US" w:eastAsia="zh-CN"/>
        </w:rPr>
      </w:pPr>
      <w:bookmarkStart w:id="106" w:name="_Toc1474"/>
      <w:bookmarkStart w:id="107" w:name="_Toc21358"/>
      <w:bookmarkStart w:id="108" w:name="_Toc4691"/>
      <w:bookmarkStart w:id="109" w:name="_Toc11873"/>
      <w:bookmarkStart w:id="110" w:name="_Toc21019"/>
      <w:bookmarkStart w:id="111" w:name="_Toc17768"/>
      <w:r>
        <w:rPr>
          <w:rFonts w:hint="eastAsia"/>
          <w:lang w:eastAsia="zh-CN"/>
        </w:rPr>
        <w:t>第</w:t>
      </w:r>
      <w:r>
        <w:rPr>
          <w:rFonts w:hint="eastAsia"/>
          <w:lang w:val="en-US" w:eastAsia="zh-CN"/>
        </w:rPr>
        <w:t>四</w:t>
      </w:r>
      <w:r>
        <w:rPr>
          <w:rFonts w:hint="eastAsia"/>
          <w:lang w:eastAsia="zh-CN"/>
        </w:rPr>
        <w:t>章</w:t>
      </w:r>
      <w:r>
        <w:rPr>
          <w:rFonts w:hint="eastAsia"/>
          <w:lang w:val="en-US" w:eastAsia="zh-CN"/>
        </w:rPr>
        <w:t xml:space="preserve">  </w:t>
      </w:r>
      <w:bookmarkEnd w:id="106"/>
      <w:bookmarkEnd w:id="107"/>
      <w:bookmarkEnd w:id="108"/>
      <w:bookmarkEnd w:id="109"/>
      <w:bookmarkEnd w:id="110"/>
      <w:r>
        <w:rPr>
          <w:rFonts w:hint="eastAsia"/>
          <w:lang w:val="en-US" w:eastAsia="zh-CN"/>
        </w:rPr>
        <w:t>构建防洪排涝网</w:t>
      </w:r>
      <w:bookmarkEnd w:id="111"/>
    </w:p>
    <w:p w14:paraId="75834108">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eastAsia"/>
        </w:rPr>
      </w:pPr>
      <w:bookmarkStart w:id="112" w:name="_Toc19411"/>
      <w:bookmarkStart w:id="113" w:name="_Toc183958991"/>
      <w:r>
        <w:rPr>
          <w:rFonts w:hint="eastAsia"/>
        </w:rPr>
        <w:t xml:space="preserve">第一节 </w:t>
      </w:r>
      <w:r>
        <w:rPr>
          <w:rFonts w:hint="eastAsia"/>
          <w:lang w:val="en-US" w:eastAsia="zh-CN"/>
        </w:rPr>
        <w:t xml:space="preserve"> </w:t>
      </w:r>
      <w:r>
        <w:rPr>
          <w:rFonts w:hint="eastAsia"/>
        </w:rPr>
        <w:t>建设思路</w:t>
      </w:r>
      <w:bookmarkEnd w:id="112"/>
      <w:bookmarkEnd w:id="113"/>
    </w:p>
    <w:p w14:paraId="185787D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坚持人民至上、生命至上，全力守住水灾害防御底线，以黄河</w:t>
      </w:r>
      <w:r>
        <w:rPr>
          <w:rFonts w:hint="eastAsia"/>
          <w:lang w:val="en-US" w:eastAsia="zh-CN"/>
        </w:rPr>
        <w:t>支</w:t>
      </w:r>
      <w:r>
        <w:rPr>
          <w:rFonts w:hint="eastAsia"/>
          <w:lang w:eastAsia="zh-CN"/>
        </w:rPr>
        <w:t>流（清水河、苦水河及红柳沟</w:t>
      </w:r>
      <w:r>
        <w:rPr>
          <w:rFonts w:hint="eastAsia"/>
          <w:lang w:val="en-US" w:eastAsia="zh-CN"/>
        </w:rPr>
        <w:t>等</w:t>
      </w:r>
      <w:r>
        <w:rPr>
          <w:rFonts w:hint="eastAsia"/>
          <w:lang w:eastAsia="zh-CN"/>
        </w:rPr>
        <w:t>）和罗山防洪体系建设为重点，加强主要支流、中小河流治理、山洪灾害防治等工程建设，完善区域防洪减灾体系，提升防御工程标准和洪灾防御的调度指挥能力。</w:t>
      </w:r>
    </w:p>
    <w:p w14:paraId="7BED0CF8">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ascii="方正仿宋_GB2312" w:hAnsi="方正仿宋_GB2312" w:eastAsia="方正仿宋_GB2312" w:cs="方正仿宋_GB2312"/>
          <w:color w:val="auto"/>
          <w:lang w:eastAsia="zh-CN"/>
        </w:rPr>
      </w:pPr>
      <w:bookmarkStart w:id="114" w:name="_Toc22053"/>
      <w:bookmarkStart w:id="115" w:name="_Toc7086"/>
      <w:bookmarkStart w:id="116" w:name="_Toc5897"/>
      <w:bookmarkStart w:id="117" w:name="_Toc9126"/>
      <w:bookmarkStart w:id="118" w:name="_Toc32500"/>
      <w:r>
        <w:rPr>
          <w:rFonts w:hint="eastAsia"/>
          <w:lang w:eastAsia="zh-CN"/>
        </w:rPr>
        <w:t>第</w:t>
      </w:r>
      <w:r>
        <w:rPr>
          <w:rFonts w:hint="eastAsia"/>
          <w:lang w:val="en-US" w:eastAsia="zh-CN"/>
        </w:rPr>
        <w:t>二</w:t>
      </w:r>
      <w:r>
        <w:rPr>
          <w:rFonts w:hint="eastAsia"/>
          <w:lang w:eastAsia="zh-CN"/>
        </w:rPr>
        <w:t>节</w:t>
      </w:r>
      <w:r>
        <w:rPr>
          <w:rFonts w:hint="eastAsia"/>
          <w:lang w:val="en-US" w:eastAsia="zh-CN"/>
        </w:rPr>
        <w:t xml:space="preserve">  </w:t>
      </w:r>
      <w:r>
        <w:rPr>
          <w:rFonts w:hint="eastAsia"/>
          <w:lang w:eastAsia="zh-CN"/>
        </w:rPr>
        <w:t>防洪</w:t>
      </w:r>
      <w:r>
        <w:rPr>
          <w:rFonts w:hint="eastAsia"/>
          <w:lang w:val="en-US" w:eastAsia="zh-CN"/>
        </w:rPr>
        <w:t>标准和</w:t>
      </w:r>
      <w:r>
        <w:rPr>
          <w:rFonts w:hint="eastAsia"/>
          <w:lang w:eastAsia="zh-CN"/>
        </w:rPr>
        <w:t>布局</w:t>
      </w:r>
      <w:bookmarkEnd w:id="114"/>
      <w:bookmarkEnd w:id="115"/>
      <w:bookmarkEnd w:id="116"/>
      <w:bookmarkEnd w:id="117"/>
      <w:bookmarkEnd w:id="118"/>
    </w:p>
    <w:p w14:paraId="0A92EA95">
      <w:pPr>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2" w:firstLineChars="20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snapToGrid w:val="0"/>
          <w:color w:val="auto"/>
          <w:sz w:val="30"/>
          <w:szCs w:val="21"/>
          <w:lang w:val="en-US" w:eastAsia="zh-CN" w:bidi="ar-SA"/>
        </w:rPr>
        <w:t>（一）</w:t>
      </w:r>
      <w:r>
        <w:rPr>
          <w:rFonts w:hint="eastAsia" w:ascii="仿宋_GB2312" w:hAnsi="仿宋_GB2312" w:eastAsia="仿宋_GB2312" w:cs="仿宋_GB2312"/>
          <w:b/>
          <w:bCs/>
          <w:color w:val="auto"/>
          <w:lang w:eastAsia="zh-CN"/>
        </w:rPr>
        <w:t>完善防洪治理布局。</w:t>
      </w:r>
    </w:p>
    <w:p w14:paraId="6A87AD8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以流域为单元，采取“加导、增拦、疏排、控险”的工程措施，持续开展清水河、苦水河等主要支流和中小河流、山洪灾害综合治理，继续推进病险水库除险加固。强化“四预”措施，提升洪灾防御现代化调度指挥能力和灾害应对处置能力。</w:t>
      </w:r>
    </w:p>
    <w:p w14:paraId="2B7BD97B">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二</w:t>
      </w:r>
      <w:r>
        <w:rPr>
          <w:rFonts w:hint="eastAsia" w:ascii="仿宋_GB2312" w:hAnsi="仿宋_GB2312" w:eastAsia="仿宋_GB2312" w:cs="仿宋_GB2312"/>
          <w:b/>
          <w:bCs/>
          <w:color w:val="auto"/>
          <w:lang w:eastAsia="zh-CN"/>
        </w:rPr>
        <w:t>）提升防洪排涝标准。</w:t>
      </w:r>
    </w:p>
    <w:p w14:paraId="154E12E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val="en-US" w:eastAsia="zh-CN"/>
        </w:rPr>
        <w:t>红寺堡区</w:t>
      </w:r>
      <w:r>
        <w:rPr>
          <w:rFonts w:hint="eastAsia"/>
          <w:lang w:eastAsia="zh-CN"/>
        </w:rPr>
        <w:t>苦水河山洪灾害镇区段防洪标准为20年一遇，一般乡村段为10年一遇。地级城市治涝标准采用20年一遇24h暴雨24h排除，县城采用10年一遇24h暴雨24h排除。农田治涝标准采用5~10年一遇暴</w:t>
      </w:r>
      <w:bookmarkStart w:id="119" w:name="bookmark22"/>
      <w:bookmarkEnd w:id="119"/>
      <w:r>
        <w:rPr>
          <w:rFonts w:hint="eastAsia"/>
          <w:lang w:eastAsia="zh-CN"/>
        </w:rPr>
        <w:t>雨3天排除。</w:t>
      </w:r>
    </w:p>
    <w:p w14:paraId="26F7D9B1">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lang w:val="en-US" w:eastAsia="zh-CN"/>
        </w:rPr>
      </w:pPr>
      <w:bookmarkStart w:id="120" w:name="bookmark23"/>
      <w:bookmarkEnd w:id="120"/>
      <w:bookmarkStart w:id="121" w:name="_Toc24910"/>
      <w:bookmarkStart w:id="122" w:name="_Toc2958"/>
      <w:bookmarkStart w:id="123" w:name="_Toc27198"/>
      <w:bookmarkStart w:id="124" w:name="_Toc24302"/>
      <w:bookmarkStart w:id="125" w:name="_Toc17841"/>
      <w:r>
        <w:rPr>
          <w:rFonts w:hint="eastAsia"/>
          <w:lang w:eastAsia="zh-CN"/>
        </w:rPr>
        <w:t>第</w:t>
      </w:r>
      <w:r>
        <w:rPr>
          <w:rFonts w:hint="eastAsia"/>
          <w:lang w:val="en-US" w:eastAsia="zh-CN"/>
        </w:rPr>
        <w:t>三</w:t>
      </w:r>
      <w:r>
        <w:rPr>
          <w:rFonts w:hint="eastAsia"/>
          <w:lang w:eastAsia="zh-CN"/>
        </w:rPr>
        <w:t>节</w:t>
      </w:r>
      <w:bookmarkEnd w:id="121"/>
      <w:bookmarkEnd w:id="122"/>
      <w:bookmarkEnd w:id="123"/>
      <w:bookmarkEnd w:id="124"/>
      <w:r>
        <w:rPr>
          <w:rFonts w:hint="eastAsia"/>
          <w:lang w:val="en-US" w:eastAsia="zh-CN"/>
        </w:rPr>
        <w:t xml:space="preserve">  提高河道泄洪能力</w:t>
      </w:r>
      <w:bookmarkEnd w:id="125"/>
    </w:p>
    <w:p w14:paraId="7A5E9D1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坚持安全为本，以流域为单元推进主要支流和中小河流、山洪灾害系统治理，除险加固病险水库，补齐防洪薄弱环节，形成完善的河道防洪减灾体系。</w:t>
      </w:r>
    </w:p>
    <w:p w14:paraId="72BC4793">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一</w:t>
      </w:r>
      <w:r>
        <w:rPr>
          <w:rFonts w:hint="eastAsia" w:ascii="仿宋_GB2312" w:hAnsi="仿宋_GB2312" w:eastAsia="仿宋_GB2312" w:cs="仿宋_GB2312"/>
          <w:b/>
          <w:bCs/>
          <w:color w:val="auto"/>
          <w:lang w:eastAsia="zh-CN"/>
        </w:rPr>
        <w:t>）中小河流治理</w:t>
      </w:r>
    </w:p>
    <w:p w14:paraId="4130DDA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遵循生态治河理念，以河流水系为单元，以保障防洪安全为基础，统筹干支流、上下游、左右岸，集中连片推进综合治理，通过堤防、护岸、清淤、除障、控导等工程措施，疏通中小河流防洪排水脉络，提升河道蓄洪、行洪能力，形成标准适宜、安全可靠的中小河流洪水防御体系。在满足防洪要求的同时，尽量维护河流自然形态，保护河流生境。</w:t>
      </w:r>
    </w:p>
    <w:p w14:paraId="5A0978A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继续推进清水河、苦水河、红柳沟防洪治理工程，治理长度17.5km。加快实施护岸、堤防加固、高边坡治理、巡护道路改造工程，提高河道防洪能力，改善河道生态环境。</w:t>
      </w:r>
    </w:p>
    <w:p w14:paraId="326C1434">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二</w:t>
      </w:r>
      <w:r>
        <w:rPr>
          <w:rFonts w:hint="eastAsia" w:ascii="仿宋_GB2312" w:hAnsi="仿宋_GB2312" w:eastAsia="仿宋_GB2312" w:cs="仿宋_GB2312"/>
          <w:b/>
          <w:bCs/>
          <w:color w:val="auto"/>
          <w:lang w:eastAsia="zh-CN"/>
        </w:rPr>
        <w:t>）</w:t>
      </w:r>
      <w:r>
        <w:rPr>
          <w:rFonts w:hint="eastAsia" w:ascii="仿宋_GB2312" w:hAnsi="仿宋_GB2312" w:cs="仿宋_GB2312"/>
          <w:b/>
          <w:bCs/>
          <w:color w:val="auto"/>
          <w:lang w:val="en-US" w:eastAsia="zh-CN"/>
        </w:rPr>
        <w:t>山洪沟道治理</w:t>
      </w:r>
    </w:p>
    <w:p w14:paraId="6C9F4E8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以流域为单元，在山洪灾害调查评价成果基础上，开展重点山洪沟治理，解决山洪灾害防治尚存的突出薄弱环节，补齐短板，强化弱项，夯实山洪灾害防御基础，进一步巩固提升监测预报预警系统、群测群防体系等非工程措施。红寺堡区河道两侧多为农田，局部穿过村庄，多年来未进行过治理，现状河道杂草丛生，行水不畅，局部沟道因两岸农田内侧向水流渗透造成边坡滑塌，由于农民耕种逐年挤占河道，造成河床束窄。根据河道实际情况，针对河道岸坡破坏特征，分析破坏成因，采取合理措施对河道进行岸坡治理。到2035年，规划治理山洪沟道</w:t>
      </w:r>
      <w:r>
        <w:rPr>
          <w:rFonts w:hint="eastAsia"/>
          <w:lang w:val="en-US" w:eastAsia="zh-CN"/>
        </w:rPr>
        <w:t>37</w:t>
      </w:r>
      <w:r>
        <w:rPr>
          <w:rFonts w:hint="eastAsia"/>
          <w:lang w:eastAsia="zh-CN"/>
        </w:rPr>
        <w:t>条。</w:t>
      </w:r>
    </w:p>
    <w:p w14:paraId="082ECD3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本次规划对红寺堡区未达标沟道</w:t>
      </w:r>
      <w:r>
        <w:rPr>
          <w:rFonts w:hint="eastAsia"/>
          <w:lang w:val="en-US" w:eastAsia="zh-CN"/>
        </w:rPr>
        <w:t>，</w:t>
      </w:r>
      <w:r>
        <w:rPr>
          <w:rFonts w:hint="eastAsia"/>
          <w:lang w:eastAsia="zh-CN"/>
        </w:rPr>
        <w:t>按照设计洪水标准采用10年一遇，排涝标准按5年一遇设计进行治理，治理沟道</w:t>
      </w:r>
      <w:r>
        <w:rPr>
          <w:rFonts w:hint="eastAsia"/>
          <w:lang w:val="en-US" w:eastAsia="zh-CN"/>
        </w:rPr>
        <w:t>37条，</w:t>
      </w:r>
      <w:r>
        <w:rPr>
          <w:rFonts w:hint="eastAsia"/>
          <w:lang w:eastAsia="zh-CN"/>
        </w:rPr>
        <w:t>中心长度约</w:t>
      </w:r>
      <w:r>
        <w:rPr>
          <w:rFonts w:hint="eastAsia"/>
          <w:lang w:val="en-US" w:eastAsia="zh-CN"/>
        </w:rPr>
        <w:t>121.1</w:t>
      </w:r>
      <w:r>
        <w:rPr>
          <w:rFonts w:hint="eastAsia"/>
          <w:lang w:eastAsia="zh-CN"/>
        </w:rPr>
        <w:t>km。</w:t>
      </w:r>
    </w:p>
    <w:p w14:paraId="02E79854">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0" w:leftChars="0" w:firstLine="602" w:firstLineChars="200"/>
        <w:jc w:val="both"/>
        <w:textAlignment w:val="baseline"/>
        <w:rPr>
          <w:rFonts w:hint="eastAsia"/>
          <w:b/>
          <w:bCs/>
          <w:lang w:val="en-US" w:eastAsia="zh-CN"/>
        </w:rPr>
      </w:pPr>
      <w:r>
        <w:rPr>
          <w:rFonts w:hint="eastAsia" w:ascii="Times New Roman" w:hAnsi="Times New Roman" w:eastAsia="仿宋_GB2312" w:cs="Arial"/>
          <w:b/>
          <w:bCs/>
          <w:snapToGrid w:val="0"/>
          <w:color w:val="000000"/>
          <w:sz w:val="30"/>
          <w:szCs w:val="21"/>
          <w:lang w:val="en-US" w:eastAsia="zh-CN" w:bidi="ar-SA"/>
        </w:rPr>
        <w:t>（</w:t>
      </w:r>
      <w:r>
        <w:rPr>
          <w:rFonts w:hint="eastAsia" w:cs="Arial"/>
          <w:b/>
          <w:bCs/>
          <w:snapToGrid w:val="0"/>
          <w:color w:val="000000"/>
          <w:sz w:val="30"/>
          <w:szCs w:val="21"/>
          <w:lang w:val="en-US" w:eastAsia="zh-CN" w:bidi="ar-SA"/>
        </w:rPr>
        <w:t>三</w:t>
      </w:r>
      <w:r>
        <w:rPr>
          <w:rFonts w:hint="eastAsia" w:ascii="Times New Roman" w:hAnsi="Times New Roman" w:eastAsia="仿宋_GB2312" w:cs="Arial"/>
          <w:b/>
          <w:bCs/>
          <w:snapToGrid w:val="0"/>
          <w:color w:val="000000"/>
          <w:sz w:val="30"/>
          <w:szCs w:val="21"/>
          <w:lang w:val="en-US" w:eastAsia="zh-CN" w:bidi="ar-SA"/>
        </w:rPr>
        <w:t>）</w:t>
      </w:r>
      <w:r>
        <w:rPr>
          <w:rFonts w:hint="eastAsia"/>
          <w:b/>
          <w:bCs/>
          <w:lang w:val="en-US" w:eastAsia="zh-CN"/>
        </w:rPr>
        <w:t>导洪工程提标改造</w:t>
      </w:r>
    </w:p>
    <w:p w14:paraId="798B8B71">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0" w:leftChars="0" w:firstLine="600" w:firstLineChars="200"/>
        <w:jc w:val="both"/>
        <w:textAlignment w:val="baseline"/>
        <w:rPr>
          <w:rFonts w:hint="eastAsia"/>
          <w:lang w:val="en-US" w:eastAsia="zh-CN"/>
        </w:rPr>
      </w:pPr>
      <w:r>
        <w:rPr>
          <w:rFonts w:hint="eastAsia"/>
          <w:lang w:val="en-US" w:eastAsia="zh-CN"/>
        </w:rPr>
        <w:t>罗山西麓洪水威胁着红寺堡区人口密集的红寺堡镇和新庄集乡，罗山西麓防洪堤自建成以来未进行有效的维护，未能形成有效的防洪体系，防洪能力薄弱，</w:t>
      </w:r>
      <w:r>
        <w:rPr>
          <w:rFonts w:hint="default"/>
          <w:lang w:val="en-US" w:eastAsia="zh-CN"/>
        </w:rPr>
        <w:t>结合实际情况，</w:t>
      </w:r>
      <w:r>
        <w:rPr>
          <w:rFonts w:hint="eastAsia"/>
          <w:lang w:val="en-US" w:eastAsia="zh-CN"/>
        </w:rPr>
        <w:t>规划对罗山西麓防洪堤进行提标改造。</w:t>
      </w:r>
    </w:p>
    <w:p w14:paraId="5B2489C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对肖家窑和马渠 4 条防洪堤进行加固加高，对险工险段采用浆砌石砌护，提升防洪能力，将防洪标准提高到二十年一遇，配套完善沟道建筑物。堤防总长度为 12353m，其中肖家窑防洪堤长度 2412m，马渠 1#防洪堤长度 4636m，2#防洪堤 1216m，3#防洪堤长度 4089m。</w:t>
      </w:r>
    </w:p>
    <w:p w14:paraId="6DAB50D0">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eastAsia"/>
        </w:rPr>
      </w:pPr>
      <w:bookmarkStart w:id="126" w:name="_Toc17866"/>
      <w:bookmarkStart w:id="127" w:name="_Toc183958995"/>
      <w:r>
        <w:rPr>
          <w:rFonts w:hint="eastAsia"/>
        </w:rPr>
        <w:t>第</w:t>
      </w:r>
      <w:r>
        <w:rPr>
          <w:rFonts w:hint="eastAsia"/>
          <w:lang w:val="en-US" w:eastAsia="zh-CN"/>
        </w:rPr>
        <w:t>四</w:t>
      </w:r>
      <w:r>
        <w:rPr>
          <w:rFonts w:hint="eastAsia"/>
        </w:rPr>
        <w:t>节</w:t>
      </w:r>
      <w:r>
        <w:rPr>
          <w:rFonts w:hint="eastAsia"/>
          <w:lang w:val="en-US" w:eastAsia="zh-CN"/>
        </w:rPr>
        <w:t xml:space="preserve"> </w:t>
      </w:r>
      <w:r>
        <w:rPr>
          <w:rFonts w:hint="eastAsia"/>
        </w:rPr>
        <w:t xml:space="preserve"> 加强城市（镇）防洪排涝建设</w:t>
      </w:r>
      <w:bookmarkEnd w:id="126"/>
      <w:bookmarkEnd w:id="127"/>
    </w:p>
    <w:p w14:paraId="314E02E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为加强</w:t>
      </w:r>
      <w:r>
        <w:rPr>
          <w:rFonts w:hint="eastAsia"/>
          <w:lang w:val="en-US" w:eastAsia="zh-CN"/>
        </w:rPr>
        <w:t>红寺堡区及下辖各乡镇</w:t>
      </w:r>
      <w:r>
        <w:rPr>
          <w:rFonts w:hint="eastAsia"/>
        </w:rPr>
        <w:t>防洪排涝建设，可以充分按照“拒、绕、排”的思路，统筹城镇排洪通道和内涝防治措施，并充分利用地表和地下蓄滞泄空间。</w:t>
      </w:r>
    </w:p>
    <w:p w14:paraId="3A69019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（一）“拒”策略</w:t>
      </w:r>
    </w:p>
    <w:p w14:paraId="7A1BC70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1、增强城市防洪设施</w:t>
      </w:r>
    </w:p>
    <w:p w14:paraId="6885F36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建设防洪堤、防洪墙等物理屏障，以阻挡洪水进入城市区域；加强对防洪设施的维护和检查，确保其完整性和有效性。</w:t>
      </w:r>
    </w:p>
    <w:p w14:paraId="53A98B7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2、合理规划城市建设</w:t>
      </w:r>
    </w:p>
    <w:p w14:paraId="56BD9A6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在城市规划中，避免在低洼地带和洪水易发区域进行大规模建设；通过合理布局，减少洪水对城市的影响。</w:t>
      </w:r>
    </w:p>
    <w:p w14:paraId="4333AE4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（二）“绕”策略</w:t>
      </w:r>
    </w:p>
    <w:p w14:paraId="1806E6E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1、优化排洪通道</w:t>
      </w:r>
    </w:p>
    <w:p w14:paraId="0FE42CD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规划并建设合理的排洪通道，确保洪水能够顺畅地绕过城市区域；对已有的排洪通道进行疏浚和拓宽，提高其排水能力。</w:t>
      </w:r>
    </w:p>
    <w:p w14:paraId="283030F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2、利用自然地形</w:t>
      </w:r>
    </w:p>
    <w:p w14:paraId="0151206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借助自然地形，如河流、湖泊等，引导洪水绕过城市；在城市周边建设湿地、公园等，作为天然的蓄滞洪水空间。</w:t>
      </w:r>
    </w:p>
    <w:p w14:paraId="3E47837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（三）“排”策略</w:t>
      </w:r>
    </w:p>
    <w:p w14:paraId="47CD8A4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1、完善排水系统：</w:t>
      </w:r>
    </w:p>
    <w:p w14:paraId="02EC1E1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对城市排水系统进行全面检查和升级，提高排水能力。建设雨水收集系统和排水泵站，加速雨水的排放。</w:t>
      </w:r>
    </w:p>
    <w:p w14:paraId="2063638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2、加强地下空间利用</w:t>
      </w:r>
    </w:p>
    <w:p w14:paraId="04EBB6C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开发和利用地下蓄滞洪水空间，如地下隧道、地下室等；通过地下排水设施，将雨水引入地下进行处理和储存。</w:t>
      </w:r>
    </w:p>
    <w:p w14:paraId="62997BA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3、推广雨水回收利用</w:t>
      </w:r>
    </w:p>
    <w:p w14:paraId="5AA754D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建设雨水回收利用系统，将雨水用于城市绿化、道路清洗等；通过雨水回收利用，减少雨水对城市排水系统的压力。</w:t>
      </w:r>
    </w:p>
    <w:p w14:paraId="7C646F16">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val="en-US" w:eastAsia="zh-CN"/>
        </w:rPr>
        <w:t>针对红寺堡区城区降雨特性及城区防洪特点，</w:t>
      </w:r>
      <w:r>
        <w:rPr>
          <w:rFonts w:hint="eastAsia"/>
          <w:lang w:eastAsia="zh-CN"/>
        </w:rPr>
        <w:t>开展</w:t>
      </w:r>
      <w:r>
        <w:rPr>
          <w:rFonts w:hint="eastAsia"/>
          <w:lang w:val="en-US" w:eastAsia="zh-CN"/>
        </w:rPr>
        <w:t>红寺堡区</w:t>
      </w:r>
      <w:r>
        <w:rPr>
          <w:rFonts w:hint="eastAsia"/>
          <w:lang w:eastAsia="zh-CN"/>
        </w:rPr>
        <w:t>城市防洪工程，通过清淤疏浚及提升改造、畅通泄洪通道。制定大洪水应急抢险方案及应急抢险措施等非工程措施，保障县城居民及重要基础设施的防洪安全。</w:t>
      </w:r>
    </w:p>
    <w:p w14:paraId="7497CD0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sectPr>
          <w:headerReference r:id="rId9" w:type="default"/>
          <w:footerReference r:id="rId10" w:type="default"/>
          <w:pgSz w:w="11907" w:h="16839"/>
          <w:pgMar w:top="1440" w:right="1803" w:bottom="1440" w:left="1803" w:header="0" w:footer="986" w:gutter="0"/>
          <w:pgBorders>
            <w:top w:val="none" w:sz="0" w:space="0"/>
            <w:left w:val="none" w:sz="0" w:space="0"/>
            <w:bottom w:val="none" w:sz="0" w:space="0"/>
            <w:right w:val="none" w:sz="0" w:space="0"/>
          </w:pgBorders>
          <w:pgNumType w:fmt="decimal"/>
          <w:cols w:space="0" w:num="1"/>
        </w:sectPr>
      </w:pPr>
      <w:r>
        <w:rPr>
          <w:rFonts w:hint="eastAsia"/>
          <w:lang w:val="en-US" w:eastAsia="zh-CN"/>
        </w:rPr>
        <w:t>完善东西片区、城东高效节水农业示范区、机电、汽车、装饰市场、移民风情园、葡萄主题文化城、铁路物流中心等排水管道、泵站。规划完成112.0km排水管网。</w:t>
      </w:r>
    </w:p>
    <w:p w14:paraId="329C87E7">
      <w:pPr>
        <w:keepNext w:val="0"/>
        <w:keepLines w:val="0"/>
        <w:pageBreakBefore w:val="0"/>
        <w:widowControl w:val="0"/>
        <w:kinsoku/>
        <w:wordWrap/>
        <w:overflowPunct w:val="0"/>
        <w:topLinePunct w:val="0"/>
        <w:autoSpaceDE w:val="0"/>
        <w:autoSpaceDN w:val="0"/>
        <w:bidi w:val="0"/>
        <w:adjustRightInd w:val="0"/>
        <w:snapToGrid w:val="0"/>
        <w:jc w:val="center"/>
        <w:rPr>
          <w:rFonts w:hint="eastAsia"/>
          <w:lang w:eastAsia="zh-CN"/>
        </w:rPr>
      </w:pPr>
      <w:bookmarkStart w:id="128" w:name="_Toc30679"/>
      <w:bookmarkStart w:id="129" w:name="_Toc25113"/>
      <w:bookmarkStart w:id="130" w:name="_Toc24284"/>
      <w:bookmarkStart w:id="131" w:name="_Toc30877"/>
      <w:bookmarkStart w:id="132" w:name="_Toc12592"/>
      <w:bookmarkStart w:id="133" w:name="_Toc781"/>
      <w:bookmarkStart w:id="134" w:name="_Toc29776"/>
      <w:r>
        <w:rPr>
          <w:rFonts w:hint="eastAsia" w:ascii="黑体" w:hAnsi="黑体" w:eastAsia="黑体" w:cs="黑体"/>
          <w:sz w:val="28"/>
          <w:szCs w:val="28"/>
          <w:lang w:val="en-US" w:eastAsia="zh-CN"/>
        </w:rPr>
        <w:t>专栏2 防洪减灾能力提升建设任务</w:t>
      </w:r>
      <w:bookmarkEnd w:id="128"/>
      <w:bookmarkEnd w:id="129"/>
      <w:bookmarkEnd w:id="130"/>
      <w:bookmarkEnd w:id="131"/>
      <w:bookmarkEnd w:id="132"/>
      <w:bookmarkEnd w:id="133"/>
      <w:bookmarkEnd w:id="134"/>
    </w:p>
    <w:tbl>
      <w:tblPr>
        <w:tblStyle w:val="21"/>
        <w:tblW w:w="852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8"/>
      </w:tblGrid>
      <w:tr w14:paraId="7068A2F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872" w:hRule="atLeast"/>
        </w:trPr>
        <w:tc>
          <w:tcPr>
            <w:tcW w:w="8528" w:type="dxa"/>
          </w:tcPr>
          <w:p w14:paraId="7AD64E44">
            <w:pPr>
              <w:pStyle w:val="22"/>
              <w:keepNext w:val="0"/>
              <w:keepLines w:val="0"/>
              <w:pageBreakBefore w:val="0"/>
              <w:widowControl w:val="0"/>
              <w:kinsoku/>
              <w:wordWrap/>
              <w:overflowPunct w:val="0"/>
              <w:topLinePunct w:val="0"/>
              <w:autoSpaceDE w:val="0"/>
              <w:autoSpaceDN w:val="0"/>
              <w:bidi w:val="0"/>
              <w:adjustRightInd w:val="0"/>
              <w:snapToGrid w:val="0"/>
              <w:spacing w:line="360" w:lineRule="auto"/>
              <w:ind w:firstLine="615" w:firstLineChars="200"/>
              <w:jc w:val="left"/>
              <w:rPr>
                <w:rFonts w:hint="eastAsia" w:ascii="方正仿宋_GB2312" w:hAnsi="方正仿宋_GB2312" w:eastAsia="方正仿宋_GB2312" w:cs="方正仿宋_GB2312"/>
                <w:snapToGrid w:val="0"/>
                <w:color w:val="auto"/>
                <w:spacing w:val="-7"/>
                <w:sz w:val="32"/>
                <w:szCs w:val="32"/>
                <w:lang w:val="en-US" w:eastAsia="zh-CN" w:bidi="ar-SA"/>
              </w:rPr>
            </w:pPr>
            <w:r>
              <w:rPr>
                <w:rFonts w:hint="eastAsia" w:ascii="方正仿宋_GB2312" w:hAnsi="方正仿宋_GB2312" w:eastAsia="方正仿宋_GB2312" w:cs="方正仿宋_GB2312"/>
                <w:b/>
                <w:bCs/>
                <w:snapToGrid w:val="0"/>
                <w:color w:val="auto"/>
                <w:spacing w:val="-7"/>
                <w:sz w:val="32"/>
                <w:szCs w:val="32"/>
                <w:lang w:val="en-US" w:eastAsia="zh-CN" w:bidi="ar-SA"/>
              </w:rPr>
              <w:t>1.清水河、苦水河、红柳沟防洪治理工程。</w:t>
            </w:r>
            <w:r>
              <w:rPr>
                <w:rFonts w:hint="eastAsia" w:ascii="方正仿宋_GB2312" w:hAnsi="方正仿宋_GB2312" w:eastAsia="方正仿宋_GB2312" w:cs="方正仿宋_GB2312"/>
                <w:snapToGrid w:val="0"/>
                <w:color w:val="auto"/>
                <w:spacing w:val="-7"/>
                <w:sz w:val="32"/>
                <w:szCs w:val="32"/>
                <w:lang w:val="en-US" w:eastAsia="zh-CN" w:bidi="ar-SA"/>
              </w:rPr>
              <w:t>加快实施护岸、堤防加固、高边坡治理、巡护道路改造工程，提高河道防洪能力，改善河道生态环境。</w:t>
            </w:r>
          </w:p>
          <w:p w14:paraId="3F20E4AF">
            <w:pPr>
              <w:pStyle w:val="22"/>
              <w:keepNext w:val="0"/>
              <w:keepLines w:val="0"/>
              <w:pageBreakBefore w:val="0"/>
              <w:widowControl w:val="0"/>
              <w:kinsoku/>
              <w:wordWrap/>
              <w:overflowPunct w:val="0"/>
              <w:topLinePunct w:val="0"/>
              <w:autoSpaceDE w:val="0"/>
              <w:autoSpaceDN w:val="0"/>
              <w:bidi w:val="0"/>
              <w:adjustRightInd w:val="0"/>
              <w:snapToGrid w:val="0"/>
              <w:spacing w:line="360" w:lineRule="auto"/>
              <w:ind w:firstLine="615" w:firstLineChars="200"/>
              <w:jc w:val="left"/>
              <w:rPr>
                <w:rFonts w:hint="eastAsia" w:ascii="方正仿宋_GB2312" w:hAnsi="方正仿宋_GB2312" w:eastAsia="方正仿宋_GB2312" w:cs="方正仿宋_GB2312"/>
                <w:snapToGrid w:val="0"/>
                <w:color w:val="auto"/>
                <w:spacing w:val="-7"/>
                <w:sz w:val="32"/>
                <w:szCs w:val="32"/>
                <w:lang w:val="en-US" w:eastAsia="zh-CN" w:bidi="ar-SA"/>
              </w:rPr>
            </w:pPr>
            <w:r>
              <w:rPr>
                <w:rFonts w:hint="eastAsia" w:ascii="方正仿宋_GB2312" w:hAnsi="方正仿宋_GB2312" w:eastAsia="方正仿宋_GB2312" w:cs="方正仿宋_GB2312"/>
                <w:b/>
                <w:bCs/>
                <w:snapToGrid w:val="0"/>
                <w:color w:val="auto"/>
                <w:spacing w:val="-7"/>
                <w:sz w:val="32"/>
                <w:szCs w:val="32"/>
                <w:lang w:val="en-US" w:eastAsia="zh-CN" w:bidi="ar-SA"/>
              </w:rPr>
              <w:t>2.山洪灾害防治工程。</w:t>
            </w:r>
            <w:r>
              <w:rPr>
                <w:rFonts w:hint="eastAsia" w:ascii="方正仿宋_GB2312" w:hAnsi="方正仿宋_GB2312" w:eastAsia="方正仿宋_GB2312" w:cs="方正仿宋_GB2312"/>
                <w:snapToGrid w:val="0"/>
                <w:color w:val="auto"/>
                <w:spacing w:val="-7"/>
                <w:sz w:val="32"/>
                <w:szCs w:val="32"/>
                <w:lang w:val="en-US" w:eastAsia="zh-CN" w:bidi="ar-SA"/>
              </w:rPr>
              <w:t>以流域为单元，治理山洪灾害沟道</w:t>
            </w:r>
            <w:r>
              <w:rPr>
                <w:rFonts w:hint="eastAsia" w:ascii="方正仿宋_GB2312" w:hAnsi="方正仿宋_GB2312" w:cs="方正仿宋_GB2312"/>
                <w:snapToGrid w:val="0"/>
                <w:color w:val="auto"/>
                <w:spacing w:val="-7"/>
                <w:sz w:val="32"/>
                <w:szCs w:val="32"/>
                <w:lang w:val="en-US" w:eastAsia="zh-CN" w:bidi="ar-SA"/>
              </w:rPr>
              <w:t>37</w:t>
            </w:r>
            <w:r>
              <w:rPr>
                <w:rFonts w:hint="eastAsia" w:ascii="方正仿宋_GB2312" w:hAnsi="方正仿宋_GB2312" w:eastAsia="方正仿宋_GB2312" w:cs="方正仿宋_GB2312"/>
                <w:snapToGrid w:val="0"/>
                <w:color w:val="auto"/>
                <w:spacing w:val="-7"/>
                <w:sz w:val="32"/>
                <w:szCs w:val="32"/>
                <w:lang w:val="en-US" w:eastAsia="zh-CN" w:bidi="ar-SA"/>
              </w:rPr>
              <w:t>条</w:t>
            </w:r>
            <w:r>
              <w:rPr>
                <w:rFonts w:hint="eastAsia" w:ascii="方正仿宋_GB2312" w:hAnsi="方正仿宋_GB2312" w:cs="方正仿宋_GB2312"/>
                <w:snapToGrid w:val="0"/>
                <w:color w:val="auto"/>
                <w:spacing w:val="-7"/>
                <w:sz w:val="32"/>
                <w:szCs w:val="32"/>
                <w:lang w:val="en-US" w:eastAsia="zh-CN" w:bidi="ar-SA"/>
              </w:rPr>
              <w:t>。</w:t>
            </w:r>
          </w:p>
          <w:p w14:paraId="3622002A">
            <w:pPr>
              <w:pStyle w:val="22"/>
              <w:keepNext w:val="0"/>
              <w:keepLines w:val="0"/>
              <w:pageBreakBefore w:val="0"/>
              <w:widowControl w:val="0"/>
              <w:kinsoku/>
              <w:wordWrap/>
              <w:overflowPunct w:val="0"/>
              <w:topLinePunct w:val="0"/>
              <w:autoSpaceDE w:val="0"/>
              <w:autoSpaceDN w:val="0"/>
              <w:bidi w:val="0"/>
              <w:adjustRightInd w:val="0"/>
              <w:snapToGrid w:val="0"/>
              <w:spacing w:line="360" w:lineRule="auto"/>
              <w:ind w:firstLine="615" w:firstLineChars="200"/>
              <w:jc w:val="left"/>
              <w:rPr>
                <w:rFonts w:hint="eastAsia" w:ascii="方正仿宋_GB2312" w:hAnsi="方正仿宋_GB2312" w:eastAsia="方正仿宋_GB2312" w:cs="方正仿宋_GB2312"/>
                <w:snapToGrid w:val="0"/>
                <w:color w:val="auto"/>
                <w:spacing w:val="-7"/>
                <w:sz w:val="32"/>
                <w:szCs w:val="32"/>
                <w:lang w:val="en-US" w:eastAsia="zh-CN" w:bidi="ar-SA"/>
              </w:rPr>
            </w:pPr>
            <w:r>
              <w:rPr>
                <w:rFonts w:hint="eastAsia" w:ascii="方正仿宋_GB2312" w:hAnsi="方正仿宋_GB2312" w:eastAsia="方正仿宋_GB2312" w:cs="方正仿宋_GB2312"/>
                <w:b/>
                <w:bCs/>
                <w:snapToGrid w:val="0"/>
                <w:color w:val="auto"/>
                <w:spacing w:val="-7"/>
                <w:sz w:val="32"/>
                <w:szCs w:val="32"/>
                <w:lang w:val="en-US" w:eastAsia="zh-CN" w:bidi="ar-SA"/>
              </w:rPr>
              <w:t>3.导洪工程提标改造。</w:t>
            </w:r>
            <w:r>
              <w:rPr>
                <w:rFonts w:hint="default" w:ascii="方正仿宋_GB2312" w:hAnsi="方正仿宋_GB2312" w:eastAsia="方正仿宋_GB2312" w:cs="方正仿宋_GB2312"/>
                <w:snapToGrid w:val="0"/>
                <w:color w:val="auto"/>
                <w:spacing w:val="-7"/>
                <w:sz w:val="32"/>
                <w:szCs w:val="32"/>
                <w:lang w:val="en-US" w:eastAsia="zh-CN" w:bidi="ar-SA"/>
              </w:rPr>
              <w:t>对肖家窑和马渠 4 条防洪堤进行加固加高</w:t>
            </w:r>
            <w:r>
              <w:rPr>
                <w:rFonts w:hint="eastAsia" w:ascii="方正仿宋_GB2312" w:hAnsi="方正仿宋_GB2312" w:eastAsia="方正仿宋_GB2312" w:cs="方正仿宋_GB2312"/>
                <w:snapToGrid w:val="0"/>
                <w:color w:val="auto"/>
                <w:spacing w:val="-7"/>
                <w:sz w:val="32"/>
                <w:szCs w:val="32"/>
                <w:lang w:val="en-US" w:eastAsia="zh-CN" w:bidi="ar-SA"/>
              </w:rPr>
              <w:t>，导洪堤提标改造</w:t>
            </w:r>
            <w:r>
              <w:rPr>
                <w:rFonts w:hint="default" w:ascii="方正仿宋_GB2312" w:hAnsi="方正仿宋_GB2312" w:eastAsia="方正仿宋_GB2312" w:cs="方正仿宋_GB2312"/>
                <w:snapToGrid w:val="0"/>
                <w:color w:val="auto"/>
                <w:spacing w:val="-7"/>
                <w:sz w:val="32"/>
                <w:szCs w:val="32"/>
                <w:lang w:val="en-US" w:eastAsia="zh-CN" w:bidi="ar-SA"/>
              </w:rPr>
              <w:t>总长度为 12353m</w:t>
            </w:r>
            <w:r>
              <w:rPr>
                <w:rFonts w:hint="eastAsia" w:ascii="方正仿宋_GB2312" w:hAnsi="方正仿宋_GB2312" w:eastAsia="方正仿宋_GB2312" w:cs="方正仿宋_GB2312"/>
                <w:snapToGrid w:val="0"/>
                <w:color w:val="auto"/>
                <w:spacing w:val="-7"/>
                <w:sz w:val="32"/>
                <w:szCs w:val="32"/>
                <w:lang w:val="en-US" w:eastAsia="zh-CN" w:bidi="ar-SA"/>
              </w:rPr>
              <w:t>。</w:t>
            </w:r>
          </w:p>
          <w:p w14:paraId="1A2B519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360" w:lineRule="auto"/>
              <w:ind w:firstLine="615" w:firstLineChars="200"/>
              <w:rPr>
                <w:rFonts w:hint="eastAsia" w:ascii="方正仿宋_GB2312" w:hAnsi="方正仿宋_GB2312" w:eastAsia="方正仿宋_GB2312" w:cs="方正仿宋_GB2312"/>
                <w:snapToGrid w:val="0"/>
                <w:color w:val="auto"/>
                <w:sz w:val="32"/>
                <w:szCs w:val="32"/>
                <w:lang w:val="en-US" w:eastAsia="zh-CN" w:bidi="ar-SA"/>
              </w:rPr>
            </w:pPr>
            <w:r>
              <w:rPr>
                <w:rFonts w:hint="eastAsia" w:ascii="方正仿宋_GB2312" w:hAnsi="方正仿宋_GB2312" w:eastAsia="方正仿宋_GB2312" w:cs="方正仿宋_GB2312"/>
                <w:b/>
                <w:bCs/>
                <w:snapToGrid w:val="0"/>
                <w:color w:val="auto"/>
                <w:spacing w:val="-7"/>
                <w:sz w:val="32"/>
                <w:szCs w:val="32"/>
                <w:lang w:val="en-US" w:eastAsia="zh-CN" w:bidi="ar-SA"/>
              </w:rPr>
              <w:t>4.病险水库除险加固工程。</w:t>
            </w:r>
            <w:r>
              <w:rPr>
                <w:rFonts w:hint="eastAsia" w:ascii="方正仿宋_GB2312" w:hAnsi="方正仿宋_GB2312" w:eastAsia="方正仿宋_GB2312" w:cs="方正仿宋_GB2312"/>
                <w:snapToGrid w:val="0"/>
                <w:color w:val="auto"/>
                <w:spacing w:val="-7"/>
                <w:sz w:val="32"/>
                <w:szCs w:val="32"/>
                <w:lang w:val="en-US" w:eastAsia="zh-CN" w:bidi="ar-SA"/>
              </w:rPr>
              <w:t>实施蓄水池安全维护建设项目，加固维修12座蓄水池，安装监测设备72处，制作警示标识标牌48处，架设高空瞭望监测预警12处，建立和落实“三个责任人”制度，依法依规划定管理范围，确保蓄水池安全运行。</w:t>
            </w:r>
          </w:p>
          <w:p w14:paraId="343D116B">
            <w:pPr>
              <w:keepNext w:val="0"/>
              <w:keepLines w:val="0"/>
              <w:pageBreakBefore w:val="0"/>
              <w:widowControl w:val="0"/>
              <w:numPr>
                <w:ilvl w:val="0"/>
                <w:numId w:val="0"/>
              </w:numPr>
              <w:kinsoku/>
              <w:wordWrap/>
              <w:overflowPunct w:val="0"/>
              <w:topLinePunct w:val="0"/>
              <w:autoSpaceDE w:val="0"/>
              <w:autoSpaceDN w:val="0"/>
              <w:bidi w:val="0"/>
              <w:adjustRightInd w:val="0"/>
              <w:snapToGrid w:val="0"/>
              <w:rPr>
                <w:rFonts w:hint="eastAsia" w:ascii="方正仿宋_GB2312" w:hAnsi="方正仿宋_GB2312" w:eastAsia="方正仿宋_GB2312" w:cs="方正仿宋_GB2312"/>
                <w:snapToGrid w:val="0"/>
                <w:color w:val="auto"/>
                <w:sz w:val="24"/>
                <w:szCs w:val="24"/>
                <w:lang w:val="en-US" w:eastAsia="zh-CN" w:bidi="ar-SA"/>
              </w:rPr>
            </w:pPr>
          </w:p>
          <w:p w14:paraId="5510C897">
            <w:pPr>
              <w:pStyle w:val="22"/>
              <w:keepNext w:val="0"/>
              <w:keepLines w:val="0"/>
              <w:pageBreakBefore w:val="0"/>
              <w:widowControl w:val="0"/>
              <w:kinsoku/>
              <w:wordWrap/>
              <w:overflowPunct w:val="0"/>
              <w:topLinePunct w:val="0"/>
              <w:autoSpaceDE w:val="0"/>
              <w:autoSpaceDN w:val="0"/>
              <w:bidi w:val="0"/>
              <w:adjustRightInd w:val="0"/>
              <w:snapToGrid w:val="0"/>
              <w:ind w:firstLine="480" w:firstLineChars="200"/>
              <w:jc w:val="left"/>
              <w:rPr>
                <w:rFonts w:hint="eastAsia" w:ascii="方正仿宋_GB2312" w:hAnsi="方正仿宋_GB2312" w:eastAsia="方正仿宋_GB2312" w:cs="方正仿宋_GB2312"/>
                <w:color w:val="auto"/>
                <w:lang w:eastAsia="zh-CN"/>
              </w:rPr>
            </w:pPr>
          </w:p>
        </w:tc>
      </w:tr>
    </w:tbl>
    <w:p w14:paraId="43BB3BDC">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8A919DD">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4B532652">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6C26B0E">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5C6EE77">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50559DC9">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1177AC0A">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0C14C669">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31D5F44F">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0502F52">
      <w:pPr>
        <w:pStyle w:val="2"/>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0" w:firstLineChars="0"/>
        <w:rPr>
          <w:rFonts w:hint="eastAsia" w:ascii="黑体" w:hAnsi="黑体" w:cs="黑体"/>
          <w:color w:val="auto"/>
          <w:lang w:val="en-US" w:eastAsia="zh-CN"/>
        </w:rPr>
      </w:pPr>
      <w:bookmarkStart w:id="135" w:name="_Toc2712"/>
      <w:bookmarkStart w:id="136" w:name="_Toc10466"/>
      <w:bookmarkStart w:id="137" w:name="_Toc19375"/>
      <w:bookmarkStart w:id="138" w:name="_Toc20737"/>
      <w:bookmarkStart w:id="139" w:name="_Toc10877"/>
      <w:r>
        <w:rPr>
          <w:rFonts w:hint="eastAsia" w:ascii="黑体" w:hAnsi="黑体" w:eastAsia="黑体" w:cs="黑体"/>
          <w:b/>
          <w:snapToGrid w:val="0"/>
          <w:color w:val="auto"/>
          <w:kern w:val="44"/>
          <w:sz w:val="36"/>
          <w:szCs w:val="21"/>
          <w:lang w:val="en-US" w:eastAsia="zh-CN" w:bidi="ar-SA"/>
        </w:rPr>
        <w:t>第</w:t>
      </w:r>
      <w:r>
        <w:rPr>
          <w:rFonts w:hint="eastAsia" w:ascii="黑体" w:hAnsi="黑体" w:cs="黑体"/>
          <w:b/>
          <w:snapToGrid w:val="0"/>
          <w:color w:val="auto"/>
          <w:kern w:val="44"/>
          <w:sz w:val="36"/>
          <w:szCs w:val="21"/>
          <w:lang w:val="en-US" w:eastAsia="zh-CN" w:bidi="ar-SA"/>
        </w:rPr>
        <w:t>五</w:t>
      </w:r>
      <w:r>
        <w:rPr>
          <w:rFonts w:hint="eastAsia" w:ascii="黑体" w:hAnsi="黑体" w:eastAsia="黑体" w:cs="黑体"/>
          <w:b/>
          <w:snapToGrid w:val="0"/>
          <w:color w:val="auto"/>
          <w:kern w:val="44"/>
          <w:sz w:val="36"/>
          <w:szCs w:val="21"/>
          <w:lang w:val="en-US" w:eastAsia="zh-CN" w:bidi="ar-SA"/>
        </w:rPr>
        <w:t>章</w:t>
      </w:r>
      <w:r>
        <w:rPr>
          <w:rFonts w:hint="eastAsia" w:ascii="黑体" w:hAnsi="黑体" w:cs="黑体"/>
          <w:color w:val="auto"/>
          <w:lang w:val="en-US" w:eastAsia="zh-CN"/>
        </w:rPr>
        <w:t xml:space="preserve"> </w:t>
      </w:r>
      <w:bookmarkEnd w:id="135"/>
      <w:bookmarkEnd w:id="136"/>
      <w:bookmarkEnd w:id="137"/>
      <w:bookmarkEnd w:id="138"/>
      <w:r>
        <w:rPr>
          <w:rFonts w:hint="eastAsia" w:ascii="黑体" w:hAnsi="黑体" w:cs="黑体"/>
          <w:color w:val="auto"/>
          <w:lang w:val="en-US" w:eastAsia="zh-CN"/>
        </w:rPr>
        <w:t>构建城乡供水网</w:t>
      </w:r>
      <w:bookmarkEnd w:id="139"/>
    </w:p>
    <w:p w14:paraId="054BB9A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rPr>
      </w:pPr>
      <w:r>
        <w:rPr>
          <w:rFonts w:hint="eastAsia"/>
          <w:color w:val="auto"/>
        </w:rPr>
        <w:t>以深度节水控水为前提，严格落实“四水四定”，促进供用水结 构“双调整”，全面提升水资源节约集约利用水平；坚持“大水源、广覆盖、通毛细”，着力构建现代化供水工程体系。全面提升水资源调配能力、供水保障能力、风险防控能力，全方位、高质量保证供水安全、粮食安全。</w:t>
      </w:r>
    </w:p>
    <w:p w14:paraId="6DCC3039">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eastAsia"/>
          <w:color w:val="auto"/>
        </w:rPr>
      </w:pPr>
      <w:bookmarkStart w:id="140" w:name="_Toc29145"/>
      <w:bookmarkStart w:id="141" w:name="_Toc183958997"/>
      <w:r>
        <w:rPr>
          <w:rFonts w:hint="eastAsia"/>
          <w:color w:val="auto"/>
        </w:rPr>
        <w:t>第一节</w:t>
      </w:r>
      <w:r>
        <w:rPr>
          <w:rFonts w:hint="eastAsia"/>
          <w:color w:val="auto"/>
          <w:lang w:val="en-US" w:eastAsia="zh-CN"/>
        </w:rPr>
        <w:t xml:space="preserve"> </w:t>
      </w:r>
      <w:r>
        <w:rPr>
          <w:rFonts w:hint="eastAsia"/>
          <w:color w:val="auto"/>
        </w:rPr>
        <w:t xml:space="preserve"> 建设思路</w:t>
      </w:r>
      <w:bookmarkEnd w:id="140"/>
      <w:bookmarkEnd w:id="141"/>
    </w:p>
    <w:p w14:paraId="49EAFFF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rPr>
      </w:pPr>
      <w:r>
        <w:rPr>
          <w:rFonts w:hint="eastAsia"/>
          <w:color w:val="auto"/>
        </w:rPr>
        <w:t>立足于</w:t>
      </w:r>
      <w:r>
        <w:rPr>
          <w:rFonts w:hint="eastAsia"/>
          <w:color w:val="auto"/>
          <w:lang w:val="en-US" w:eastAsia="zh-CN"/>
        </w:rPr>
        <w:t>红寺堡区</w:t>
      </w:r>
      <w:r>
        <w:rPr>
          <w:rFonts w:hint="eastAsia"/>
          <w:color w:val="auto"/>
        </w:rPr>
        <w:t>水资源禀赋条件和现有供水工程基础布局，既 要把水资源作为最大的刚性约束，又要充分考虑</w:t>
      </w:r>
      <w:r>
        <w:rPr>
          <w:rFonts w:hint="eastAsia"/>
          <w:color w:val="auto"/>
          <w:lang w:val="en-US" w:eastAsia="zh-CN"/>
        </w:rPr>
        <w:t>红寺堡区</w:t>
      </w:r>
      <w:r>
        <w:rPr>
          <w:rFonts w:hint="eastAsia"/>
          <w:color w:val="auto"/>
        </w:rPr>
        <w:t>在建设黄河流域生态保护和高质量发展先行区发展战略对水资源的需求，优化水源与用水户的供给关系，实现全市供水效益最大化。</w:t>
      </w:r>
    </w:p>
    <w:p w14:paraId="4200E1C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spacing w:val="-6"/>
          <w:sz w:val="30"/>
        </w:rPr>
      </w:pPr>
      <w:r>
        <w:rPr>
          <w:rFonts w:hint="eastAsia"/>
          <w:color w:val="auto"/>
        </w:rPr>
        <w:t>在需求侧，严格落实“四水四定”合理控制用水增量。坚持 “先节水、再增水”的基本思路，加强“以水定绿 ”，考虑</w:t>
      </w:r>
      <w:r>
        <w:rPr>
          <w:rFonts w:hint="eastAsia"/>
          <w:color w:val="auto"/>
          <w:spacing w:val="-6"/>
          <w:sz w:val="30"/>
        </w:rPr>
        <w:t>经济社会高质量发展的合理、刚性用水需求，在强化节水措施落实的情况下，主动调整各行业的用水结构，合理控制规划年的用水增量，使得水资源与经济社会发展各要素之间更加匹配。</w:t>
      </w:r>
    </w:p>
    <w:p w14:paraId="08A6D3C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rPr>
      </w:pPr>
      <w:r>
        <w:rPr>
          <w:rFonts w:hint="eastAsia"/>
          <w:color w:val="auto"/>
        </w:rPr>
        <w:t>在供给侧，坚持“先挖潜再新建、构骨干连网络”提升供给保障。现有工程挖潜增效增供的基础上，按照“确有需要、合理可行”的原则，考虑存量与增量供水工程，系统谋划新建“强基础、增功能、利长远”的区域内配套工程，“因地制宜、宜连则连”统筹协调大中小微水源工程联合供水，按照“优水优用、高水高用、统筹使用”的原则，持续优化水源工程与用水户之间的供应链通道，逐步构建“用水高效、配置科学、工程完备、调度灵活”的水资源节约集约利用体系。</w:t>
      </w:r>
    </w:p>
    <w:p w14:paraId="2FE5452D">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color w:val="auto"/>
          <w:lang w:val="en-US" w:eastAsia="zh-CN"/>
        </w:rPr>
      </w:pPr>
      <w:bookmarkStart w:id="142" w:name="_Toc13197"/>
      <w:bookmarkStart w:id="143" w:name="_Toc14955"/>
      <w:bookmarkStart w:id="144" w:name="_Toc26242"/>
      <w:bookmarkStart w:id="145" w:name="_Toc3608"/>
      <w:r>
        <w:rPr>
          <w:rFonts w:hint="eastAsia"/>
          <w:color w:val="auto"/>
          <w:lang w:eastAsia="zh-CN"/>
        </w:rPr>
        <w:t>第</w:t>
      </w:r>
      <w:r>
        <w:rPr>
          <w:rFonts w:hint="eastAsia"/>
          <w:color w:val="auto"/>
          <w:lang w:val="en-US" w:eastAsia="zh-CN"/>
        </w:rPr>
        <w:t>二</w:t>
      </w:r>
      <w:r>
        <w:rPr>
          <w:rFonts w:hint="eastAsia"/>
          <w:color w:val="auto"/>
          <w:lang w:eastAsia="zh-CN"/>
        </w:rPr>
        <w:t>节</w:t>
      </w:r>
      <w:bookmarkEnd w:id="142"/>
      <w:bookmarkEnd w:id="143"/>
      <w:bookmarkEnd w:id="144"/>
      <w:r>
        <w:rPr>
          <w:rFonts w:hint="eastAsia"/>
          <w:color w:val="auto"/>
          <w:lang w:val="en-US" w:eastAsia="zh-CN"/>
        </w:rPr>
        <w:t xml:space="preserve">  加强城镇供水体系建设</w:t>
      </w:r>
      <w:bookmarkEnd w:id="145"/>
    </w:p>
    <w:p w14:paraId="69A6148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优先推进城乡供水一体化、集中供水规模化建设，因地制宜实施小型供水工程规范化建设和改造，积极推进县域统管和工程专业化管护全覆盖。按照“建设管理一体化、工程运行专业化、供水服务智慧化”的原则，以“互联网+”为手段，采用新建、改造、连通、整合、消缺、提标、示范推进等方式，推进大水源、大水厂、大水网建设，连通升级三张网（覆盖城乡的工程网〔水网工程〕、信息网〔信息工程〕和服务网〔服务能力〕，以下简称：工程网、信息网、服务网）、配套升级四个体系（现代城乡供水组织、制度、标准、安全体系），构建全区城乡供水一体化新格局，实现城乡供水同源、同网、同质、同价、同服务。</w:t>
      </w:r>
    </w:p>
    <w:p w14:paraId="4434BE4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b/>
          <w:bCs/>
          <w:color w:val="auto"/>
          <w:lang w:eastAsia="zh-CN"/>
        </w:rPr>
      </w:pPr>
      <w:bookmarkStart w:id="146" w:name="_Toc30336"/>
      <w:bookmarkStart w:id="147" w:name="_Toc18414"/>
      <w:bookmarkStart w:id="148" w:name="_Toc31325"/>
      <w:r>
        <w:rPr>
          <w:rFonts w:hint="eastAsia" w:ascii="方正仿宋_GB2312" w:hAnsi="方正仿宋_GB2312" w:eastAsia="方正仿宋_GB2312" w:cs="方正仿宋_GB2312"/>
          <w:b/>
          <w:bCs/>
          <w:color w:val="auto"/>
          <w:lang w:val="en-US" w:eastAsia="zh-CN"/>
        </w:rPr>
        <w:t>（一）</w:t>
      </w:r>
      <w:r>
        <w:rPr>
          <w:rFonts w:hint="eastAsia" w:ascii="方正仿宋_GB2312" w:hAnsi="方正仿宋_GB2312" w:eastAsia="方正仿宋_GB2312" w:cs="方正仿宋_GB2312"/>
          <w:b/>
          <w:bCs/>
          <w:color w:val="auto"/>
          <w:lang w:eastAsia="zh-CN"/>
        </w:rPr>
        <w:t>工程网</w:t>
      </w:r>
      <w:bookmarkEnd w:id="146"/>
      <w:bookmarkEnd w:id="147"/>
      <w:bookmarkEnd w:id="148"/>
    </w:p>
    <w:p w14:paraId="7E8D8FA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val="en-US" w:eastAsia="zh-CN"/>
        </w:rPr>
      </w:pPr>
      <w:r>
        <w:rPr>
          <w:rFonts w:hint="eastAsia"/>
          <w:color w:val="auto"/>
          <w:lang w:val="en-US" w:eastAsia="zh-CN"/>
        </w:rPr>
        <w:t>针对现状供水体系运行过程中存在的问题，不断完善供水工程体系，提高供水保证率及供水质量。规划工程网建设项目有以下几项：</w:t>
      </w:r>
    </w:p>
    <w:p w14:paraId="390B3AD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红寺堡区数字化城乡供水安全基础设施工程：对现有的29处城市供水管网、5条农村支干供水管网及44处村内供水管网等基础设施进行提升改造，并且对主要管理环节配置自动化监控和入户端智能水表，为实现红寺堡区数字化城乡供水创造条件。</w:t>
      </w:r>
    </w:p>
    <w:p w14:paraId="73D6298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红寺堡区新庄集乡人饮巩固提升工程：对</w:t>
      </w:r>
      <w:r>
        <w:rPr>
          <w:rFonts w:hint="eastAsia"/>
          <w:color w:val="auto"/>
          <w:lang w:val="en-US" w:eastAsia="zh-CN"/>
        </w:rPr>
        <w:t>乡镇</w:t>
      </w:r>
      <w:r>
        <w:rPr>
          <w:rFonts w:hint="eastAsia"/>
          <w:color w:val="auto"/>
          <w:lang w:eastAsia="zh-CN"/>
        </w:rPr>
        <w:t>村落农户人饮管道及配套建筑进行提升改造，铺设人饮管道17公里，配套附属建筑物。</w:t>
      </w:r>
    </w:p>
    <w:p w14:paraId="4E71662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红寺堡区太阳山镇人饮巩固提升工程：对乡镇村落农户人饮管道及配套建筑进行提升改造，铺设人饮管道27.4公里，配套附属建筑物219座。</w:t>
      </w:r>
    </w:p>
    <w:p w14:paraId="519AD2C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红寺堡区柳泉乡人饮巩固提升工程：对乡镇村落农户人饮管道及配套建筑进行提升改造，铺设人饮管道</w:t>
      </w:r>
      <w:r>
        <w:rPr>
          <w:rFonts w:hint="eastAsia" w:ascii="方正仿宋_GB2312" w:hAnsi="方正仿宋_GB2312" w:eastAsia="方正仿宋_GB2312" w:cs="方正仿宋_GB2312"/>
          <w:color w:val="auto"/>
          <w:lang w:val="en-US" w:eastAsia="zh-CN"/>
        </w:rPr>
        <w:t>18.6</w:t>
      </w:r>
      <w:r>
        <w:rPr>
          <w:rFonts w:hint="eastAsia"/>
          <w:color w:val="auto"/>
          <w:lang w:eastAsia="zh-CN"/>
        </w:rPr>
        <w:t>公里，配套附属建筑物。</w:t>
      </w:r>
    </w:p>
    <w:p w14:paraId="472D745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红寺堡区大河乡人饮巩固提升工程：对乡镇村落农户人饮管道及配套建筑进行提升改造，铺设人饮管道</w:t>
      </w:r>
      <w:r>
        <w:rPr>
          <w:rFonts w:hint="eastAsia"/>
          <w:color w:val="auto"/>
          <w:lang w:val="en-US" w:eastAsia="zh-CN"/>
        </w:rPr>
        <w:t>20.7</w:t>
      </w:r>
      <w:r>
        <w:rPr>
          <w:rFonts w:hint="eastAsia"/>
          <w:color w:val="auto"/>
          <w:lang w:eastAsia="zh-CN"/>
        </w:rPr>
        <w:t>公里，配套附属建筑物。</w:t>
      </w:r>
    </w:p>
    <w:p w14:paraId="59D7534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鲁家窑水库的扩容改造工程：对库区进行开挖，并增加左右岸副坝。</w:t>
      </w:r>
    </w:p>
    <w:p w14:paraId="210732D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水厂水质检测中心提标改造工程：</w:t>
      </w:r>
      <w:r>
        <w:rPr>
          <w:rFonts w:hint="eastAsia"/>
          <w:color w:val="auto"/>
          <w:lang w:val="en-US" w:eastAsia="zh-CN"/>
        </w:rPr>
        <w:t>近期对</w:t>
      </w:r>
      <w:r>
        <w:rPr>
          <w:rFonts w:hint="eastAsia"/>
          <w:color w:val="auto"/>
          <w:lang w:eastAsia="zh-CN"/>
        </w:rPr>
        <w:t>鲁家窑水厂及红寺堡第二水厂</w:t>
      </w:r>
      <w:r>
        <w:rPr>
          <w:rFonts w:hint="eastAsia"/>
          <w:color w:val="auto"/>
          <w:lang w:val="en-US" w:eastAsia="zh-CN"/>
        </w:rPr>
        <w:t>配套水质检测中心</w:t>
      </w:r>
      <w:r>
        <w:rPr>
          <w:rFonts w:hint="eastAsia"/>
          <w:color w:val="auto"/>
          <w:lang w:eastAsia="zh-CN"/>
        </w:rPr>
        <w:t>，</w:t>
      </w:r>
      <w:r>
        <w:rPr>
          <w:rFonts w:hint="eastAsia"/>
          <w:color w:val="auto"/>
          <w:lang w:val="en-US" w:eastAsia="zh-CN"/>
        </w:rPr>
        <w:t>对红寺堡区其他</w:t>
      </w:r>
      <w:r>
        <w:rPr>
          <w:rFonts w:hint="eastAsia"/>
          <w:color w:val="auto"/>
          <w:lang w:eastAsia="zh-CN"/>
        </w:rPr>
        <w:t xml:space="preserve"> 6 座农村水厂</w:t>
      </w:r>
      <w:r>
        <w:rPr>
          <w:rFonts w:hint="eastAsia"/>
          <w:color w:val="auto"/>
          <w:lang w:val="en-US" w:eastAsia="zh-CN"/>
        </w:rPr>
        <w:t>逐步配套水质检测中心</w:t>
      </w:r>
      <w:r>
        <w:rPr>
          <w:rFonts w:hint="eastAsia"/>
          <w:color w:val="auto"/>
          <w:lang w:eastAsia="zh-CN"/>
        </w:rPr>
        <w:t>。</w:t>
      </w:r>
    </w:p>
    <w:p w14:paraId="550897C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红寺堡灌域调蓄水池连通工程。</w:t>
      </w:r>
    </w:p>
    <w:p w14:paraId="2F1AE0C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b/>
          <w:bCs/>
          <w:color w:val="auto"/>
          <w:lang w:val="en-US" w:eastAsia="zh-CN"/>
        </w:rPr>
      </w:pPr>
      <w:bookmarkStart w:id="149" w:name="_Toc19094"/>
      <w:bookmarkStart w:id="150" w:name="_Toc8499"/>
      <w:bookmarkStart w:id="151" w:name="_Toc8834"/>
      <w:r>
        <w:rPr>
          <w:rFonts w:hint="eastAsia" w:ascii="方正仿宋_GB2312" w:hAnsi="方正仿宋_GB2312" w:eastAsia="方正仿宋_GB2312" w:cs="方正仿宋_GB2312"/>
          <w:b/>
          <w:bCs/>
          <w:color w:val="auto"/>
          <w:lang w:val="en-US" w:eastAsia="zh-CN"/>
        </w:rPr>
        <w:t>（二）信息网</w:t>
      </w:r>
      <w:bookmarkEnd w:id="149"/>
      <w:bookmarkEnd w:id="150"/>
      <w:bookmarkEnd w:id="151"/>
    </w:p>
    <w:p w14:paraId="2A27B5C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bookmarkStart w:id="152" w:name="_Toc31787"/>
      <w:bookmarkStart w:id="153" w:name="_Toc22531"/>
      <w:bookmarkStart w:id="154" w:name="_Toc30672"/>
      <w:r>
        <w:rPr>
          <w:rFonts w:hint="eastAsia"/>
          <w:color w:val="auto"/>
          <w:lang w:eastAsia="zh-CN"/>
        </w:rPr>
        <w:t>遵循宁夏农村供水“十四五”，提升红寺堡区城乡供水保障能力，优先在红寺堡区实现从水源地、输水管网、泵站、各级水池到用户用水全程的自动化监测、控制、计量、缴费，达到城乡饮水同源、同质、同网，有效提升红寺堡区农村饮水的集中供水率、自来水普及率、水质达标率、供水保证率和管理水平。</w:t>
      </w:r>
    </w:p>
    <w:p w14:paraId="658F31B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1）对供水水泵、蓄水池数据采集与监控的自动化改造，实现对农村饮水工程泵站运行的自动化监控，对蓄水（减压）池与水泵控制联动。通过自动化手段减少管理人员，并实现工程的精细化管理，提高供水保障率，降低供水成本。</w:t>
      </w:r>
    </w:p>
    <w:p w14:paraId="3EAA9B3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2）管网的数据采集与监控的自动化改造，建立管网的监测系统，实现对供水管网关键节点的全覆盖监控，能够通过自动化手段，及时准确发现供水管网风险点，提高管理效率和供水保障率。通过更换安装智能水表，实现对用户用水量的远程用水计量与收费。</w:t>
      </w:r>
    </w:p>
    <w:p w14:paraId="65C1C62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）实现供水信息报送、查询、分析、汇总和供水管理信息化。全面推进红寺堡区水务局以及下属供水管理站的信息化管理水平，提高工作效能和管理效率。</w:t>
      </w:r>
    </w:p>
    <w:p w14:paraId="16D91F6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）紧密结合用户管理需求。通过“一人一页”，为供水管理多层级用户和社会公众提供个性化门户，满足个性化需求；协同解决好城乡供水管理问题，通过“一工程一档案”，实现工程全生命周期管理。</w:t>
      </w:r>
    </w:p>
    <w:p w14:paraId="58F1DA3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b/>
          <w:bCs/>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）实行统一建设分级应用。充分</w:t>
      </w:r>
      <w:r>
        <w:rPr>
          <w:rFonts w:hint="eastAsia"/>
          <w:color w:val="auto"/>
          <w:lang w:val="en-US" w:eastAsia="zh-CN"/>
        </w:rPr>
        <w:t>发挥</w:t>
      </w:r>
      <w:r>
        <w:rPr>
          <w:rFonts w:hint="eastAsia"/>
          <w:color w:val="auto"/>
          <w:lang w:eastAsia="zh-CN"/>
        </w:rPr>
        <w:t>自治区“智慧宁夏”建成的“一网一库一平台”信息化公共基础设施和相关行业的信息资源，在水利数据中心、电子政务外网、统一应用平台为主的应用环境上统一建设，提供服务于多层级、多部门用户的联动协作平台。</w:t>
      </w:r>
    </w:p>
    <w:p w14:paraId="479FFCC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方正仿宋_GB2312" w:hAnsi="方正仿宋_GB2312" w:eastAsia="方正仿宋_GB2312" w:cs="方正仿宋_GB2312"/>
          <w:b/>
          <w:bCs/>
          <w:color w:val="auto"/>
          <w:lang w:val="en-US" w:eastAsia="zh-CN"/>
        </w:rPr>
      </w:pPr>
      <w:r>
        <w:rPr>
          <w:rFonts w:hint="eastAsia" w:ascii="方正仿宋_GB2312" w:hAnsi="方正仿宋_GB2312" w:eastAsia="方正仿宋_GB2312" w:cs="方正仿宋_GB2312"/>
          <w:b/>
          <w:bCs/>
          <w:color w:val="auto"/>
          <w:lang w:val="en-US" w:eastAsia="zh-CN"/>
        </w:rPr>
        <w:t>（三）服务网</w:t>
      </w:r>
      <w:bookmarkEnd w:id="152"/>
      <w:bookmarkEnd w:id="153"/>
      <w:bookmarkEnd w:id="154"/>
    </w:p>
    <w:p w14:paraId="455C9CF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lang w:eastAsia="zh-CN"/>
        </w:rPr>
      </w:pPr>
      <w:r>
        <w:rPr>
          <w:rFonts w:hint="eastAsia"/>
          <w:color w:val="auto"/>
          <w:lang w:eastAsia="zh-CN"/>
        </w:rPr>
        <w:t>为加快消除城乡“二元”结构，补齐农村供水基础设施短板，梳理红寺堡区已搭建的城乡供水服务体系，以工程网和信息网为基础，在全面实现数字化城乡供水的格局下，通过“线上”+“线下”方式，科学布局一体化网上营业厅、应急中心 以及便民服务端建设，实现供水信息公开透明，供水业务在线办理，供水服务方便快捷，实现农村供水与城市供水“同源、同网、同质、同价、同服务”，推动城乡群众对供水基本需求均等享有，提高群众满意度。</w:t>
      </w:r>
    </w:p>
    <w:p w14:paraId="3B625AE3">
      <w:pPr>
        <w:pStyle w:val="3"/>
        <w:keepNext w:val="0"/>
        <w:keepLines w:val="0"/>
        <w:pageBreakBefore w:val="0"/>
        <w:widowControl w:val="0"/>
        <w:numPr>
          <w:ilvl w:val="0"/>
          <w:numId w:val="0"/>
        </w:numPr>
        <w:kinsoku/>
        <w:wordWrap/>
        <w:overflowPunct w:val="0"/>
        <w:topLinePunct w:val="0"/>
        <w:autoSpaceDE w:val="0"/>
        <w:autoSpaceDN w:val="0"/>
        <w:bidi w:val="0"/>
        <w:adjustRightInd w:val="0"/>
        <w:snapToGrid w:val="0"/>
        <w:jc w:val="center"/>
        <w:textAlignment w:val="baseline"/>
        <w:rPr>
          <w:rFonts w:hint="eastAsia"/>
          <w:color w:val="auto"/>
          <w:lang w:eastAsia="zh-CN"/>
        </w:rPr>
      </w:pPr>
      <w:bookmarkStart w:id="155" w:name="_Toc10840"/>
      <w:r>
        <w:rPr>
          <w:rFonts w:hint="eastAsia"/>
          <w:color w:val="auto"/>
          <w:lang w:eastAsia="zh-CN"/>
        </w:rPr>
        <w:t>第</w:t>
      </w:r>
      <w:r>
        <w:rPr>
          <w:rFonts w:hint="eastAsia"/>
          <w:color w:val="auto"/>
          <w:lang w:val="en-US" w:eastAsia="zh-CN"/>
        </w:rPr>
        <w:t>三</w:t>
      </w:r>
      <w:r>
        <w:rPr>
          <w:rFonts w:hint="eastAsia"/>
          <w:color w:val="auto"/>
          <w:lang w:eastAsia="zh-CN"/>
        </w:rPr>
        <w:t>节</w:t>
      </w:r>
      <w:r>
        <w:rPr>
          <w:rFonts w:hint="eastAsia"/>
          <w:color w:val="auto"/>
          <w:lang w:val="en-US" w:eastAsia="zh-CN"/>
        </w:rPr>
        <w:t xml:space="preserve">  </w:t>
      </w:r>
      <w:r>
        <w:rPr>
          <w:rFonts w:hint="eastAsia"/>
          <w:color w:val="auto"/>
          <w:lang w:eastAsia="zh-CN"/>
        </w:rPr>
        <w:t>提高再生水利用率</w:t>
      </w:r>
      <w:bookmarkEnd w:id="155"/>
    </w:p>
    <w:p w14:paraId="2914650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rPr>
      </w:pPr>
      <w:r>
        <w:rPr>
          <w:rFonts w:hint="eastAsia"/>
          <w:color w:val="auto"/>
          <w:lang w:val="en-US" w:eastAsia="zh-CN"/>
        </w:rPr>
        <w:t>以“节水优先、空间均衡、系统治理、两手发力”的治水思路为指导，将再生水纳入区域水资源统一配置体系。坚持“就近利用、优水优用、分质用水”原则，统筹再生水生产、调配、利用、监管全链条管理，全面提升水生态环境质量。</w:t>
      </w:r>
    </w:p>
    <w:p w14:paraId="77C4F212">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line="560" w:lineRule="exact"/>
        <w:jc w:val="both"/>
        <w:textAlignment w:val="baseline"/>
        <w:rPr>
          <w:rFonts w:hint="eastAsia" w:ascii="仿宋_GB2312" w:hAnsi="仿宋_GB2312" w:eastAsia="仿宋_GB2312" w:cs="仿宋_GB2312"/>
          <w:b w:val="0"/>
          <w:bCs/>
          <w:color w:val="auto"/>
          <w:sz w:val="32"/>
          <w:szCs w:val="32"/>
          <w:lang w:eastAsia="zh-CN"/>
        </w:rPr>
      </w:pPr>
      <w:r>
        <w:rPr>
          <w:rFonts w:hint="eastAsia" w:ascii="仿宋_GB2312" w:hAnsi="仿宋_GB2312" w:cs="仿宋_GB2312"/>
          <w:b w:val="0"/>
          <w:bCs/>
          <w:color w:val="auto"/>
          <w:sz w:val="32"/>
          <w:szCs w:val="32"/>
          <w:lang w:val="en-US" w:eastAsia="zh-CN"/>
        </w:rPr>
        <w:t>强化水环境系统治理。完善城区、城中村等重点区域污水收集管网，更新修复混错接、漏接、老旧破损管网，推进雨污分流改造和生活污水治理。实施污水处理差别化精准提标，提升污水资源化利用水平。规划建设居民小区雨污分流改造、污水管网新建改造及污水处理厂新建等工程，全面提升污水收集处理效能与水环境质量。</w:t>
      </w:r>
    </w:p>
    <w:p w14:paraId="7518CD6D">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line="560" w:lineRule="exact"/>
        <w:jc w:val="both"/>
        <w:textAlignment w:val="baseline"/>
        <w:rPr>
          <w:rFonts w:hint="eastAsia" w:ascii="仿宋_GB2312" w:hAnsi="仿宋_GB2312" w:eastAsia="仿宋_GB2312" w:cs="仿宋_GB2312"/>
          <w:b w:val="0"/>
          <w:bCs/>
          <w:color w:val="auto"/>
          <w:sz w:val="32"/>
          <w:szCs w:val="32"/>
        </w:rPr>
      </w:pPr>
      <w:r>
        <w:rPr>
          <w:rFonts w:hint="eastAsia" w:ascii="仿宋_GB2312" w:hAnsi="仿宋_GB2312" w:cs="仿宋_GB2312"/>
          <w:b w:val="0"/>
          <w:bCs/>
          <w:color w:val="auto"/>
          <w:sz w:val="32"/>
          <w:szCs w:val="32"/>
          <w:lang w:val="en-US" w:eastAsia="zh-CN"/>
        </w:rPr>
        <w:t>提升</w:t>
      </w:r>
      <w:r>
        <w:rPr>
          <w:rFonts w:hint="eastAsia" w:ascii="仿宋_GB2312" w:hAnsi="仿宋_GB2312" w:eastAsia="仿宋_GB2312" w:cs="仿宋_GB2312"/>
          <w:b w:val="0"/>
          <w:bCs/>
          <w:color w:val="auto"/>
          <w:sz w:val="32"/>
          <w:szCs w:val="32"/>
          <w:lang w:eastAsia="zh-CN"/>
        </w:rPr>
        <w:t>处理效能与</w:t>
      </w:r>
      <w:r>
        <w:rPr>
          <w:rFonts w:hint="eastAsia" w:ascii="仿宋_GB2312" w:hAnsi="仿宋_GB2312" w:cs="仿宋_GB2312"/>
          <w:b w:val="0"/>
          <w:bCs/>
          <w:color w:val="auto"/>
          <w:sz w:val="32"/>
          <w:szCs w:val="32"/>
          <w:lang w:val="en-US" w:eastAsia="zh-CN"/>
        </w:rPr>
        <w:t>强化</w:t>
      </w:r>
      <w:r>
        <w:rPr>
          <w:rFonts w:hint="eastAsia" w:ascii="仿宋_GB2312" w:hAnsi="仿宋_GB2312" w:eastAsia="仿宋_GB2312" w:cs="仿宋_GB2312"/>
          <w:b w:val="0"/>
          <w:bCs/>
          <w:color w:val="auto"/>
          <w:sz w:val="32"/>
          <w:szCs w:val="32"/>
          <w:lang w:eastAsia="zh-CN"/>
        </w:rPr>
        <w:t>末端管控</w:t>
      </w:r>
      <w:r>
        <w:rPr>
          <w:rFonts w:hint="eastAsia" w:ascii="仿宋_GB2312" w:hAnsi="仿宋_GB2312" w:cs="仿宋_GB2312"/>
          <w:b w:val="0"/>
          <w:bCs/>
          <w:color w:val="auto"/>
          <w:sz w:val="32"/>
          <w:szCs w:val="32"/>
          <w:lang w:eastAsia="zh-CN"/>
        </w:rPr>
        <w:t>。</w:t>
      </w:r>
      <w:r>
        <w:rPr>
          <w:rFonts w:hint="eastAsia" w:ascii="仿宋_GB2312" w:hAnsi="仿宋_GB2312" w:cs="仿宋_GB2312"/>
          <w:b w:val="0"/>
          <w:bCs/>
          <w:color w:val="auto"/>
          <w:sz w:val="32"/>
          <w:szCs w:val="32"/>
          <w:lang w:val="en-US" w:eastAsia="zh-CN"/>
        </w:rPr>
        <w:t>推进</w:t>
      </w:r>
      <w:r>
        <w:rPr>
          <w:rFonts w:hint="eastAsia" w:ascii="仿宋_GB2312" w:hAnsi="仿宋_GB2312" w:eastAsia="仿宋_GB2312" w:cs="仿宋_GB2312"/>
          <w:b w:val="0"/>
          <w:bCs/>
          <w:color w:val="auto"/>
          <w:sz w:val="32"/>
          <w:szCs w:val="32"/>
          <w:lang w:eastAsia="zh-CN"/>
        </w:rPr>
        <w:t>污水处理厂精细化运行管理，以提标改造工程为抓手推进城镇污水厂扩容增效</w:t>
      </w:r>
      <w:r>
        <w:rPr>
          <w:rFonts w:hint="eastAsia" w:ascii="仿宋_GB2312" w:hAnsi="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lang w:eastAsia="zh-CN"/>
        </w:rPr>
        <w:t>同步构建基于物联网技术的"水质-水量"双控智慧监管平台，通过在线监测仪表实时追踪出水水质指标，动态优化药剂投加与工艺参数，推动末端监管模式由“达标排放”向“按需提质”转变。</w:t>
      </w:r>
    </w:p>
    <w:p w14:paraId="3826760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b w:val="0"/>
          <w:bCs/>
          <w:color w:val="auto"/>
          <w:sz w:val="32"/>
          <w:szCs w:val="32"/>
        </w:rPr>
      </w:pPr>
      <w:r>
        <w:rPr>
          <w:rFonts w:hint="eastAsia" w:ascii="仿宋_GB2312" w:hAnsi="仿宋_GB2312" w:cs="仿宋_GB2312"/>
          <w:b w:val="0"/>
          <w:bCs/>
          <w:color w:val="auto"/>
          <w:sz w:val="32"/>
          <w:szCs w:val="32"/>
          <w:lang w:eastAsia="zh-CN"/>
        </w:rPr>
        <w:t>（三）</w:t>
      </w:r>
      <w:r>
        <w:rPr>
          <w:rFonts w:hint="eastAsia" w:ascii="仿宋_GB2312" w:hAnsi="仿宋_GB2312" w:eastAsia="仿宋_GB2312" w:cs="仿宋_GB2312"/>
          <w:b w:val="0"/>
          <w:bCs/>
          <w:color w:val="auto"/>
          <w:sz w:val="32"/>
          <w:szCs w:val="32"/>
          <w:lang w:eastAsia="zh-CN"/>
        </w:rPr>
        <w:t>完善</w:t>
      </w:r>
      <w:r>
        <w:rPr>
          <w:rFonts w:hint="eastAsia" w:ascii="仿宋_GB2312" w:hAnsi="仿宋_GB2312" w:cs="仿宋_GB2312"/>
          <w:b w:val="0"/>
          <w:bCs/>
          <w:color w:val="auto"/>
          <w:sz w:val="32"/>
          <w:szCs w:val="32"/>
          <w:lang w:val="en-US" w:eastAsia="zh-CN"/>
        </w:rPr>
        <w:t>再生水输配网络</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敷设青云湖至紫光湖及北海子湖的再生水输送主管道，将再生水输送至两湖作为调蓄节点，再分配至各绿化浇洒用水点。同时，在原有蓄水池处新建再生水送水泵房，沿定武高速敷设再生水管道，为沿线林带绿化浇洒供水。</w:t>
      </w:r>
    </w:p>
    <w:p w14:paraId="143BDFD6">
      <w:pPr>
        <w:keepNext w:val="0"/>
        <w:keepLines w:val="0"/>
        <w:pageBreakBefore w:val="0"/>
        <w:widowControl w:val="0"/>
        <w:kinsoku/>
        <w:wordWrap/>
        <w:overflowPunct w:val="0"/>
        <w:topLinePunct w:val="0"/>
        <w:autoSpaceDE w:val="0"/>
        <w:autoSpaceDN w:val="0"/>
        <w:bidi w:val="0"/>
        <w:adjustRightInd w:val="0"/>
        <w:snapToGrid w:val="0"/>
        <w:spacing w:line="560" w:lineRule="exact"/>
        <w:jc w:val="both"/>
        <w:textAlignment w:val="baseline"/>
        <w:rPr>
          <w:rFonts w:hint="eastAsia"/>
          <w:color w:val="auto"/>
          <w:spacing w:val="-6"/>
          <w:sz w:val="30"/>
          <w:lang w:eastAsia="zh-CN"/>
        </w:rPr>
      </w:pPr>
      <w:r>
        <w:rPr>
          <w:rFonts w:hint="eastAsia"/>
          <w:color w:val="auto"/>
          <w:lang w:eastAsia="zh-CN"/>
        </w:rPr>
        <w:t>（四）</w:t>
      </w:r>
      <w:r>
        <w:rPr>
          <w:rFonts w:hint="eastAsia"/>
          <w:color w:val="auto"/>
          <w:spacing w:val="-6"/>
          <w:sz w:val="30"/>
          <w:lang w:eastAsia="zh-CN"/>
        </w:rPr>
        <w:t>健全长效管理机制。</w:t>
      </w:r>
      <w:r>
        <w:rPr>
          <w:rFonts w:hint="eastAsia"/>
          <w:color w:val="auto"/>
          <w:spacing w:val="-6"/>
          <w:sz w:val="30"/>
        </w:rPr>
        <w:t>建立健全区域再生水循环利用管理体制机制，拓宽利用渠道，强化全过程监督管理，保障用水安全。通过改善缺水地区水生态环境质量，充分发挥再生水利用的综合效益，持续增强人民群众的获得感、幸福感、安全感。</w:t>
      </w:r>
    </w:p>
    <w:p w14:paraId="5FB016F9">
      <w:pPr>
        <w:pStyle w:val="3"/>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240" w:line="413" w:lineRule="auto"/>
        <w:jc w:val="center"/>
        <w:textAlignment w:val="baseline"/>
        <w:rPr>
          <w:rFonts w:hint="eastAsia"/>
          <w:color w:val="auto"/>
          <w:lang w:eastAsia="zh-CN"/>
        </w:rPr>
      </w:pPr>
      <w:bookmarkStart w:id="156" w:name="_Toc27346"/>
      <w:bookmarkStart w:id="157" w:name="_Toc183959000"/>
      <w:r>
        <w:rPr>
          <w:rFonts w:hint="eastAsia"/>
          <w:color w:val="auto"/>
          <w:lang w:eastAsia="zh-CN"/>
        </w:rPr>
        <w:t>第</w:t>
      </w:r>
      <w:r>
        <w:rPr>
          <w:rFonts w:hint="eastAsia"/>
          <w:color w:val="auto"/>
          <w:lang w:val="en-US" w:eastAsia="zh-CN"/>
        </w:rPr>
        <w:t>四</w:t>
      </w:r>
      <w:r>
        <w:rPr>
          <w:rFonts w:hint="eastAsia"/>
          <w:color w:val="auto"/>
          <w:lang w:eastAsia="zh-CN"/>
        </w:rPr>
        <w:t>节</w:t>
      </w:r>
      <w:r>
        <w:rPr>
          <w:rFonts w:hint="eastAsia"/>
          <w:color w:val="auto"/>
          <w:lang w:val="en-US" w:eastAsia="zh-CN"/>
        </w:rPr>
        <w:t xml:space="preserve"> </w:t>
      </w:r>
      <w:r>
        <w:rPr>
          <w:rFonts w:hint="eastAsia"/>
          <w:color w:val="auto"/>
          <w:lang w:eastAsia="zh-CN"/>
        </w:rPr>
        <w:t xml:space="preserve"> </w:t>
      </w:r>
      <w:r>
        <w:rPr>
          <w:rFonts w:hint="eastAsia"/>
          <w:color w:val="auto"/>
          <w:lang w:val="en-US" w:eastAsia="zh-CN"/>
        </w:rPr>
        <w:t>推动</w:t>
      </w:r>
      <w:r>
        <w:rPr>
          <w:rFonts w:hint="eastAsia"/>
          <w:color w:val="auto"/>
          <w:lang w:eastAsia="zh-CN"/>
        </w:rPr>
        <w:t>农村供水高质量发展</w:t>
      </w:r>
      <w:bookmarkEnd w:id="156"/>
      <w:bookmarkEnd w:id="157"/>
    </w:p>
    <w:p w14:paraId="3D8A043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auto"/>
        </w:rPr>
      </w:pPr>
      <w:r>
        <w:rPr>
          <w:rFonts w:hint="eastAsia"/>
          <w:color w:val="auto"/>
        </w:rPr>
        <w:t>深入贯彻党的二十大关于到2035年基本公共服务实现均等化、农村基本具备现代生活条件的部署，以</w:t>
      </w:r>
      <w:r>
        <w:rPr>
          <w:rFonts w:hint="eastAsia"/>
          <w:color w:val="auto"/>
          <w:lang w:val="en-US" w:eastAsia="zh-CN"/>
        </w:rPr>
        <w:t>红寺堡扬水工</w:t>
      </w:r>
      <w:r>
        <w:rPr>
          <w:rFonts w:hint="eastAsia"/>
          <w:color w:val="auto"/>
        </w:rPr>
        <w:t>程、</w:t>
      </w:r>
      <w:r>
        <w:rPr>
          <w:rFonts w:hint="eastAsia"/>
          <w:color w:val="auto"/>
          <w:lang w:val="en-US" w:eastAsia="zh-CN"/>
        </w:rPr>
        <w:t>新庄集扬水</w:t>
      </w:r>
      <w:r>
        <w:rPr>
          <w:rFonts w:hint="eastAsia"/>
          <w:color w:val="auto"/>
        </w:rPr>
        <w:t>工程为水源，利用“互联网+”技术手段，按照“建大、并中、减小”的原则，采取延伸、联网、改造等措施，应用数字技术改造管道、泵站、调蓄水池和测量设施，实现配水、制水、输水布局合理、相互补充、调度自如，构建从“水源头”到“水龙头”的“大水源、大水厂、大水网”的城乡供水工程体系，打通“最后一公里”，实现城乡供水同源、同网、同质、同价、同服务。到 2035 年建成“互联网+城乡供水”示范市，</w:t>
      </w:r>
      <w:r>
        <w:rPr>
          <w:rFonts w:hint="eastAsia"/>
          <w:color w:val="auto"/>
          <w:lang w:val="en-US" w:eastAsia="zh-CN"/>
        </w:rPr>
        <w:t>红寺堡区</w:t>
      </w:r>
      <w:r>
        <w:rPr>
          <w:rFonts w:hint="eastAsia"/>
          <w:color w:val="auto"/>
        </w:rPr>
        <w:t>城乡供水一体化覆盖率达到95%。到2035年，农村供水工程体系、良性运行的管护机制进一步完善，基本实现农村供水现代化。</w:t>
      </w:r>
    </w:p>
    <w:p w14:paraId="1B1134F8">
      <w:pPr>
        <w:keepNext w:val="0"/>
        <w:keepLines w:val="0"/>
        <w:pageBreakBefore w:val="0"/>
        <w:widowControl w:val="0"/>
        <w:kinsoku/>
        <w:wordWrap/>
        <w:overflowPunct w:val="0"/>
        <w:topLinePunct w:val="0"/>
        <w:autoSpaceDE w:val="0"/>
        <w:autoSpaceDN w:val="0"/>
        <w:bidi w:val="0"/>
        <w:adjustRightInd w:val="0"/>
        <w:snapToGrid w:val="0"/>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专栏3  城乡供水网工建设任务</w:t>
      </w:r>
    </w:p>
    <w:tbl>
      <w:tblPr>
        <w:tblStyle w:val="21"/>
        <w:tblW w:w="8334" w:type="dxa"/>
        <w:tblInd w:w="1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34"/>
      </w:tblGrid>
      <w:tr w14:paraId="38DABFE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68" w:hRule="atLeast"/>
        </w:trPr>
        <w:tc>
          <w:tcPr>
            <w:tcW w:w="8334" w:type="dxa"/>
          </w:tcPr>
          <w:p w14:paraId="018E5239">
            <w:pPr>
              <w:keepNext w:val="0"/>
              <w:keepLines w:val="0"/>
              <w:pageBreakBefore w:val="0"/>
              <w:widowControl w:val="0"/>
              <w:kinsoku/>
              <w:wordWrap/>
              <w:overflowPunct w:val="0"/>
              <w:topLinePunct w:val="0"/>
              <w:autoSpaceDE w:val="0"/>
              <w:autoSpaceDN w:val="0"/>
              <w:bidi w:val="0"/>
              <w:adjustRightInd w:val="0"/>
              <w:snapToGrid w:val="0"/>
              <w:rPr>
                <w:rFonts w:hint="eastAsia" w:ascii="方正仿宋_GB2312" w:hAnsi="方正仿宋_GB2312" w:eastAsia="方正仿宋_GB2312" w:cs="方正仿宋_GB2312"/>
                <w:snapToGrid w:val="0"/>
                <w:color w:val="auto"/>
                <w:spacing w:val="-7"/>
                <w:sz w:val="24"/>
                <w:szCs w:val="24"/>
                <w:lang w:val="en-US" w:eastAsia="zh-CN" w:bidi="ar-SA"/>
              </w:rPr>
            </w:pPr>
            <w:r>
              <w:rPr>
                <w:rFonts w:hint="eastAsia" w:ascii="宋体" w:hAnsi="宋体" w:eastAsia="宋体" w:cs="宋体"/>
                <w:snapToGrid w:val="0"/>
                <w:color w:val="auto"/>
                <w:spacing w:val="-4"/>
                <w:sz w:val="22"/>
                <w:szCs w:val="22"/>
                <w:lang w:val="en-US" w:eastAsia="zh-CN" w:bidi="ar-SA"/>
              </w:rPr>
              <w:t>1</w:t>
            </w:r>
            <w:r>
              <w:rPr>
                <w:rFonts w:hint="eastAsia" w:ascii="方正仿宋_GB2312" w:hAnsi="方正仿宋_GB2312" w:eastAsia="方正仿宋_GB2312" w:cs="方正仿宋_GB2312"/>
                <w:b/>
                <w:bCs/>
                <w:snapToGrid w:val="0"/>
                <w:color w:val="auto"/>
                <w:sz w:val="24"/>
                <w:szCs w:val="24"/>
                <w:lang w:val="en-US" w:eastAsia="zh-CN" w:bidi="ar-SA"/>
              </w:rPr>
              <w:t>.加强城镇供水体系建设</w:t>
            </w:r>
            <w:r>
              <w:rPr>
                <w:rFonts w:hint="eastAsia" w:ascii="方正仿宋_GB2312" w:hAnsi="方正仿宋_GB2312" w:eastAsia="方正仿宋_GB2312" w:cs="方正仿宋_GB2312"/>
                <w:b/>
                <w:bCs/>
                <w:snapToGrid w:val="0"/>
                <w:color w:val="auto"/>
                <w:spacing w:val="-7"/>
                <w:sz w:val="24"/>
                <w:szCs w:val="24"/>
                <w:lang w:val="en-US" w:eastAsia="zh-CN" w:bidi="ar-SA"/>
              </w:rPr>
              <w:t>。</w:t>
            </w:r>
            <w:r>
              <w:rPr>
                <w:rFonts w:hint="eastAsia" w:ascii="方正仿宋_GB2312" w:hAnsi="方正仿宋_GB2312" w:eastAsia="方正仿宋_GB2312" w:cs="方正仿宋_GB2312"/>
                <w:b w:val="0"/>
                <w:bCs w:val="0"/>
                <w:snapToGrid w:val="0"/>
                <w:color w:val="auto"/>
                <w:sz w:val="24"/>
                <w:szCs w:val="24"/>
                <w:lang w:val="en-US" w:eastAsia="zh-CN" w:bidi="ar-SA"/>
              </w:rPr>
              <w:t>推进盐同红革命老区供水工程、</w:t>
            </w:r>
            <w:r>
              <w:rPr>
                <w:rFonts w:hint="eastAsia" w:ascii="方正仿宋_GB2312" w:hAnsi="方正仿宋_GB2312" w:eastAsia="方正仿宋_GB2312" w:cs="方正仿宋_GB2312"/>
                <w:snapToGrid w:val="0"/>
                <w:color w:val="auto"/>
                <w:spacing w:val="-7"/>
                <w:sz w:val="24"/>
                <w:szCs w:val="24"/>
                <w:lang w:val="en-US" w:eastAsia="zh-CN" w:bidi="ar-SA"/>
              </w:rPr>
              <w:t>红寺堡区数字化城乡供水工程</w:t>
            </w:r>
            <w:r>
              <w:rPr>
                <w:rFonts w:hint="eastAsia" w:ascii="方正仿宋_GB2312" w:hAnsi="方正仿宋_GB2312" w:eastAsia="方正仿宋_GB2312" w:cs="方正仿宋_GB2312"/>
                <w:b w:val="0"/>
                <w:bCs w:val="0"/>
                <w:snapToGrid w:val="0"/>
                <w:color w:val="auto"/>
                <w:sz w:val="24"/>
                <w:szCs w:val="24"/>
                <w:lang w:val="en-US" w:eastAsia="zh-CN" w:bidi="ar-SA"/>
              </w:rPr>
              <w:t>的建设，完善红寺堡区供水工程体系建设及提高供水保证率</w:t>
            </w:r>
            <w:r>
              <w:rPr>
                <w:rFonts w:hint="eastAsia" w:ascii="方正仿宋_GB2312" w:hAnsi="方正仿宋_GB2312" w:eastAsia="方正仿宋_GB2312" w:cs="方正仿宋_GB2312"/>
                <w:snapToGrid w:val="0"/>
                <w:color w:val="auto"/>
                <w:spacing w:val="-7"/>
                <w:sz w:val="24"/>
                <w:szCs w:val="24"/>
                <w:lang w:val="en-US" w:eastAsia="zh-CN" w:bidi="ar-SA"/>
              </w:rPr>
              <w:t>。</w:t>
            </w:r>
          </w:p>
          <w:p w14:paraId="47AC8E3D">
            <w:pPr>
              <w:keepNext w:val="0"/>
              <w:keepLines w:val="0"/>
              <w:pageBreakBefore w:val="0"/>
              <w:widowControl w:val="0"/>
              <w:numPr>
                <w:ilvl w:val="0"/>
                <w:numId w:val="0"/>
              </w:numPr>
              <w:kinsoku/>
              <w:wordWrap/>
              <w:overflowPunct w:val="0"/>
              <w:topLinePunct w:val="0"/>
              <w:autoSpaceDE w:val="0"/>
              <w:autoSpaceDN w:val="0"/>
              <w:bidi w:val="0"/>
              <w:adjustRightInd w:val="0"/>
              <w:snapToGrid w:val="0"/>
              <w:rPr>
                <w:rFonts w:hint="eastAsia" w:ascii="方正仿宋_GB2312" w:hAnsi="方正仿宋_GB2312" w:eastAsia="方正仿宋_GB2312" w:cs="方正仿宋_GB2312"/>
                <w:snapToGrid w:val="0"/>
                <w:color w:val="auto"/>
                <w:spacing w:val="-7"/>
                <w:sz w:val="24"/>
                <w:szCs w:val="24"/>
                <w:lang w:val="en-US" w:eastAsia="zh-CN" w:bidi="ar-SA"/>
              </w:rPr>
            </w:pPr>
          </w:p>
          <w:p w14:paraId="4FBC4BD6">
            <w:pPr>
              <w:pStyle w:val="22"/>
              <w:keepNext w:val="0"/>
              <w:keepLines w:val="0"/>
              <w:pageBreakBefore w:val="0"/>
              <w:widowControl w:val="0"/>
              <w:kinsoku/>
              <w:wordWrap/>
              <w:overflowPunct w:val="0"/>
              <w:topLinePunct w:val="0"/>
              <w:autoSpaceDE w:val="0"/>
              <w:autoSpaceDN w:val="0"/>
              <w:bidi w:val="0"/>
              <w:adjustRightInd w:val="0"/>
              <w:snapToGrid w:val="0"/>
              <w:spacing w:before="90" w:line="278" w:lineRule="auto"/>
              <w:ind w:left="110" w:right="101" w:firstLine="437"/>
              <w:jc w:val="left"/>
              <w:rPr>
                <w:rFonts w:hint="eastAsia" w:ascii="方正仿宋_GB2312" w:hAnsi="方正仿宋_GB2312" w:eastAsia="方正仿宋_GB2312" w:cs="方正仿宋_GB2312"/>
                <w:color w:val="auto"/>
                <w:lang w:eastAsia="zh-CN"/>
              </w:rPr>
            </w:pPr>
          </w:p>
          <w:p w14:paraId="7740D4AB">
            <w:pPr>
              <w:pStyle w:val="22"/>
              <w:keepNext w:val="0"/>
              <w:keepLines w:val="0"/>
              <w:pageBreakBefore w:val="0"/>
              <w:widowControl w:val="0"/>
              <w:kinsoku/>
              <w:wordWrap/>
              <w:overflowPunct w:val="0"/>
              <w:topLinePunct w:val="0"/>
              <w:autoSpaceDE w:val="0"/>
              <w:autoSpaceDN w:val="0"/>
              <w:bidi w:val="0"/>
              <w:adjustRightInd w:val="0"/>
              <w:snapToGrid w:val="0"/>
              <w:spacing w:before="91" w:line="274" w:lineRule="auto"/>
              <w:ind w:left="108" w:right="99" w:firstLine="444"/>
              <w:jc w:val="left"/>
              <w:rPr>
                <w:rFonts w:hint="eastAsia" w:ascii="方正仿宋_GB2312" w:hAnsi="方正仿宋_GB2312" w:eastAsia="方正仿宋_GB2312" w:cs="方正仿宋_GB2312"/>
                <w:color w:val="auto"/>
                <w:lang w:eastAsia="zh-CN"/>
              </w:rPr>
            </w:pPr>
          </w:p>
        </w:tc>
      </w:tr>
    </w:tbl>
    <w:p w14:paraId="73C6E2A4">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538F9D28">
      <w:pPr>
        <w:pStyle w:val="2"/>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0" w:firstLineChars="0"/>
        <w:rPr>
          <w:rFonts w:hint="eastAsia"/>
          <w:lang w:val="en-US" w:eastAsia="zh-CN"/>
        </w:rPr>
      </w:pPr>
      <w:bookmarkStart w:id="158" w:name="_Toc28963"/>
      <w:r>
        <w:rPr>
          <w:rFonts w:hint="eastAsia" w:ascii="Times New Roman" w:hAnsi="Times New Roman" w:eastAsia="黑体" w:cs="Arial"/>
          <w:b/>
          <w:snapToGrid w:val="0"/>
          <w:color w:val="000000"/>
          <w:kern w:val="44"/>
          <w:sz w:val="36"/>
          <w:szCs w:val="21"/>
          <w:lang w:val="en-US" w:eastAsia="zh-CN" w:bidi="ar-SA"/>
        </w:rPr>
        <w:t>第</w:t>
      </w:r>
      <w:r>
        <w:rPr>
          <w:rFonts w:hint="eastAsia" w:cs="Arial"/>
          <w:b/>
          <w:snapToGrid w:val="0"/>
          <w:color w:val="000000"/>
          <w:kern w:val="44"/>
          <w:sz w:val="36"/>
          <w:szCs w:val="21"/>
          <w:lang w:val="en-US" w:eastAsia="zh-CN" w:bidi="ar-SA"/>
        </w:rPr>
        <w:t>六</w:t>
      </w:r>
      <w:r>
        <w:rPr>
          <w:rFonts w:hint="eastAsia" w:ascii="Times New Roman" w:hAnsi="Times New Roman" w:eastAsia="黑体" w:cs="Arial"/>
          <w:b/>
          <w:snapToGrid w:val="0"/>
          <w:color w:val="000000"/>
          <w:kern w:val="44"/>
          <w:sz w:val="36"/>
          <w:szCs w:val="21"/>
          <w:lang w:val="en-US" w:eastAsia="zh-CN" w:bidi="ar-SA"/>
        </w:rPr>
        <w:t>章</w:t>
      </w:r>
      <w:r>
        <w:rPr>
          <w:rFonts w:hint="eastAsia"/>
          <w:lang w:val="en-US" w:eastAsia="zh-CN"/>
        </w:rPr>
        <w:t xml:space="preserve"> 构建灌溉排水网</w:t>
      </w:r>
      <w:bookmarkEnd w:id="158"/>
    </w:p>
    <w:p w14:paraId="61E57DCF">
      <w:pPr>
        <w:pStyle w:val="3"/>
        <w:keepNext w:val="0"/>
        <w:keepLines w:val="0"/>
        <w:pageBreakBefore w:val="0"/>
        <w:widowControl w:val="0"/>
        <w:numPr>
          <w:ilvl w:val="1"/>
          <w:numId w:val="4"/>
        </w:numPr>
        <w:kinsoku/>
        <w:wordWrap/>
        <w:overflowPunct w:val="0"/>
        <w:topLinePunct w:val="0"/>
        <w:autoSpaceDE w:val="0"/>
        <w:autoSpaceDN w:val="0"/>
        <w:bidi w:val="0"/>
        <w:adjustRightInd w:val="0"/>
        <w:snapToGrid w:val="0"/>
        <w:ind w:left="0"/>
        <w:rPr>
          <w:rFonts w:hint="eastAsia"/>
        </w:rPr>
      </w:pPr>
      <w:bookmarkStart w:id="159" w:name="_Toc12450"/>
      <w:bookmarkStart w:id="160" w:name="_Toc183424938"/>
      <w:r>
        <w:rPr>
          <w:rFonts w:hint="eastAsia"/>
          <w:lang w:val="en-US" w:eastAsia="zh-CN"/>
        </w:rPr>
        <w:t xml:space="preserve"> </w:t>
      </w:r>
      <w:r>
        <w:rPr>
          <w:rFonts w:hint="eastAsia"/>
        </w:rPr>
        <w:t>建设思路</w:t>
      </w:r>
      <w:bookmarkEnd w:id="159"/>
      <w:bookmarkEnd w:id="160"/>
    </w:p>
    <w:p w14:paraId="2725937F">
      <w:pPr>
        <w:pStyle w:val="13"/>
        <w:keepNext w:val="0"/>
        <w:keepLines w:val="0"/>
        <w:pageBreakBefore w:val="0"/>
        <w:widowControl w:val="0"/>
        <w:kinsoku/>
        <w:wordWrap/>
        <w:overflowPunct w:val="0"/>
        <w:topLinePunct w:val="0"/>
        <w:autoSpaceDE w:val="0"/>
        <w:autoSpaceDN w:val="0"/>
        <w:bidi w:val="0"/>
        <w:adjustRightInd w:val="0"/>
        <w:snapToGrid w:val="0"/>
        <w:spacing w:line="360" w:lineRule="auto"/>
        <w:ind w:firstLine="600" w:firstLineChars="200"/>
        <w:jc w:val="both"/>
        <w:textAlignment w:val="baseline"/>
        <w:rPr>
          <w:rFonts w:hint="eastAsia" w:ascii="Times New Roman" w:hAnsi="Times New Roman" w:eastAsia="仿宋_GB2312" w:cs="Arial"/>
          <w:snapToGrid w:val="0"/>
          <w:color w:val="000000"/>
          <w:kern w:val="0"/>
          <w:sz w:val="30"/>
          <w:szCs w:val="21"/>
          <w:lang w:val="en-US" w:eastAsia="zh-CN" w:bidi="ar-SA"/>
        </w:rPr>
      </w:pPr>
      <w:r>
        <w:rPr>
          <w:rFonts w:hint="eastAsia" w:ascii="Times New Roman" w:hAnsi="Times New Roman" w:eastAsia="仿宋_GB2312" w:cs="Arial"/>
          <w:snapToGrid w:val="0"/>
          <w:color w:val="000000"/>
          <w:kern w:val="0"/>
          <w:sz w:val="30"/>
          <w:szCs w:val="21"/>
          <w:lang w:val="en-US" w:eastAsia="zh-CN" w:bidi="ar-SA"/>
        </w:rPr>
        <w:t>坚持以习近平新时代中国特色社会主义思想为指导，全面贯彻落实党中央、国务院和自治区党委决策部署，按照高质量发展要求，坚持农业农村优先发展总方针，落实“以水定城、以水定地、以水定人、以水定产”，以实施乡村振兴战略为总抓手，以发展现代节水灌溉农业为基础，以土地集约化经营为导向，紧扣一二三产业融合发展，一手抓小农户对接大市场，一手抓龙头企业引领发展，做优一产、做强二产、做活三产，走出一条质量更高、效益更好、结构更优、优势充分释放的现代农业发展之路，为实现农业农村现代化和乡村全面振兴奠定坚实基础。</w:t>
      </w:r>
    </w:p>
    <w:p w14:paraId="05FBE6EE">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lang w:val="en-US" w:eastAsia="zh-CN"/>
        </w:rPr>
      </w:pPr>
      <w:bookmarkStart w:id="161" w:name="_Toc15802"/>
      <w:r>
        <w:rPr>
          <w:rFonts w:hint="eastAsia"/>
          <w:lang w:eastAsia="zh-CN"/>
        </w:rPr>
        <w:t>第</w:t>
      </w:r>
      <w:r>
        <w:rPr>
          <w:rFonts w:hint="eastAsia"/>
          <w:lang w:val="en-US" w:eastAsia="zh-CN"/>
        </w:rPr>
        <w:t>二</w:t>
      </w:r>
      <w:r>
        <w:rPr>
          <w:rFonts w:hint="eastAsia"/>
          <w:lang w:eastAsia="zh-CN"/>
        </w:rPr>
        <w:t>节</w:t>
      </w:r>
      <w:r>
        <w:rPr>
          <w:rFonts w:hint="eastAsia"/>
          <w:lang w:val="en-US" w:eastAsia="zh-CN"/>
        </w:rPr>
        <w:t xml:space="preserve">  推进灌溉水源工程建设</w:t>
      </w:r>
      <w:bookmarkEnd w:id="161"/>
    </w:p>
    <w:p w14:paraId="61821E79">
      <w:pPr>
        <w:pStyle w:val="13"/>
        <w:keepNext w:val="0"/>
        <w:keepLines w:val="0"/>
        <w:pageBreakBefore w:val="0"/>
        <w:widowControl w:val="0"/>
        <w:kinsoku/>
        <w:wordWrap/>
        <w:overflowPunct w:val="0"/>
        <w:topLinePunct w:val="0"/>
        <w:autoSpaceDE w:val="0"/>
        <w:autoSpaceDN w:val="0"/>
        <w:bidi w:val="0"/>
        <w:adjustRightInd w:val="0"/>
        <w:snapToGrid w:val="0"/>
        <w:spacing w:line="360" w:lineRule="auto"/>
        <w:ind w:firstLine="600" w:firstLineChars="200"/>
        <w:jc w:val="both"/>
        <w:textAlignment w:val="baseline"/>
        <w:rPr>
          <w:rFonts w:hint="eastAsia" w:ascii="Times New Roman" w:hAnsi="Times New Roman" w:cs="Times New Roman"/>
          <w:sz w:val="30"/>
          <w:szCs w:val="30"/>
        </w:rPr>
      </w:pPr>
      <w:r>
        <w:rPr>
          <w:rFonts w:hint="eastAsia" w:ascii="Times New Roman" w:hAnsi="Times New Roman" w:cs="Times New Roman"/>
          <w:sz w:val="30"/>
          <w:szCs w:val="30"/>
        </w:rPr>
        <w:t>根据《宁夏“十四五”用水权管控指标方案》，分配给</w:t>
      </w:r>
      <w:r>
        <w:rPr>
          <w:rFonts w:hint="eastAsia" w:ascii="Times New Roman" w:hAnsi="Times New Roman" w:cs="Times New Roman"/>
          <w:sz w:val="30"/>
          <w:szCs w:val="30"/>
          <w:lang w:val="en-US" w:eastAsia="zh-CN"/>
        </w:rPr>
        <w:t>红寺区</w:t>
      </w:r>
      <w:r>
        <w:rPr>
          <w:rFonts w:hint="eastAsia" w:ascii="Times New Roman" w:hAnsi="Times New Roman" w:cs="Times New Roman"/>
          <w:sz w:val="30"/>
          <w:szCs w:val="30"/>
        </w:rPr>
        <w:t>“十四五”取水控制指标为</w:t>
      </w:r>
      <w:r>
        <w:rPr>
          <w:rFonts w:hint="eastAsia" w:ascii="仿宋_GB2312" w:hAnsi="仿宋_GB2312" w:eastAsia="仿宋_GB2312" w:cs="仿宋_GB2312"/>
          <w:color w:val="auto"/>
          <w:lang w:eastAsia="zh-CN"/>
        </w:rPr>
        <w:t>2.515</w:t>
      </w:r>
      <w:r>
        <w:rPr>
          <w:rFonts w:hint="eastAsia" w:ascii="仿宋_GB2312" w:hAnsi="仿宋_GB2312" w:cs="仿宋_GB2312"/>
          <w:color w:val="auto"/>
          <w:lang w:val="en-US" w:eastAsia="zh-CN"/>
        </w:rPr>
        <w:t>亿</w:t>
      </w:r>
      <w:r>
        <w:rPr>
          <w:rFonts w:ascii="Times New Roman" w:hAnsi="Times New Roman" w:cs="Times New Roman"/>
          <w:sz w:val="30"/>
          <w:szCs w:val="30"/>
        </w:rPr>
        <w:t>m</w:t>
      </w:r>
      <w:r>
        <w:rPr>
          <w:rFonts w:ascii="Times New Roman" w:hAnsi="Times New Roman" w:cs="Times New Roman"/>
          <w:sz w:val="30"/>
          <w:szCs w:val="30"/>
          <w:vertAlign w:val="superscript"/>
        </w:rPr>
        <w:t>3</w:t>
      </w:r>
      <w:r>
        <w:rPr>
          <w:rFonts w:hint="eastAsia" w:ascii="Times New Roman" w:hAnsi="Times New Roman" w:cs="Times New Roman"/>
          <w:sz w:val="30"/>
          <w:szCs w:val="30"/>
        </w:rPr>
        <w:t>。</w:t>
      </w:r>
      <w:r>
        <w:rPr>
          <w:rFonts w:hint="eastAsia" w:ascii="Times New Roman" w:hAnsi="Times New Roman" w:cs="Times New Roman"/>
          <w:sz w:val="30"/>
          <w:szCs w:val="30"/>
          <w:lang w:val="en-US" w:eastAsia="zh-CN"/>
        </w:rPr>
        <w:t>近几</w:t>
      </w:r>
      <w:r>
        <w:rPr>
          <w:rFonts w:hint="eastAsia" w:ascii="Times New Roman" w:hAnsi="Times New Roman" w:cs="Times New Roman"/>
          <w:sz w:val="30"/>
          <w:szCs w:val="30"/>
        </w:rPr>
        <w:t>年</w:t>
      </w:r>
      <w:r>
        <w:rPr>
          <w:rFonts w:ascii="Times New Roman" w:hAnsi="Times New Roman" w:cs="Times New Roman"/>
          <w:sz w:val="30"/>
          <w:szCs w:val="30"/>
        </w:rPr>
        <w:t>全</w:t>
      </w:r>
      <w:r>
        <w:rPr>
          <w:rFonts w:hint="eastAsia" w:ascii="Times New Roman" w:hAnsi="Times New Roman" w:cs="Times New Roman"/>
          <w:sz w:val="30"/>
          <w:szCs w:val="30"/>
          <w:lang w:val="en-US" w:eastAsia="zh-CN"/>
        </w:rPr>
        <w:t>区</w:t>
      </w:r>
      <w:r>
        <w:rPr>
          <w:rFonts w:ascii="Times New Roman" w:hAnsi="Times New Roman" w:cs="Times New Roman"/>
          <w:sz w:val="30"/>
          <w:szCs w:val="30"/>
        </w:rPr>
        <w:t>用水量</w:t>
      </w:r>
      <w:r>
        <w:rPr>
          <w:rFonts w:hint="eastAsia" w:ascii="Times New Roman" w:hAnsi="Times New Roman" w:cs="Times New Roman"/>
          <w:sz w:val="30"/>
          <w:szCs w:val="30"/>
          <w:lang w:val="en-US" w:eastAsia="zh-CN"/>
        </w:rPr>
        <w:t>均超过</w:t>
      </w:r>
      <w:r>
        <w:rPr>
          <w:rFonts w:hint="eastAsia" w:ascii="Times New Roman" w:hAnsi="Times New Roman" w:cs="Times New Roman"/>
          <w:sz w:val="30"/>
          <w:szCs w:val="30"/>
        </w:rPr>
        <w:t>分配给</w:t>
      </w:r>
      <w:r>
        <w:rPr>
          <w:rFonts w:hint="eastAsia" w:ascii="Times New Roman" w:hAnsi="Times New Roman" w:cs="Times New Roman"/>
          <w:sz w:val="30"/>
          <w:szCs w:val="30"/>
          <w:lang w:val="en-US" w:eastAsia="zh-CN"/>
        </w:rPr>
        <w:t>红寺堡区的</w:t>
      </w:r>
      <w:r>
        <w:rPr>
          <w:rFonts w:hint="eastAsia" w:ascii="Times New Roman" w:hAnsi="Times New Roman" w:cs="Times New Roman"/>
          <w:sz w:val="30"/>
          <w:szCs w:val="30"/>
        </w:rPr>
        <w:t>取水控制指标</w:t>
      </w:r>
      <w:r>
        <w:rPr>
          <w:rFonts w:hint="eastAsia" w:ascii="Times New Roman" w:hAnsi="Times New Roman" w:cs="Times New Roman"/>
          <w:sz w:val="30"/>
          <w:szCs w:val="30"/>
          <w:lang w:eastAsia="zh-CN"/>
        </w:rPr>
        <w:t>，</w:t>
      </w:r>
      <w:r>
        <w:rPr>
          <w:rFonts w:hint="eastAsia" w:ascii="Times New Roman" w:hAnsi="Times New Roman" w:cs="Times New Roman"/>
          <w:sz w:val="30"/>
          <w:szCs w:val="30"/>
          <w:lang w:val="en-US" w:eastAsia="zh-CN"/>
        </w:rPr>
        <w:t>主要原因是红寺堡区高效节灌率较低，随着红寺堡区高效节灌的大力发展，</w:t>
      </w:r>
      <w:r>
        <w:rPr>
          <w:rFonts w:hint="eastAsia" w:ascii="Times New Roman" w:hAnsi="Times New Roman" w:cs="Times New Roman"/>
          <w:sz w:val="30"/>
          <w:szCs w:val="30"/>
        </w:rPr>
        <w:t>现状项目区供水能力还不能适应各种气候条件下的需水要求，特别是遇到特殊干旱年份产生的供用水矛盾尤为明显。</w:t>
      </w:r>
      <w:r>
        <w:rPr>
          <w:rFonts w:hint="eastAsia" w:ascii="Times New Roman" w:hAnsi="Times New Roman" w:cs="Times New Roman"/>
          <w:sz w:val="30"/>
          <w:szCs w:val="30"/>
          <w:lang w:val="en-US" w:eastAsia="zh-CN"/>
        </w:rPr>
        <w:t>区内</w:t>
      </w:r>
      <w:r>
        <w:rPr>
          <w:rFonts w:hint="eastAsia" w:ascii="Times New Roman" w:hAnsi="Times New Roman" w:cs="Times New Roman"/>
          <w:sz w:val="30"/>
          <w:szCs w:val="30"/>
        </w:rPr>
        <w:t>大中型调蓄设施</w:t>
      </w:r>
      <w:r>
        <w:rPr>
          <w:rFonts w:hint="eastAsia" w:ascii="Times New Roman" w:hAnsi="Times New Roman" w:cs="Times New Roman"/>
          <w:sz w:val="30"/>
          <w:szCs w:val="30"/>
          <w:lang w:val="en-US" w:eastAsia="zh-CN"/>
        </w:rPr>
        <w:t>较少</w:t>
      </w:r>
      <w:r>
        <w:rPr>
          <w:rFonts w:hint="eastAsia" w:ascii="Times New Roman" w:hAnsi="Times New Roman" w:cs="Times New Roman"/>
          <w:sz w:val="30"/>
          <w:szCs w:val="30"/>
        </w:rPr>
        <w:t>，不利于项目区高效节灌发展</w:t>
      </w:r>
      <w:r>
        <w:rPr>
          <w:rFonts w:hint="eastAsia" w:ascii="Times New Roman" w:hAnsi="Times New Roman" w:cs="Times New Roman"/>
          <w:sz w:val="30"/>
          <w:szCs w:val="30"/>
          <w:lang w:eastAsia="zh-CN"/>
        </w:rPr>
        <w:t>，</w:t>
      </w:r>
      <w:r>
        <w:rPr>
          <w:rFonts w:hint="eastAsia" w:ascii="Times New Roman" w:hAnsi="Times New Roman" w:cs="Times New Roman"/>
          <w:sz w:val="30"/>
          <w:szCs w:val="30"/>
        </w:rPr>
        <w:t>与新时代高质量发展的新要求、新理念</w:t>
      </w:r>
      <w:r>
        <w:rPr>
          <w:rFonts w:hint="eastAsia" w:ascii="Times New Roman" w:hAnsi="Times New Roman" w:cs="Times New Roman"/>
          <w:sz w:val="30"/>
          <w:szCs w:val="30"/>
          <w:lang w:val="en-US" w:eastAsia="zh-CN"/>
        </w:rPr>
        <w:t>差距较大</w:t>
      </w:r>
      <w:r>
        <w:rPr>
          <w:rFonts w:hint="eastAsia" w:ascii="Times New Roman" w:hAnsi="Times New Roman" w:cs="Times New Roman"/>
          <w:sz w:val="30"/>
          <w:szCs w:val="30"/>
        </w:rPr>
        <w:t>，项目区的水网架构不够完善。</w:t>
      </w:r>
    </w:p>
    <w:p w14:paraId="3F3CBDBC">
      <w:pPr>
        <w:pStyle w:val="13"/>
        <w:keepNext w:val="0"/>
        <w:keepLines w:val="0"/>
        <w:pageBreakBefore w:val="0"/>
        <w:widowControl w:val="0"/>
        <w:kinsoku/>
        <w:wordWrap/>
        <w:overflowPunct w:val="0"/>
        <w:topLinePunct w:val="0"/>
        <w:autoSpaceDE w:val="0"/>
        <w:autoSpaceDN w:val="0"/>
        <w:bidi w:val="0"/>
        <w:adjustRightInd w:val="0"/>
        <w:snapToGrid w:val="0"/>
        <w:spacing w:line="360" w:lineRule="auto"/>
        <w:ind w:firstLine="602" w:firstLineChars="200"/>
        <w:jc w:val="both"/>
        <w:textAlignment w:val="baseline"/>
        <w:rPr>
          <w:rFonts w:hint="default" w:ascii="Times New Roman" w:hAnsi="Times New Roman" w:eastAsia="仿宋_GB2312" w:cs="Times New Roman"/>
          <w:b/>
          <w:sz w:val="30"/>
          <w:szCs w:val="30"/>
          <w:lang w:val="en-US" w:eastAsia="zh-CN"/>
        </w:rPr>
      </w:pPr>
      <w:r>
        <w:rPr>
          <w:rFonts w:hint="eastAsia" w:ascii="Times New Roman" w:hAnsi="Times New Roman" w:cs="Times New Roman"/>
          <w:b/>
          <w:sz w:val="30"/>
          <w:szCs w:val="30"/>
        </w:rPr>
        <w:t>（一）新建</w:t>
      </w:r>
      <w:r>
        <w:rPr>
          <w:rFonts w:hint="eastAsia" w:ascii="Times New Roman" w:hAnsi="Times New Roman" w:cs="Times New Roman"/>
          <w:b/>
          <w:sz w:val="30"/>
          <w:szCs w:val="30"/>
          <w:lang w:val="en-US" w:eastAsia="zh-CN"/>
        </w:rPr>
        <w:t>调蓄设施</w:t>
      </w:r>
    </w:p>
    <w:p w14:paraId="0BBF04E4">
      <w:pPr>
        <w:pStyle w:val="13"/>
        <w:keepNext w:val="0"/>
        <w:keepLines w:val="0"/>
        <w:pageBreakBefore w:val="0"/>
        <w:widowControl w:val="0"/>
        <w:kinsoku/>
        <w:wordWrap/>
        <w:overflowPunct w:val="0"/>
        <w:topLinePunct w:val="0"/>
        <w:autoSpaceDE w:val="0"/>
        <w:autoSpaceDN w:val="0"/>
        <w:bidi w:val="0"/>
        <w:adjustRightInd w:val="0"/>
        <w:snapToGrid w:val="0"/>
        <w:spacing w:line="360" w:lineRule="auto"/>
        <w:ind w:firstLine="600" w:firstLineChars="200"/>
        <w:jc w:val="both"/>
        <w:textAlignment w:val="baseline"/>
        <w:rPr>
          <w:rFonts w:hint="eastAsia" w:ascii="Times New Roman" w:hAnsi="Times New Roman" w:cs="Times New Roman"/>
          <w:sz w:val="30"/>
          <w:szCs w:val="30"/>
          <w:highlight w:val="none"/>
        </w:rPr>
      </w:pPr>
      <w:r>
        <w:rPr>
          <w:rFonts w:ascii="Times New Roman" w:hAnsi="Times New Roman" w:cs="Times New Roman"/>
          <w:sz w:val="30"/>
          <w:szCs w:val="30"/>
          <w:highlight w:val="none"/>
        </w:rPr>
        <w:t>综合考虑地形地貌、水资源分布及其开发利用现状，规划新建水库为</w:t>
      </w:r>
      <w:r>
        <w:rPr>
          <w:rFonts w:hint="eastAsia" w:ascii="Times New Roman" w:hAnsi="Times New Roman" w:cs="Times New Roman"/>
          <w:sz w:val="30"/>
          <w:szCs w:val="30"/>
          <w:highlight w:val="none"/>
        </w:rPr>
        <w:t>龙兴村调蓄水池</w:t>
      </w:r>
      <w:r>
        <w:rPr>
          <w:rFonts w:ascii="Times New Roman" w:hAnsi="Times New Roman" w:cs="Times New Roman"/>
          <w:sz w:val="30"/>
          <w:szCs w:val="30"/>
          <w:highlight w:val="none"/>
        </w:rPr>
        <w:t>、</w:t>
      </w:r>
      <w:r>
        <w:rPr>
          <w:rFonts w:hint="eastAsia" w:ascii="Times New Roman" w:hAnsi="Times New Roman" w:cs="Times New Roman"/>
          <w:sz w:val="30"/>
          <w:szCs w:val="30"/>
          <w:highlight w:val="none"/>
        </w:rPr>
        <w:t>周新村调蓄水池</w:t>
      </w:r>
      <w:r>
        <w:rPr>
          <w:rFonts w:ascii="Times New Roman" w:hAnsi="Times New Roman" w:cs="Times New Roman"/>
          <w:sz w:val="30"/>
          <w:szCs w:val="30"/>
          <w:highlight w:val="none"/>
        </w:rPr>
        <w:t>、</w:t>
      </w:r>
      <w:r>
        <w:rPr>
          <w:rFonts w:hint="eastAsia" w:ascii="Times New Roman" w:hAnsi="Times New Roman" w:cs="Times New Roman"/>
          <w:sz w:val="30"/>
          <w:szCs w:val="30"/>
          <w:highlight w:val="none"/>
        </w:rPr>
        <w:t>东源村调蓄水池</w:t>
      </w:r>
      <w:r>
        <w:rPr>
          <w:rFonts w:ascii="Times New Roman" w:hAnsi="Times New Roman" w:cs="Times New Roman"/>
          <w:sz w:val="30"/>
          <w:szCs w:val="30"/>
          <w:highlight w:val="none"/>
        </w:rPr>
        <w:t>、</w:t>
      </w:r>
      <w:r>
        <w:rPr>
          <w:rFonts w:hint="eastAsia" w:ascii="Times New Roman" w:hAnsi="Times New Roman" w:cs="Times New Roman"/>
          <w:sz w:val="30"/>
          <w:szCs w:val="30"/>
          <w:highlight w:val="none"/>
        </w:rPr>
        <w:t>石炭沟村调蓄水池</w:t>
      </w:r>
      <w:r>
        <w:rPr>
          <w:rFonts w:hint="eastAsia" w:ascii="Times New Roman" w:hAnsi="Times New Roman" w:cs="Times New Roman"/>
          <w:sz w:val="30"/>
          <w:szCs w:val="30"/>
          <w:highlight w:val="none"/>
          <w:lang w:val="en-US" w:eastAsia="zh-CN"/>
        </w:rPr>
        <w:t>等</w:t>
      </w:r>
      <w:r>
        <w:rPr>
          <w:rFonts w:ascii="Times New Roman" w:hAnsi="Times New Roman" w:cs="Times New Roman"/>
          <w:sz w:val="30"/>
          <w:szCs w:val="30"/>
          <w:highlight w:val="none"/>
        </w:rPr>
        <w:t>中小型</w:t>
      </w:r>
      <w:r>
        <w:rPr>
          <w:rFonts w:hint="eastAsia" w:ascii="Times New Roman" w:hAnsi="Times New Roman" w:cs="Times New Roman"/>
          <w:sz w:val="30"/>
          <w:szCs w:val="30"/>
          <w:highlight w:val="none"/>
          <w:lang w:val="en-US" w:eastAsia="zh-CN"/>
        </w:rPr>
        <w:t>调蓄设施</w:t>
      </w:r>
      <w:r>
        <w:rPr>
          <w:rFonts w:ascii="Times New Roman" w:hAnsi="Times New Roman" w:cs="Times New Roman"/>
          <w:sz w:val="30"/>
          <w:szCs w:val="30"/>
          <w:highlight w:val="none"/>
        </w:rPr>
        <w:t>，通过</w:t>
      </w:r>
      <w:r>
        <w:rPr>
          <w:rFonts w:hint="eastAsia" w:ascii="Times New Roman" w:hAnsi="Times New Roman" w:cs="Times New Roman"/>
          <w:sz w:val="30"/>
          <w:szCs w:val="30"/>
          <w:highlight w:val="none"/>
          <w:lang w:val="en-US" w:eastAsia="zh-CN"/>
        </w:rPr>
        <w:t>调蓄设施</w:t>
      </w:r>
      <w:r>
        <w:rPr>
          <w:rFonts w:ascii="Times New Roman" w:hAnsi="Times New Roman" w:cs="Times New Roman"/>
          <w:sz w:val="30"/>
          <w:szCs w:val="30"/>
          <w:highlight w:val="none"/>
        </w:rPr>
        <w:t>建设可</w:t>
      </w:r>
      <w:r>
        <w:rPr>
          <w:rFonts w:hint="eastAsia" w:ascii="Times New Roman" w:hAnsi="Times New Roman" w:cs="Times New Roman"/>
          <w:sz w:val="30"/>
          <w:szCs w:val="30"/>
          <w:highlight w:val="none"/>
          <w:lang w:val="en-US" w:eastAsia="zh-CN"/>
        </w:rPr>
        <w:t>增强灌区应对缺水状况的能力</w:t>
      </w:r>
      <w:r>
        <w:rPr>
          <w:rFonts w:ascii="Times New Roman" w:hAnsi="Times New Roman" w:cs="Times New Roman"/>
          <w:sz w:val="30"/>
          <w:szCs w:val="30"/>
          <w:highlight w:val="none"/>
        </w:rPr>
        <w:t>，并发展引水上山产业。</w:t>
      </w:r>
    </w:p>
    <w:p w14:paraId="5E5D548A">
      <w:pPr>
        <w:pStyle w:val="13"/>
        <w:keepNext w:val="0"/>
        <w:keepLines w:val="0"/>
        <w:pageBreakBefore w:val="0"/>
        <w:widowControl w:val="0"/>
        <w:kinsoku/>
        <w:wordWrap/>
        <w:overflowPunct w:val="0"/>
        <w:topLinePunct w:val="0"/>
        <w:autoSpaceDE w:val="0"/>
        <w:autoSpaceDN w:val="0"/>
        <w:bidi w:val="0"/>
        <w:adjustRightInd w:val="0"/>
        <w:snapToGrid w:val="0"/>
        <w:spacing w:line="360" w:lineRule="auto"/>
        <w:ind w:firstLine="602" w:firstLineChars="200"/>
        <w:jc w:val="both"/>
        <w:textAlignment w:val="baseline"/>
        <w:rPr>
          <w:rFonts w:hint="eastAsia" w:ascii="Times New Roman" w:hAnsi="Times New Roman" w:cs="Times New Roman"/>
          <w:b/>
          <w:sz w:val="30"/>
          <w:szCs w:val="30"/>
        </w:rPr>
      </w:pPr>
      <w:r>
        <w:rPr>
          <w:rFonts w:hint="eastAsia" w:ascii="Times New Roman" w:hAnsi="Times New Roman" w:cs="Times New Roman"/>
          <w:b/>
          <w:sz w:val="30"/>
          <w:szCs w:val="30"/>
        </w:rPr>
        <w:t>（二）水库清淤扩容工程</w:t>
      </w:r>
    </w:p>
    <w:p w14:paraId="098469D9">
      <w:pPr>
        <w:keepNext w:val="0"/>
        <w:keepLines w:val="0"/>
        <w:pageBreakBefore w:val="0"/>
        <w:widowControl w:val="0"/>
        <w:kinsoku/>
        <w:wordWrap/>
        <w:overflowPunct w:val="0"/>
        <w:topLinePunct w:val="0"/>
        <w:autoSpaceDE w:val="0"/>
        <w:autoSpaceDN w:val="0"/>
        <w:bidi w:val="0"/>
        <w:adjustRightInd w:val="0"/>
        <w:snapToGrid w:val="0"/>
        <w:ind w:firstLine="600" w:firstLineChars="200"/>
        <w:jc w:val="both"/>
        <w:textAlignment w:val="baseline"/>
        <w:rPr>
          <w:rFonts w:hint="eastAsia" w:ascii="Times New Roman" w:hAnsi="Times New Roman"/>
          <w:sz w:val="30"/>
          <w:szCs w:val="30"/>
          <w:highlight w:val="none"/>
        </w:rPr>
      </w:pPr>
      <w:r>
        <w:rPr>
          <w:rFonts w:ascii="Times New Roman" w:hAnsi="Times New Roman"/>
          <w:sz w:val="30"/>
          <w:szCs w:val="30"/>
          <w:highlight w:val="none"/>
        </w:rPr>
        <w:t>规划对</w:t>
      </w:r>
      <w:r>
        <w:rPr>
          <w:rFonts w:hint="eastAsia" w:ascii="Times New Roman" w:hAnsi="Times New Roman"/>
          <w:sz w:val="30"/>
          <w:szCs w:val="30"/>
          <w:highlight w:val="none"/>
        </w:rPr>
        <w:t>鲁家窑水库</w:t>
      </w:r>
      <w:r>
        <w:rPr>
          <w:rFonts w:ascii="Times New Roman" w:hAnsi="Times New Roman"/>
          <w:sz w:val="30"/>
          <w:szCs w:val="30"/>
          <w:highlight w:val="none"/>
        </w:rPr>
        <w:t>、</w:t>
      </w:r>
      <w:r>
        <w:rPr>
          <w:rFonts w:hint="eastAsia"/>
          <w:sz w:val="30"/>
          <w:szCs w:val="30"/>
          <w:highlight w:val="none"/>
          <w:lang w:val="en-US" w:eastAsia="zh-CN"/>
        </w:rPr>
        <w:t>新庄集</w:t>
      </w:r>
      <w:r>
        <w:rPr>
          <w:rFonts w:ascii="Times New Roman" w:hAnsi="Times New Roman"/>
          <w:sz w:val="30"/>
          <w:szCs w:val="30"/>
          <w:highlight w:val="none"/>
        </w:rPr>
        <w:t>水库</w:t>
      </w:r>
      <w:r>
        <w:rPr>
          <w:rFonts w:hint="eastAsia"/>
          <w:sz w:val="30"/>
          <w:szCs w:val="30"/>
          <w:highlight w:val="none"/>
          <w:lang w:val="en-US" w:eastAsia="zh-CN"/>
        </w:rPr>
        <w:t>等</w:t>
      </w:r>
      <w:r>
        <w:rPr>
          <w:rFonts w:ascii="Times New Roman" w:hAnsi="Times New Roman"/>
          <w:sz w:val="30"/>
          <w:szCs w:val="30"/>
          <w:highlight w:val="none"/>
        </w:rPr>
        <w:t>水库实施清淤扩容；通过对以上项目的实施，减少水库淤积</w:t>
      </w:r>
      <w:r>
        <w:rPr>
          <w:rFonts w:hint="eastAsia"/>
          <w:sz w:val="30"/>
          <w:szCs w:val="30"/>
          <w:highlight w:val="none"/>
          <w:lang w:eastAsia="zh-CN"/>
        </w:rPr>
        <w:t>，</w:t>
      </w:r>
      <w:r>
        <w:rPr>
          <w:rFonts w:ascii="Times New Roman" w:hAnsi="Times New Roman"/>
          <w:sz w:val="30"/>
          <w:szCs w:val="30"/>
          <w:highlight w:val="none"/>
        </w:rPr>
        <w:t>提高水库蓄水能力。</w:t>
      </w:r>
    </w:p>
    <w:p w14:paraId="160DD956">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lang w:val="en-US" w:eastAsia="zh-CN"/>
        </w:rPr>
      </w:pPr>
      <w:bookmarkStart w:id="162" w:name="_Toc12891"/>
      <w:bookmarkStart w:id="163" w:name="_Toc673"/>
      <w:bookmarkStart w:id="164" w:name="_Toc15838"/>
      <w:bookmarkStart w:id="165" w:name="_Toc10983"/>
      <w:r>
        <w:rPr>
          <w:rFonts w:hint="eastAsia"/>
          <w:lang w:eastAsia="zh-CN"/>
        </w:rPr>
        <w:t>第</w:t>
      </w:r>
      <w:r>
        <w:rPr>
          <w:rFonts w:hint="eastAsia"/>
          <w:lang w:val="en-US" w:eastAsia="zh-CN"/>
        </w:rPr>
        <w:t>三</w:t>
      </w:r>
      <w:r>
        <w:rPr>
          <w:rFonts w:hint="eastAsia"/>
          <w:lang w:eastAsia="zh-CN"/>
        </w:rPr>
        <w:t>节</w:t>
      </w:r>
      <w:r>
        <w:rPr>
          <w:rFonts w:hint="eastAsia"/>
          <w:lang w:val="en-US" w:eastAsia="zh-CN"/>
        </w:rPr>
        <w:t xml:space="preserve">  </w:t>
      </w:r>
      <w:bookmarkEnd w:id="162"/>
      <w:bookmarkEnd w:id="163"/>
      <w:bookmarkEnd w:id="164"/>
      <w:r>
        <w:rPr>
          <w:rFonts w:hint="eastAsia"/>
          <w:lang w:val="en-US" w:eastAsia="zh-CN"/>
        </w:rPr>
        <w:t>推进灌区现代化建设及改造</w:t>
      </w:r>
      <w:bookmarkEnd w:id="165"/>
    </w:p>
    <w:p w14:paraId="446ADA5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党和国家历来高度重视灌区发展工作，灌区是国家经济社会发展的重大公益性基础设施，是国家粮食安全和农产品有效供给的命脉。围绕深化农业水价综合改革推进现代化灌区建设总体部署，持续推动灌区建设高质量发展。红寺堡区现代化灌区</w:t>
      </w:r>
      <w:r>
        <w:rPr>
          <w:rFonts w:hint="eastAsia"/>
          <w:lang w:val="en-US" w:eastAsia="zh-CN"/>
        </w:rPr>
        <w:t>建设</w:t>
      </w:r>
      <w:r>
        <w:rPr>
          <w:rFonts w:hint="eastAsia"/>
          <w:lang w:eastAsia="zh-CN"/>
        </w:rPr>
        <w:t>包括管理运行体系和安全保障、灌区工程改造及提升、生态治理及信息化建设</w:t>
      </w:r>
      <w:r>
        <w:rPr>
          <w:rFonts w:hint="eastAsia"/>
          <w:lang w:val="en-US" w:eastAsia="zh-CN"/>
        </w:rPr>
        <w:t>等</w:t>
      </w:r>
      <w:r>
        <w:rPr>
          <w:rFonts w:hint="eastAsia"/>
          <w:lang w:eastAsia="zh-CN"/>
        </w:rPr>
        <w:t xml:space="preserve">。 </w:t>
      </w:r>
    </w:p>
    <w:p w14:paraId="7CE9917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color w:val="FF0000"/>
          <w:lang w:eastAsia="zh-CN"/>
        </w:rPr>
      </w:pPr>
      <w:r>
        <w:rPr>
          <w:rFonts w:hint="eastAsia"/>
          <w:color w:val="auto"/>
          <w:lang w:eastAsia="zh-CN"/>
        </w:rPr>
        <w:t>‌加快推进宁夏红寺堡灌区现代化改造。红寺堡区灌区主要包括4大灌域，分别为红寺堡扬水灌域、盐环定扬水灌域及固海扬水灌域，</w:t>
      </w:r>
      <w:r>
        <w:rPr>
          <w:rFonts w:hint="eastAsia"/>
          <w:color w:val="auto"/>
          <w:lang w:val="en-US" w:eastAsia="zh-CN"/>
        </w:rPr>
        <w:t>灌区</w:t>
      </w:r>
      <w:r>
        <w:rPr>
          <w:rFonts w:hint="eastAsia"/>
          <w:lang w:eastAsia="zh-CN"/>
        </w:rPr>
        <w:t>全部为扬水灌区。</w:t>
      </w:r>
      <w:r>
        <w:rPr>
          <w:rFonts w:hint="eastAsia"/>
          <w:color w:val="auto"/>
          <w:lang w:eastAsia="zh-CN"/>
        </w:rPr>
        <w:t>总灌溉面积73.2万亩，红寺堡区现状</w:t>
      </w:r>
      <w:r>
        <w:rPr>
          <w:rFonts w:hint="eastAsia"/>
          <w:color w:val="auto"/>
          <w:lang w:val="en-US" w:eastAsia="zh-CN"/>
        </w:rPr>
        <w:t>确权</w:t>
      </w:r>
      <w:r>
        <w:rPr>
          <w:rFonts w:hint="eastAsia"/>
          <w:color w:val="auto"/>
          <w:lang w:eastAsia="zh-CN"/>
        </w:rPr>
        <w:t>灌溉面积57.03万亩，现有高效节水灌溉面积3</w:t>
      </w:r>
      <w:r>
        <w:rPr>
          <w:rFonts w:hint="eastAsia"/>
          <w:color w:val="auto"/>
          <w:lang w:val="en-US" w:eastAsia="zh-CN"/>
        </w:rPr>
        <w:t>2.3</w:t>
      </w:r>
      <w:r>
        <w:rPr>
          <w:rFonts w:hint="eastAsia"/>
          <w:color w:val="auto"/>
          <w:lang w:eastAsia="zh-CN"/>
        </w:rPr>
        <w:t>亩，占</w:t>
      </w:r>
      <w:r>
        <w:rPr>
          <w:rFonts w:hint="eastAsia"/>
          <w:color w:val="auto"/>
          <w:lang w:val="en-US" w:eastAsia="zh-CN"/>
        </w:rPr>
        <w:t>总灌溉面积的44</w:t>
      </w:r>
      <w:r>
        <w:rPr>
          <w:rFonts w:hint="eastAsia"/>
          <w:color w:val="auto"/>
          <w:lang w:eastAsia="zh-CN"/>
        </w:rPr>
        <w:t>%。实施宁夏红寺堡灌区现代化改造工程，完善灌区灌排工程体系，优化提升骨干渠道供水保障能力， 为工程的良性运行和受益区高质量发展创造条件。</w:t>
      </w:r>
    </w:p>
    <w:p w14:paraId="23A8BF03">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600" w:leftChars="0"/>
        <w:jc w:val="both"/>
        <w:textAlignment w:val="baseline"/>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一．加快高效节水农业项目建设</w:t>
      </w:r>
    </w:p>
    <w:p w14:paraId="0033F9A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高效节水农业工程</w:t>
      </w:r>
      <w:r>
        <w:rPr>
          <w:rFonts w:hint="eastAsia"/>
          <w:lang w:val="en-US" w:eastAsia="zh-CN"/>
        </w:rPr>
        <w:t>是</w:t>
      </w:r>
      <w:r>
        <w:rPr>
          <w:rFonts w:hint="eastAsia"/>
          <w:lang w:eastAsia="zh-CN"/>
        </w:rPr>
        <w:t>与现代农业生产和经营方式相适应的</w:t>
      </w:r>
      <w:r>
        <w:rPr>
          <w:rFonts w:hint="eastAsia"/>
          <w:lang w:val="en-US" w:eastAsia="zh-CN"/>
        </w:rPr>
        <w:t>灌溉方式</w:t>
      </w:r>
      <w:r>
        <w:rPr>
          <w:rFonts w:hint="eastAsia"/>
          <w:lang w:eastAsia="zh-CN"/>
        </w:rPr>
        <w:t>。实行节水灌溉技术可以减少无效耗水，从而缓解水资源供应紧张的问题，改善生态环境，改善灌溉排水条件，促进农业的可持续发展；实行节水灌溉技术可以根据作物不同时期的实际需求量调节灌溉量，并结合水肥一体化技术为农作物创造一个更加适宜的水分、肥力条件，保障作物生长。同时利用基于互联网的现代化智能高效节水灌溉系统，可有效降低农作物生产过程中的用水量，提高灌溉水利用效率；节省人力，提高肥料利用率，节约肥料投入成本；降低因过量灌溉施肥引起的地下水的污染。</w:t>
      </w:r>
    </w:p>
    <w:p w14:paraId="56BE89B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以“节水高效、设施完善、管理科学、生态良好”为目标，完善量测水设施和灌区信息化体系建设，助推农业水价水权制度改革，建立“投、建、管、维、服”一体化、市场化、社会化灌区供水管理服务体系，打造“水工程自动化、水调控精准化、水生态自然化、水安全标准化、水服务高效化”现代化灌区。</w:t>
      </w:r>
    </w:p>
    <w:p w14:paraId="5CC10A31">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600" w:leftChars="0"/>
        <w:jc w:val="both"/>
        <w:textAlignment w:val="baseline"/>
        <w:rPr>
          <w:rFonts w:hint="default" w:ascii="仿宋_GB2312" w:hAnsi="仿宋_GB2312" w:eastAsia="仿宋_GB2312" w:cs="仿宋_GB2312"/>
          <w:b/>
          <w:bCs/>
          <w:color w:val="auto"/>
          <w:lang w:val="en-US" w:eastAsia="zh-CN"/>
        </w:rPr>
      </w:pPr>
      <w:bookmarkStart w:id="166" w:name="_Toc3394"/>
      <w:bookmarkStart w:id="167" w:name="_Toc8094"/>
      <w:bookmarkStart w:id="168" w:name="_Toc29795"/>
      <w:r>
        <w:rPr>
          <w:rFonts w:hint="eastAsia" w:ascii="仿宋_GB2312" w:hAnsi="仿宋_GB2312" w:eastAsia="仿宋_GB2312" w:cs="仿宋_GB2312"/>
          <w:b/>
          <w:bCs/>
          <w:color w:val="auto"/>
          <w:lang w:val="en-US" w:eastAsia="zh-CN"/>
        </w:rPr>
        <w:t>二 .加快非常规水利用</w:t>
      </w:r>
      <w:bookmarkEnd w:id="166"/>
      <w:bookmarkEnd w:id="167"/>
      <w:bookmarkEnd w:id="168"/>
      <w:r>
        <w:rPr>
          <w:rFonts w:hint="eastAsia" w:ascii="仿宋_GB2312" w:hAnsi="仿宋_GB2312" w:eastAsia="仿宋_GB2312" w:cs="仿宋_GB2312"/>
          <w:b/>
          <w:bCs/>
          <w:color w:val="auto"/>
          <w:lang w:val="en-US" w:eastAsia="zh-CN"/>
        </w:rPr>
        <w:t>建设</w:t>
      </w:r>
    </w:p>
    <w:p w14:paraId="02516E2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推动再生水和雨洪水等非常规水资源化利用，按照“能用尽用、应用尽用”的原则，完善非常规水利用工程体系，培育形成有利于水资源节约集约利用、生态环境保护修复的空间格局、产业结构、生产方式和生活方式。</w:t>
      </w:r>
      <w:r>
        <w:rPr>
          <w:rFonts w:hint="eastAsia"/>
          <w:lang w:val="en-US" w:eastAsia="zh-CN"/>
        </w:rPr>
        <w:t>红寺堡区</w:t>
      </w:r>
      <w:r>
        <w:rPr>
          <w:rFonts w:hint="eastAsia"/>
          <w:lang w:eastAsia="zh-CN"/>
        </w:rPr>
        <w:t>再生水利用的总体目标是：充分利用城镇污水资源，削减水污染负荷，提升城市水资源的综合利用效率和水平，缓解城市水资源短缺，推动节水型城市建设，促进黄河流域生态保护和高质量发展。2030年污水再生利用率不低于50%，2035年污水再生利用率不低于60%。</w:t>
      </w:r>
    </w:p>
    <w:p w14:paraId="37E39B8F">
      <w:pPr>
        <w:keepNext w:val="0"/>
        <w:keepLines w:val="0"/>
        <w:pageBreakBefore w:val="0"/>
        <w:widowControl w:val="0"/>
        <w:numPr>
          <w:ilvl w:val="0"/>
          <w:numId w:val="0"/>
        </w:numPr>
        <w:kinsoku/>
        <w:wordWrap/>
        <w:overflowPunct w:val="0"/>
        <w:topLinePunct w:val="0"/>
        <w:autoSpaceDE w:val="0"/>
        <w:autoSpaceDN w:val="0"/>
        <w:bidi w:val="0"/>
        <w:adjustRightInd w:val="0"/>
        <w:snapToGrid w:val="0"/>
        <w:ind w:left="600" w:leftChars="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一</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rPr>
        <w:t>配套完善再生水回用工程体系</w:t>
      </w:r>
    </w:p>
    <w:p w14:paraId="6DFC1B0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按照绿化、农业灌溉、循环冷却、景观等各业用水水质要求，新建一批再生水厂，提升出水水质标准。配套建设城市再生水厂或再生水处理设施，工业园区再生水厂或再生水处理设施，分布式污水雨水处理中水回用一体化工程。配套建设再生水供水管网，夯实再生水回用基础体系。</w:t>
      </w:r>
    </w:p>
    <w:p w14:paraId="4634B8E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红寺堡区再生水工程建设于2012年，</w:t>
      </w:r>
      <w:r>
        <w:rPr>
          <w:rFonts w:hint="eastAsia" w:ascii="仿宋_GB2312" w:hAnsi="仿宋_GB2312" w:eastAsia="仿宋_GB2312" w:cs="仿宋_GB2312"/>
          <w:color w:val="auto"/>
          <w:lang w:val="en-US" w:eastAsia="zh-CN"/>
        </w:rPr>
        <w:t>2023年城区通过再生水节约集约利用工程</w:t>
      </w:r>
      <w:r>
        <w:rPr>
          <w:rFonts w:hint="eastAsia" w:ascii="仿宋_GB2312" w:hAnsi="仿宋_GB2312" w:eastAsia="仿宋_GB2312" w:cs="仿宋_GB2312"/>
          <w:color w:val="auto"/>
          <w:lang w:eastAsia="zh-CN"/>
        </w:rPr>
        <w:t>新建再生水管道</w:t>
      </w:r>
      <w:r>
        <w:rPr>
          <w:rFonts w:hint="eastAsia" w:ascii="仿宋_GB2312" w:hAnsi="仿宋_GB2312" w:cs="仿宋_GB2312"/>
          <w:color w:val="auto"/>
          <w:lang w:val="en-US" w:eastAsia="zh-CN"/>
        </w:rPr>
        <w:t>及</w:t>
      </w:r>
      <w:r>
        <w:rPr>
          <w:rFonts w:hint="eastAsia" w:ascii="仿宋_GB2312" w:hAnsi="仿宋_GB2312" w:eastAsia="仿宋_GB2312" w:cs="仿宋_GB2312"/>
          <w:color w:val="auto"/>
          <w:lang w:eastAsia="zh-CN"/>
        </w:rPr>
        <w:t>相关</w:t>
      </w:r>
      <w:r>
        <w:rPr>
          <w:rFonts w:hint="eastAsia" w:ascii="仿宋_GB2312" w:hAnsi="仿宋_GB2312" w:cs="仿宋_GB2312"/>
          <w:color w:val="auto"/>
          <w:lang w:val="en-US" w:eastAsia="zh-CN"/>
        </w:rPr>
        <w:t>配套设施</w:t>
      </w:r>
      <w:r>
        <w:rPr>
          <w:rFonts w:hint="eastAsia" w:ascii="仿宋_GB2312" w:hAnsi="仿宋_GB2312" w:eastAsia="仿宋_GB2312" w:cs="仿宋_GB2312"/>
          <w:color w:val="auto"/>
          <w:lang w:eastAsia="zh-CN"/>
        </w:rPr>
        <w:t>。</w:t>
      </w:r>
      <w:r>
        <w:rPr>
          <w:rFonts w:hint="eastAsia"/>
          <w:lang w:val="en-US" w:eastAsia="zh-CN"/>
        </w:rPr>
        <w:t>经过多个再生水工程的建设，红寺堡区再生水的规模得到了提高，未来红寺堡区仍需继续加大再生水工程的建设力度，扩大再生水的规模，提高水资源的利用效率。</w:t>
      </w:r>
    </w:p>
    <w:p w14:paraId="5AE88897">
      <w:pPr>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2" w:firstLineChars="20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二</w:t>
      </w:r>
      <w:r>
        <w:rPr>
          <w:rFonts w:hint="eastAsia" w:ascii="仿宋_GB2312" w:hAnsi="仿宋_GB2312" w:eastAsia="仿宋_GB2312" w:cs="仿宋_GB2312"/>
          <w:b/>
          <w:bCs/>
          <w:color w:val="auto"/>
          <w:lang w:eastAsia="zh-CN"/>
        </w:rPr>
        <w:t>）加强雨洪水资源利用。</w:t>
      </w:r>
    </w:p>
    <w:p w14:paraId="486CA4D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eastAsia="zh-CN"/>
        </w:rPr>
        <w:t>海绵城市建设提高雨水资源的利用率。改造排洪沟道和导洪沟等，提高洪水防御和拦蓄能力，通过实施河湖水系连通、清淤疏浚等，提高洪水的蓄滞能力，为湖泊湿地、水产养殖、生态环境改善提供水资源补充。</w:t>
      </w:r>
      <w:r>
        <w:rPr>
          <w:rFonts w:hint="eastAsia"/>
          <w:lang w:val="en-US" w:eastAsia="zh-CN"/>
        </w:rPr>
        <w:t xml:space="preserve"> </w:t>
      </w:r>
    </w:p>
    <w:p w14:paraId="03C014BA">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4C050B03">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09BBB6CF">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3BA79B08">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5080112F">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5D396AF8">
      <w:pPr>
        <w:keepNext w:val="0"/>
        <w:keepLines w:val="0"/>
        <w:pageBreakBefore w:val="0"/>
        <w:widowControl w:val="0"/>
        <w:kinsoku/>
        <w:wordWrap/>
        <w:overflowPunct w:val="0"/>
        <w:topLinePunct w:val="0"/>
        <w:autoSpaceDE w:val="0"/>
        <w:autoSpaceDN w:val="0"/>
        <w:bidi w:val="0"/>
        <w:adjustRightInd w:val="0"/>
        <w:snapToGrid w:val="0"/>
        <w:rPr>
          <w:rFonts w:hint="default"/>
          <w:lang w:val="en-US" w:eastAsia="zh-CN"/>
        </w:rPr>
      </w:pPr>
    </w:p>
    <w:p w14:paraId="13A27AE1">
      <w:pPr>
        <w:keepNext w:val="0"/>
        <w:keepLines w:val="0"/>
        <w:pageBreakBefore w:val="0"/>
        <w:widowControl w:val="0"/>
        <w:kinsoku/>
        <w:wordWrap/>
        <w:overflowPunct w:val="0"/>
        <w:topLinePunct w:val="0"/>
        <w:autoSpaceDE w:val="0"/>
        <w:autoSpaceDN w:val="0"/>
        <w:bidi w:val="0"/>
        <w:adjustRightInd w:val="0"/>
        <w:snapToGrid w:val="0"/>
        <w:jc w:val="center"/>
        <w:rPr>
          <w:rFonts w:hint="eastAsia" w:ascii="黑体" w:hAnsi="黑体" w:eastAsia="黑体" w:cs="黑体"/>
          <w:sz w:val="28"/>
          <w:szCs w:val="28"/>
          <w:lang w:val="en-US" w:eastAsia="zh-CN"/>
        </w:rPr>
      </w:pPr>
      <w:bookmarkStart w:id="169" w:name="_Toc28852"/>
      <w:bookmarkStart w:id="170" w:name="_Toc10301"/>
      <w:bookmarkStart w:id="171" w:name="_Toc27239"/>
      <w:bookmarkStart w:id="172" w:name="_Toc32633"/>
      <w:bookmarkStart w:id="173" w:name="_Toc22500"/>
      <w:bookmarkStart w:id="174" w:name="_Toc20896"/>
    </w:p>
    <w:p w14:paraId="6CB889EF">
      <w:pPr>
        <w:keepNext w:val="0"/>
        <w:keepLines w:val="0"/>
        <w:pageBreakBefore w:val="0"/>
        <w:widowControl w:val="0"/>
        <w:kinsoku/>
        <w:wordWrap/>
        <w:overflowPunct w:val="0"/>
        <w:topLinePunct w:val="0"/>
        <w:autoSpaceDE w:val="0"/>
        <w:autoSpaceDN w:val="0"/>
        <w:bidi w:val="0"/>
        <w:adjustRightInd w:val="0"/>
        <w:snapToGrid w:val="0"/>
        <w:jc w:val="center"/>
        <w:rPr>
          <w:rFonts w:hint="eastAsia" w:ascii="黑体" w:hAnsi="黑体" w:eastAsia="黑体" w:cs="黑体"/>
          <w:sz w:val="28"/>
          <w:szCs w:val="28"/>
          <w:lang w:val="en-US" w:eastAsia="zh-CN"/>
        </w:rPr>
      </w:pPr>
    </w:p>
    <w:p w14:paraId="6C585AFD">
      <w:pPr>
        <w:keepNext w:val="0"/>
        <w:keepLines w:val="0"/>
        <w:pageBreakBefore w:val="0"/>
        <w:widowControl w:val="0"/>
        <w:kinsoku/>
        <w:wordWrap/>
        <w:overflowPunct w:val="0"/>
        <w:topLinePunct w:val="0"/>
        <w:autoSpaceDE w:val="0"/>
        <w:autoSpaceDN w:val="0"/>
        <w:bidi w:val="0"/>
        <w:adjustRightInd w:val="0"/>
        <w:snapToGrid w:val="0"/>
        <w:jc w:val="cente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 xml:space="preserve">专栏4  </w:t>
      </w:r>
      <w:bookmarkEnd w:id="169"/>
      <w:bookmarkEnd w:id="170"/>
      <w:bookmarkEnd w:id="171"/>
      <w:bookmarkEnd w:id="172"/>
      <w:bookmarkEnd w:id="173"/>
      <w:bookmarkEnd w:id="174"/>
      <w:r>
        <w:rPr>
          <w:rFonts w:hint="eastAsia" w:ascii="黑体" w:hAnsi="黑体" w:eastAsia="黑体" w:cs="黑体"/>
          <w:sz w:val="28"/>
          <w:szCs w:val="28"/>
          <w:lang w:val="en-US" w:eastAsia="zh-CN"/>
        </w:rPr>
        <w:t>灌溉排水网工程建设任务</w:t>
      </w:r>
    </w:p>
    <w:tbl>
      <w:tblPr>
        <w:tblStyle w:val="21"/>
        <w:tblW w:w="8334" w:type="dxa"/>
        <w:tblInd w:w="1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34"/>
      </w:tblGrid>
      <w:tr w14:paraId="34F6F8C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68" w:hRule="atLeast"/>
        </w:trPr>
        <w:tc>
          <w:tcPr>
            <w:tcW w:w="8334" w:type="dxa"/>
          </w:tcPr>
          <w:p w14:paraId="30E636C7">
            <w:pPr>
              <w:keepNext w:val="0"/>
              <w:keepLines w:val="0"/>
              <w:pageBreakBefore w:val="0"/>
              <w:widowControl w:val="0"/>
              <w:kinsoku/>
              <w:wordWrap/>
              <w:overflowPunct w:val="0"/>
              <w:topLinePunct w:val="0"/>
              <w:autoSpaceDE w:val="0"/>
              <w:autoSpaceDN w:val="0"/>
              <w:bidi w:val="0"/>
              <w:adjustRightInd w:val="0"/>
              <w:snapToGrid w:val="0"/>
              <w:ind w:firstLine="480"/>
              <w:contextualSpacing/>
              <w:rPr>
                <w:rFonts w:hint="eastAsia" w:ascii="方正仿宋_GB2312" w:hAnsi="方正仿宋_GB2312" w:eastAsia="方正仿宋_GB2312" w:cs="方正仿宋_GB2312"/>
                <w:snapToGrid w:val="0"/>
                <w:color w:val="auto"/>
                <w:sz w:val="32"/>
                <w:szCs w:val="32"/>
                <w:lang w:val="en-US" w:eastAsia="zh-CN" w:bidi="ar-SA"/>
              </w:rPr>
            </w:pPr>
            <w:r>
              <w:rPr>
                <w:rFonts w:hint="eastAsia" w:ascii="方正仿宋_GB2312" w:hAnsi="方正仿宋_GB2312" w:eastAsia="方正仿宋_GB2312" w:cs="方正仿宋_GB2312"/>
                <w:b/>
                <w:bCs/>
                <w:snapToGrid w:val="0"/>
                <w:color w:val="auto"/>
                <w:sz w:val="32"/>
                <w:szCs w:val="32"/>
                <w:lang w:val="en-US" w:eastAsia="zh-CN" w:bidi="ar-SA"/>
              </w:rPr>
              <w:t>1.</w:t>
            </w:r>
            <w:r>
              <w:rPr>
                <w:rFonts w:hint="eastAsia" w:ascii="方正仿宋_GB2312" w:hAnsi="方正仿宋_GB2312" w:eastAsia="方正仿宋_GB2312" w:cs="方正仿宋_GB2312"/>
                <w:b/>
                <w:bCs/>
                <w:snapToGrid w:val="0"/>
                <w:color w:val="auto"/>
                <w:spacing w:val="-7"/>
                <w:sz w:val="32"/>
                <w:szCs w:val="32"/>
                <w:lang w:val="en-US" w:eastAsia="zh-CN" w:bidi="ar-SA"/>
              </w:rPr>
              <w:t>大中型灌区灌区续建配套与现代化改造。</w:t>
            </w:r>
            <w:r>
              <w:rPr>
                <w:rFonts w:hint="eastAsia" w:ascii="方正仿宋_GB2312" w:hAnsi="方正仿宋_GB2312" w:eastAsia="方正仿宋_GB2312" w:cs="方正仿宋_GB2312"/>
                <w:snapToGrid w:val="0"/>
                <w:color w:val="auto"/>
                <w:spacing w:val="-7"/>
                <w:sz w:val="32"/>
                <w:szCs w:val="32"/>
                <w:lang w:val="en-US" w:eastAsia="zh-CN" w:bidi="ar-SA"/>
              </w:rPr>
              <w:t>（1）推进红寺堡灌区现代化改造工程的进程，推动农业灌溉向集约型、高效型、生态型转变，以灌区现代化支撑现代农业。（2）为红寺堡新增的20万亩葡萄园配套供水设施。</w:t>
            </w:r>
          </w:p>
          <w:p w14:paraId="633F0581">
            <w:pPr>
              <w:pStyle w:val="22"/>
              <w:keepNext w:val="0"/>
              <w:keepLines w:val="0"/>
              <w:pageBreakBefore w:val="0"/>
              <w:widowControl w:val="0"/>
              <w:kinsoku/>
              <w:wordWrap/>
              <w:overflowPunct w:val="0"/>
              <w:topLinePunct w:val="0"/>
              <w:autoSpaceDE w:val="0"/>
              <w:autoSpaceDN w:val="0"/>
              <w:bidi w:val="0"/>
              <w:adjustRightInd w:val="0"/>
              <w:snapToGrid w:val="0"/>
              <w:spacing w:after="0" w:line="360" w:lineRule="auto"/>
              <w:ind w:firstLine="615" w:firstLineChars="200"/>
              <w:jc w:val="both"/>
              <w:textAlignment w:val="baseline"/>
              <w:rPr>
                <w:rFonts w:hint="eastAsia" w:ascii="方正仿宋_GB2312" w:hAnsi="方正仿宋_GB2312" w:eastAsia="方正仿宋_GB2312" w:cs="方正仿宋_GB2312"/>
                <w:snapToGrid w:val="0"/>
                <w:color w:val="auto"/>
                <w:spacing w:val="-7"/>
                <w:sz w:val="32"/>
                <w:szCs w:val="32"/>
                <w:lang w:val="en-US" w:eastAsia="zh-CN" w:bidi="ar-SA"/>
              </w:rPr>
            </w:pPr>
            <w:r>
              <w:rPr>
                <w:rFonts w:hint="eastAsia" w:ascii="方正仿宋_GB2312" w:hAnsi="方正仿宋_GB2312" w:cs="方正仿宋_GB2312"/>
                <w:b/>
                <w:bCs/>
                <w:snapToGrid w:val="0"/>
                <w:color w:val="auto"/>
                <w:spacing w:val="-7"/>
                <w:sz w:val="32"/>
                <w:szCs w:val="32"/>
                <w:lang w:val="en-US" w:eastAsia="zh-CN" w:bidi="ar-SA"/>
              </w:rPr>
              <w:t>2</w:t>
            </w:r>
            <w:r>
              <w:rPr>
                <w:rFonts w:hint="eastAsia" w:ascii="方正仿宋_GB2312" w:hAnsi="方正仿宋_GB2312" w:eastAsia="方正仿宋_GB2312" w:cs="方正仿宋_GB2312"/>
                <w:b/>
                <w:bCs/>
                <w:snapToGrid w:val="0"/>
                <w:color w:val="auto"/>
                <w:spacing w:val="-7"/>
                <w:sz w:val="32"/>
                <w:szCs w:val="32"/>
                <w:lang w:val="en-US" w:eastAsia="zh-CN" w:bidi="ar-SA"/>
              </w:rPr>
              <w:t>.非常规水利用工程。</w:t>
            </w:r>
            <w:r>
              <w:rPr>
                <w:rFonts w:hint="eastAsia" w:ascii="方正仿宋_GB2312" w:hAnsi="方正仿宋_GB2312" w:eastAsia="方正仿宋_GB2312" w:cs="方正仿宋_GB2312"/>
                <w:snapToGrid w:val="0"/>
                <w:color w:val="auto"/>
                <w:spacing w:val="-7"/>
                <w:sz w:val="32"/>
                <w:szCs w:val="32"/>
                <w:lang w:val="en-US" w:eastAsia="zh-CN" w:bidi="ar-SA"/>
              </w:rPr>
              <w:t>实施</w:t>
            </w:r>
            <w:r>
              <w:rPr>
                <w:rFonts w:hint="eastAsia" w:ascii="方正仿宋_GB2312" w:hAnsi="方正仿宋_GB2312" w:cs="方正仿宋_GB2312"/>
                <w:snapToGrid w:val="0"/>
                <w:color w:val="auto"/>
                <w:spacing w:val="-7"/>
                <w:sz w:val="32"/>
                <w:szCs w:val="32"/>
                <w:lang w:val="en-US" w:eastAsia="zh-CN" w:bidi="ar-SA"/>
              </w:rPr>
              <w:t>红寺堡区</w:t>
            </w:r>
            <w:r>
              <w:rPr>
                <w:rFonts w:hint="eastAsia" w:ascii="方正仿宋_GB2312" w:hAnsi="方正仿宋_GB2312" w:eastAsia="方正仿宋_GB2312" w:cs="方正仿宋_GB2312"/>
                <w:snapToGrid w:val="0"/>
                <w:color w:val="auto"/>
                <w:spacing w:val="-7"/>
                <w:sz w:val="32"/>
                <w:szCs w:val="32"/>
                <w:lang w:val="en-US" w:eastAsia="zh-CN" w:bidi="ar-SA"/>
              </w:rPr>
              <w:t>再生水资源综合利用工程，提高雨水资源的利用率。</w:t>
            </w:r>
          </w:p>
          <w:p w14:paraId="104165B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360" w:lineRule="auto"/>
              <w:ind w:firstLine="615" w:firstLineChars="200"/>
              <w:rPr>
                <w:rFonts w:hint="default" w:ascii="方正仿宋_GB2312" w:hAnsi="方正仿宋_GB2312" w:eastAsia="方正仿宋_GB2312" w:cs="方正仿宋_GB2312"/>
                <w:snapToGrid w:val="0"/>
                <w:color w:val="auto"/>
                <w:spacing w:val="-7"/>
                <w:sz w:val="32"/>
                <w:szCs w:val="32"/>
                <w:lang w:val="en-US" w:eastAsia="zh-CN" w:bidi="ar-SA"/>
              </w:rPr>
            </w:pPr>
            <w:r>
              <w:rPr>
                <w:rFonts w:hint="eastAsia" w:ascii="方正仿宋_GB2312" w:hAnsi="方正仿宋_GB2312" w:eastAsia="方正仿宋_GB2312" w:cs="方正仿宋_GB2312"/>
                <w:b/>
                <w:bCs/>
                <w:snapToGrid w:val="0"/>
                <w:color w:val="auto"/>
                <w:spacing w:val="-7"/>
                <w:sz w:val="32"/>
                <w:szCs w:val="32"/>
                <w:lang w:val="en-US" w:eastAsia="zh-CN" w:bidi="ar-SA"/>
              </w:rPr>
              <w:t>3.抗旱减灾工程。</w:t>
            </w:r>
            <w:r>
              <w:rPr>
                <w:rFonts w:hint="eastAsia" w:ascii="方正仿宋_GB2312" w:hAnsi="方正仿宋_GB2312" w:eastAsia="方正仿宋_GB2312" w:cs="方正仿宋_GB2312"/>
                <w:snapToGrid w:val="0"/>
                <w:color w:val="auto"/>
                <w:spacing w:val="-7"/>
                <w:sz w:val="32"/>
                <w:szCs w:val="32"/>
                <w:lang w:val="en-US" w:eastAsia="zh-CN" w:bidi="ar-SA"/>
              </w:rPr>
              <w:t>（1）推进红寺堡区东源村调蓄水池、龙兴村调蓄水池、周新村调蓄水池、石炭沟村调蓄水池等一批调蓄水池工程建设以及红寺堡灌域调蓄水池连通工程的建设，提高当地地表水资源调控能力，提升抗旱减灾能力。（2）</w:t>
            </w:r>
          </w:p>
          <w:p w14:paraId="516C86DC">
            <w:pPr>
              <w:keepNext w:val="0"/>
              <w:keepLines w:val="0"/>
              <w:pageBreakBefore w:val="0"/>
              <w:widowControl w:val="0"/>
              <w:numPr>
                <w:ilvl w:val="0"/>
                <w:numId w:val="0"/>
              </w:numPr>
              <w:kinsoku/>
              <w:wordWrap/>
              <w:overflowPunct w:val="0"/>
              <w:topLinePunct w:val="0"/>
              <w:autoSpaceDE w:val="0"/>
              <w:autoSpaceDN w:val="0"/>
              <w:bidi w:val="0"/>
              <w:adjustRightInd w:val="0"/>
              <w:snapToGrid w:val="0"/>
              <w:rPr>
                <w:rFonts w:hint="eastAsia" w:ascii="方正仿宋_GB2312" w:hAnsi="方正仿宋_GB2312" w:eastAsia="方正仿宋_GB2312" w:cs="方正仿宋_GB2312"/>
                <w:snapToGrid w:val="0"/>
                <w:color w:val="auto"/>
                <w:spacing w:val="-7"/>
                <w:sz w:val="24"/>
                <w:szCs w:val="24"/>
                <w:lang w:val="en-US" w:eastAsia="zh-CN" w:bidi="ar-SA"/>
              </w:rPr>
            </w:pPr>
          </w:p>
          <w:p w14:paraId="4D6B09B0">
            <w:pPr>
              <w:pStyle w:val="22"/>
              <w:keepNext w:val="0"/>
              <w:keepLines w:val="0"/>
              <w:pageBreakBefore w:val="0"/>
              <w:widowControl w:val="0"/>
              <w:kinsoku/>
              <w:wordWrap/>
              <w:overflowPunct w:val="0"/>
              <w:topLinePunct w:val="0"/>
              <w:autoSpaceDE w:val="0"/>
              <w:autoSpaceDN w:val="0"/>
              <w:bidi w:val="0"/>
              <w:adjustRightInd w:val="0"/>
              <w:snapToGrid w:val="0"/>
              <w:spacing w:before="90" w:line="278" w:lineRule="auto"/>
              <w:ind w:left="110" w:right="101" w:firstLine="437"/>
              <w:jc w:val="left"/>
              <w:rPr>
                <w:rFonts w:hint="eastAsia" w:ascii="方正仿宋_GB2312" w:hAnsi="方正仿宋_GB2312" w:eastAsia="方正仿宋_GB2312" w:cs="方正仿宋_GB2312"/>
                <w:color w:val="auto"/>
                <w:lang w:eastAsia="zh-CN"/>
              </w:rPr>
            </w:pPr>
          </w:p>
          <w:p w14:paraId="5A939597">
            <w:pPr>
              <w:pStyle w:val="22"/>
              <w:keepNext w:val="0"/>
              <w:keepLines w:val="0"/>
              <w:pageBreakBefore w:val="0"/>
              <w:widowControl w:val="0"/>
              <w:kinsoku/>
              <w:wordWrap/>
              <w:overflowPunct w:val="0"/>
              <w:topLinePunct w:val="0"/>
              <w:autoSpaceDE w:val="0"/>
              <w:autoSpaceDN w:val="0"/>
              <w:bidi w:val="0"/>
              <w:adjustRightInd w:val="0"/>
              <w:snapToGrid w:val="0"/>
              <w:spacing w:before="91" w:line="274" w:lineRule="auto"/>
              <w:ind w:left="108" w:right="99" w:firstLine="444"/>
              <w:jc w:val="left"/>
              <w:rPr>
                <w:rFonts w:hint="eastAsia" w:ascii="方正仿宋_GB2312" w:hAnsi="方正仿宋_GB2312" w:eastAsia="方正仿宋_GB2312" w:cs="方正仿宋_GB2312"/>
                <w:color w:val="auto"/>
                <w:lang w:eastAsia="zh-CN"/>
              </w:rPr>
            </w:pPr>
          </w:p>
        </w:tc>
      </w:tr>
    </w:tbl>
    <w:p w14:paraId="7899BE0C">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71E868B">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sectPr>
          <w:headerReference r:id="rId11" w:type="default"/>
          <w:footerReference r:id="rId12" w:type="default"/>
          <w:pgSz w:w="11907" w:h="16839"/>
          <w:pgMar w:top="1440" w:right="1803" w:bottom="1440" w:left="1803" w:header="0" w:footer="986" w:gutter="0"/>
          <w:pgBorders>
            <w:top w:val="none" w:sz="0" w:space="0"/>
            <w:left w:val="none" w:sz="0" w:space="0"/>
            <w:bottom w:val="none" w:sz="0" w:space="0"/>
            <w:right w:val="none" w:sz="0" w:space="0"/>
          </w:pgBorders>
          <w:pgNumType w:fmt="decimal"/>
          <w:cols w:space="0" w:num="1"/>
        </w:sectPr>
      </w:pPr>
    </w:p>
    <w:p w14:paraId="32EA6BBD">
      <w:pPr>
        <w:pStyle w:val="2"/>
        <w:keepNext w:val="0"/>
        <w:keepLines w:val="0"/>
        <w:pageBreakBefore w:val="0"/>
        <w:widowControl w:val="0"/>
        <w:kinsoku/>
        <w:wordWrap/>
        <w:overflowPunct w:val="0"/>
        <w:topLinePunct w:val="0"/>
        <w:autoSpaceDE w:val="0"/>
        <w:autoSpaceDN w:val="0"/>
        <w:bidi w:val="0"/>
        <w:adjustRightInd w:val="0"/>
        <w:snapToGrid w:val="0"/>
        <w:rPr>
          <w:rFonts w:hint="default" w:ascii="方正仿宋_GB2312" w:hAnsi="方正仿宋_GB2312" w:eastAsia="方正仿宋_GB2312" w:cs="方正仿宋_GB2312"/>
          <w:color w:val="auto"/>
          <w:lang w:val="en-US" w:eastAsia="zh-CN"/>
        </w:rPr>
      </w:pPr>
      <w:bookmarkStart w:id="175" w:name="_Toc12743"/>
      <w:bookmarkStart w:id="176" w:name="_Toc422"/>
      <w:bookmarkStart w:id="177" w:name="_Toc29508"/>
      <w:bookmarkStart w:id="178" w:name="_Toc762"/>
      <w:bookmarkStart w:id="179" w:name="_Toc30673"/>
      <w:bookmarkStart w:id="180" w:name="_Toc115"/>
      <w:r>
        <w:rPr>
          <w:rFonts w:hint="eastAsia"/>
          <w:lang w:eastAsia="zh-CN"/>
        </w:rPr>
        <w:t>第</w:t>
      </w:r>
      <w:r>
        <w:rPr>
          <w:rFonts w:hint="eastAsia"/>
          <w:lang w:val="en-US" w:eastAsia="zh-CN"/>
        </w:rPr>
        <w:t>七</w:t>
      </w:r>
      <w:r>
        <w:rPr>
          <w:rFonts w:hint="eastAsia"/>
          <w:lang w:eastAsia="zh-CN"/>
        </w:rPr>
        <w:t>章</w:t>
      </w:r>
      <w:bookmarkEnd w:id="175"/>
      <w:bookmarkEnd w:id="176"/>
      <w:bookmarkEnd w:id="177"/>
      <w:bookmarkEnd w:id="178"/>
      <w:bookmarkEnd w:id="179"/>
      <w:r>
        <w:rPr>
          <w:rFonts w:hint="eastAsia"/>
          <w:lang w:val="en-US" w:eastAsia="zh-CN"/>
        </w:rPr>
        <w:t xml:space="preserve">  构建河湖生态保护网</w:t>
      </w:r>
      <w:bookmarkEnd w:id="180"/>
    </w:p>
    <w:p w14:paraId="01242D5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遵循“节水优先、空间均衡、系统治理”治水思路，构建“以水为脉，以林为肌，以田为底，村景相融”的自然生态格局，修复河道空间形态、改善河流水生态环境、增强灌溉供水、生态补水保障能力，打造安全、生态、美丽、人文的农村水系，坚持完善红寺堡区水生态调度的“四预”功能。</w:t>
      </w:r>
    </w:p>
    <w:p w14:paraId="06906705">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lang w:val="en-US" w:eastAsia="zh-CN"/>
        </w:rPr>
      </w:pPr>
      <w:bookmarkStart w:id="181" w:name="_Toc9007"/>
      <w:bookmarkStart w:id="182" w:name="_Toc5937"/>
      <w:bookmarkStart w:id="183" w:name="_Toc32485"/>
      <w:bookmarkStart w:id="184" w:name="_Toc5304"/>
      <w:bookmarkStart w:id="185" w:name="_Toc22850"/>
      <w:r>
        <w:rPr>
          <w:rFonts w:hint="eastAsia"/>
          <w:lang w:eastAsia="zh-CN"/>
        </w:rPr>
        <w:t>第</w:t>
      </w:r>
      <w:r>
        <w:rPr>
          <w:rFonts w:hint="eastAsia"/>
          <w:lang w:val="en-US" w:eastAsia="zh-CN"/>
        </w:rPr>
        <w:t>一</w:t>
      </w:r>
      <w:r>
        <w:rPr>
          <w:rFonts w:hint="eastAsia"/>
          <w:lang w:eastAsia="zh-CN"/>
        </w:rPr>
        <w:t>节</w:t>
      </w:r>
      <w:bookmarkEnd w:id="181"/>
      <w:bookmarkEnd w:id="182"/>
      <w:bookmarkEnd w:id="183"/>
      <w:bookmarkEnd w:id="184"/>
      <w:r>
        <w:rPr>
          <w:rFonts w:hint="eastAsia"/>
          <w:lang w:val="en-US" w:eastAsia="zh-CN"/>
        </w:rPr>
        <w:t xml:space="preserve">  建设思路</w:t>
      </w:r>
      <w:bookmarkEnd w:id="185"/>
    </w:p>
    <w:p w14:paraId="2AAB68D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重点实施黄河主要支流、湖泊水生态修复，加强河湖水动力循环，大力推进生态渠道、生态护岸等生态工程建设。</w:t>
      </w:r>
    </w:p>
    <w:p w14:paraId="6DE1310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统筹排水、污水处理及再生水利用设施建设，加大再生水、雨水利用，城市绿化、环境卫生、生态景观优先使用非常规水，维持灌区生态绿洲健康稳定，到2030年，红寺堡生态取水总量控制在0.</w:t>
      </w:r>
      <w:r>
        <w:rPr>
          <w:rFonts w:hint="eastAsia"/>
          <w:lang w:val="en-US" w:eastAsia="zh-CN"/>
        </w:rPr>
        <w:t>08</w:t>
      </w:r>
      <w:r>
        <w:rPr>
          <w:rFonts w:hint="eastAsia"/>
          <w:lang w:eastAsia="zh-CN"/>
        </w:rPr>
        <w:t>亿方，保障生态绿洲不退化、生态林规模不减少。</w:t>
      </w:r>
    </w:p>
    <w:p w14:paraId="37594C5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实施清水河、红柳沟、苦水河等重点河流水生态保护与修复工程，整治岸线、建设河流生态缓冲带，净化河流水体，完善水土流失综合防护体系，减少入黄泥沙量。建成了以红柳沟（城区过境段）为核心的美丽沟河道，持续实施红柳沟（城区段）生态缓冲带保护期修复工程、红柳沟红寺堡区段水环境综合治理项目，不断改善红柳沟水域生态环境，提高生态综合功能，逐步打造幸美丽河湖。优化布局河谷沟道水库、水保骨干坝、淤地坝。</w:t>
      </w:r>
    </w:p>
    <w:p w14:paraId="1A7D8A7A">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ascii="方正仿宋_GB2312" w:hAnsi="方正仿宋_GB2312" w:eastAsia="方正仿宋_GB2312" w:cs="方正仿宋_GB2312"/>
          <w:color w:val="auto"/>
          <w:lang w:val="en-US" w:eastAsia="zh-CN"/>
        </w:rPr>
      </w:pPr>
      <w:bookmarkStart w:id="186" w:name="_Toc7006"/>
      <w:bookmarkStart w:id="187" w:name="_Toc1664"/>
      <w:bookmarkStart w:id="188" w:name="_Toc563"/>
      <w:bookmarkStart w:id="189" w:name="_Toc5941"/>
      <w:bookmarkStart w:id="190" w:name="_Toc28781"/>
      <w:r>
        <w:rPr>
          <w:rFonts w:hint="eastAsia"/>
          <w:lang w:eastAsia="zh-CN"/>
        </w:rPr>
        <w:t>第</w:t>
      </w:r>
      <w:r>
        <w:rPr>
          <w:rFonts w:hint="eastAsia"/>
          <w:lang w:val="en-US" w:eastAsia="zh-CN"/>
        </w:rPr>
        <w:t>二</w:t>
      </w:r>
      <w:r>
        <w:rPr>
          <w:rFonts w:hint="eastAsia"/>
          <w:lang w:eastAsia="zh-CN"/>
        </w:rPr>
        <w:t>节</w:t>
      </w:r>
      <w:bookmarkEnd w:id="186"/>
      <w:bookmarkEnd w:id="187"/>
      <w:bookmarkEnd w:id="188"/>
      <w:bookmarkEnd w:id="189"/>
      <w:r>
        <w:rPr>
          <w:rFonts w:hint="eastAsia"/>
          <w:lang w:val="en-US" w:eastAsia="zh-CN"/>
        </w:rPr>
        <w:t xml:space="preserve">  加强水土流失综合治理</w:t>
      </w:r>
      <w:bookmarkEnd w:id="190"/>
    </w:p>
    <w:p w14:paraId="737DC8F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加强水源涵养林建设，实施移民迁出区生态修复，开展退化草原植被修复和荒漠化草原治理，进一步完善水土流失综合防治体系，不断提升综合防治效能，建成黄河流域水土流失综合治理示范区。</w:t>
      </w:r>
    </w:p>
    <w:p w14:paraId="4D3BDF49">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一</w:t>
      </w:r>
      <w:r>
        <w:rPr>
          <w:rFonts w:hint="eastAsia" w:ascii="仿宋_GB2312" w:hAnsi="仿宋_GB2312" w:eastAsia="仿宋_GB2312" w:cs="仿宋_GB2312"/>
          <w:b/>
          <w:bCs/>
          <w:color w:val="auto"/>
          <w:lang w:eastAsia="zh-CN"/>
        </w:rPr>
        <w:t>）提升水源涵养能力。</w:t>
      </w:r>
    </w:p>
    <w:p w14:paraId="5E16819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因地制宜开展</w:t>
      </w:r>
      <w:r>
        <w:rPr>
          <w:rFonts w:hint="eastAsia"/>
          <w:lang w:val="en-US" w:eastAsia="zh-CN"/>
        </w:rPr>
        <w:t>罗</w:t>
      </w:r>
      <w:r>
        <w:rPr>
          <w:rFonts w:hint="eastAsia"/>
          <w:lang w:eastAsia="zh-CN"/>
        </w:rPr>
        <w:t>山等区域生态修复与水源涵养，实施苦水河、清水河</w:t>
      </w:r>
      <w:r>
        <w:rPr>
          <w:rFonts w:hint="eastAsia"/>
          <w:lang w:val="en-US" w:eastAsia="zh-CN"/>
        </w:rPr>
        <w:t>及红柳沟</w:t>
      </w:r>
      <w:r>
        <w:rPr>
          <w:rFonts w:hint="eastAsia"/>
          <w:lang w:eastAsia="zh-CN"/>
        </w:rPr>
        <w:t>等水源涵养工程，</w:t>
      </w:r>
      <w:r>
        <w:rPr>
          <w:rFonts w:hint="eastAsia"/>
          <w:lang w:val="en-US" w:eastAsia="zh-CN"/>
        </w:rPr>
        <w:t>加强柳泉水源地的涵养保护</w:t>
      </w:r>
      <w:r>
        <w:rPr>
          <w:rFonts w:hint="eastAsia"/>
          <w:lang w:eastAsia="zh-CN"/>
        </w:rPr>
        <w:t>。在黄河支流水源涵养区开展退化草原植被修复，两岸水土保持区开展荒漠化草原治理，通过退耕还林还草、封禁保育、轮封轮牧，保护和恢复林草植被，持续增强草原水源涵养功能。有序推进生态移民迁出区生态修复和沟道水土保持林建设，减少人为干扰破坏。</w:t>
      </w:r>
    </w:p>
    <w:p w14:paraId="693364B1">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二</w:t>
      </w:r>
      <w:r>
        <w:rPr>
          <w:rFonts w:hint="eastAsia" w:ascii="仿宋_GB2312" w:hAnsi="仿宋_GB2312" w:eastAsia="仿宋_GB2312" w:cs="仿宋_GB2312"/>
          <w:b/>
          <w:bCs/>
          <w:color w:val="auto"/>
          <w:lang w:eastAsia="zh-CN"/>
        </w:rPr>
        <w:t>）强化水土流失治理。</w:t>
      </w:r>
    </w:p>
    <w:p w14:paraId="1F96801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围绕红寺堡区水土保持总体目标和布局，把水土保持作为黄河流域生态保护和高质量发展的治本之策， 开展专项水土保持综合治理。治理范围</w:t>
      </w:r>
      <w:r>
        <w:rPr>
          <w:rFonts w:hint="eastAsia"/>
          <w:lang w:val="en-US" w:eastAsia="zh-CN"/>
        </w:rPr>
        <w:t>红寺堡区境内清水河、红柳沟、苦水河及其支流流域</w:t>
      </w:r>
      <w:r>
        <w:rPr>
          <w:rFonts w:hint="eastAsia"/>
          <w:lang w:eastAsia="zh-CN"/>
        </w:rPr>
        <w:t>。治理对象为治理范围内的坡面、沟道、沙化退化土地等。主要包括荒漠化和砂砾化土地、侵蚀沟道、四荒地、水蚀坡林（园） 地、山洪沟道，以及风蚀区和风蚀水蚀交错区的沙化土地、退化草（林） 地面源污染等。以治理水土流失为目的，主要采取工程和林草措施，其次是封禁措施。</w:t>
      </w:r>
    </w:p>
    <w:p w14:paraId="5C1213E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规划对水土流失治理进行查漏补缺，除不能治理的风化 页岩裸露面、陡崖、盐碱化沟道等外，其他水土流失面积应治尽治。新增治理水 土流失面积15km², 其中包括小流域治理5条，营造乔木林75 hm², 灌木林75 hm²,  经果林(含果园)80 hm², 种草500 hm², 封禁670 hm², 修建道路25km, 小型蓄 水保土工程10处(座)。</w:t>
      </w:r>
    </w:p>
    <w:p w14:paraId="336A6AE1">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三</w:t>
      </w:r>
      <w:r>
        <w:rPr>
          <w:rFonts w:hint="eastAsia" w:ascii="仿宋_GB2312" w:hAnsi="仿宋_GB2312" w:eastAsia="仿宋_GB2312" w:cs="仿宋_GB2312"/>
          <w:b/>
          <w:bCs/>
          <w:color w:val="auto"/>
          <w:lang w:eastAsia="zh-CN"/>
        </w:rPr>
        <w:t>）加强水土保持监管。</w:t>
      </w:r>
    </w:p>
    <w:p w14:paraId="5587E88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落实生产建设项目水土保持“三同时”制度等；实施水土保持空天地一体化监管，常态化开展全区水土流失动态监测和全覆盖遥感监管，推行水土保持信用监管，强化水土保持重点工程建设管理。依托国土空间规划和水土保持分区，建立水土保持空间管控制度，为形成预防为主、防治结合、全面监督的有效治理体系提供支撑。</w:t>
      </w:r>
    </w:p>
    <w:p w14:paraId="0B8ED79F">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default"/>
          <w:lang w:val="en-US" w:eastAsia="zh-CN"/>
        </w:rPr>
      </w:pPr>
      <w:bookmarkStart w:id="191" w:name="_Toc22060"/>
      <w:bookmarkStart w:id="192" w:name="_Toc18106"/>
      <w:bookmarkStart w:id="193" w:name="_Toc16507"/>
      <w:bookmarkStart w:id="194" w:name="_Toc8197"/>
      <w:bookmarkStart w:id="195" w:name="_Toc31830"/>
      <w:r>
        <w:rPr>
          <w:rFonts w:hint="eastAsia"/>
          <w:lang w:eastAsia="zh-CN"/>
        </w:rPr>
        <w:t>第</w:t>
      </w:r>
      <w:r>
        <w:rPr>
          <w:rFonts w:hint="eastAsia"/>
          <w:lang w:val="en-US" w:eastAsia="zh-CN"/>
        </w:rPr>
        <w:t>三</w:t>
      </w:r>
      <w:r>
        <w:rPr>
          <w:rFonts w:hint="eastAsia"/>
          <w:lang w:eastAsia="zh-CN"/>
        </w:rPr>
        <w:t>节</w:t>
      </w:r>
      <w:bookmarkEnd w:id="191"/>
      <w:bookmarkEnd w:id="192"/>
      <w:bookmarkEnd w:id="193"/>
      <w:bookmarkEnd w:id="194"/>
      <w:r>
        <w:rPr>
          <w:rFonts w:hint="eastAsia"/>
          <w:lang w:val="en-US" w:eastAsia="zh-CN"/>
        </w:rPr>
        <w:t xml:space="preserve">  推进重点河湖生态保护修复</w:t>
      </w:r>
      <w:bookmarkEnd w:id="195"/>
    </w:p>
    <w:p w14:paraId="6271BD8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坚持源头防控、过程削减、末端治理，统筹点源、面源与内源污染综合治理，以地下水超采区治理、饮用水水源地保护和灌区盐渍化治理为重点，加快建立完善跨区域、上下游、多污染协同治理机制，确保水环境质量持续改善。到2035年，境内所有入黄</w:t>
      </w:r>
      <w:r>
        <w:rPr>
          <w:rFonts w:hint="eastAsia"/>
          <w:lang w:val="en-US" w:eastAsia="zh-CN"/>
        </w:rPr>
        <w:t>支沟</w:t>
      </w:r>
      <w:r>
        <w:rPr>
          <w:rFonts w:hint="eastAsia"/>
          <w:lang w:eastAsia="zh-CN"/>
        </w:rPr>
        <w:t>排水水质全面实现达标排放。</w:t>
      </w:r>
    </w:p>
    <w:p w14:paraId="5F624FC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（一）加强饮用水水源地保护</w:t>
      </w:r>
    </w:p>
    <w:p w14:paraId="4E0B9BD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val="en-US" w:eastAsia="zh-CN"/>
        </w:rPr>
        <w:t>将落实河湖长制工作与城乡供水水源保护、水行政执法等有机结合起来，形成党政负责、水利牵头、部门协同、层层抓落实的监管体系，加强城乡供水水源保护工作。县级生态环境部门加快推进乡镇级或千人以上供水工程水源保护区划定工作，县级河长牵头，水务局监督城乡供水企业按照有关文件要求开展饮用水水源地保护巡查，健全完善水源地保护界碑、宣传栏、警示牌设置，配套完善视频监控、水源水质在线监测等设施设备配置，严查水源地“四乱”等问题，严控潜在污染隐患。</w:t>
      </w:r>
    </w:p>
    <w:p w14:paraId="6AAB288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加强柳泉水源地的保护，保证重点水源地的水质安全，提高水源的稳定性及保证率。</w:t>
      </w:r>
    </w:p>
    <w:p w14:paraId="62870C6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（二）加强灌区盐渍化治理和面源污染防治</w:t>
      </w:r>
    </w:p>
    <w:p w14:paraId="0C51B26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按照</w:t>
      </w:r>
      <w:r>
        <w:rPr>
          <w:rFonts w:hint="eastAsia"/>
          <w:lang w:val="en-US" w:eastAsia="zh-CN"/>
        </w:rPr>
        <w:t>“</w:t>
      </w:r>
      <w:r>
        <w:rPr>
          <w:rFonts w:hint="default"/>
          <w:lang w:val="en-US" w:eastAsia="zh-CN"/>
        </w:rPr>
        <w:t>控源头、畅出路、</w:t>
      </w:r>
      <w:r>
        <w:rPr>
          <w:rFonts w:hint="eastAsia"/>
          <w:lang w:val="en-US" w:eastAsia="zh-CN"/>
        </w:rPr>
        <w:t>促</w:t>
      </w:r>
      <w:r>
        <w:rPr>
          <w:rFonts w:hint="default"/>
          <w:lang w:val="en-US" w:eastAsia="zh-CN"/>
        </w:rPr>
        <w:t>调整</w:t>
      </w:r>
      <w:r>
        <w:rPr>
          <w:rFonts w:hint="eastAsia"/>
          <w:lang w:val="en-US" w:eastAsia="zh-CN"/>
        </w:rPr>
        <w:t>”</w:t>
      </w:r>
      <w:r>
        <w:rPr>
          <w:rFonts w:hint="default"/>
          <w:lang w:val="en-US" w:eastAsia="zh-CN"/>
        </w:rPr>
        <w:t>的治理思路，结合现代化生态灌区建设，控制</w:t>
      </w:r>
      <w:r>
        <w:rPr>
          <w:rFonts w:hint="eastAsia"/>
          <w:lang w:val="en-US" w:eastAsia="zh-CN"/>
        </w:rPr>
        <w:t>灌溉用水量</w:t>
      </w:r>
      <w:r>
        <w:rPr>
          <w:rFonts w:hint="default"/>
          <w:lang w:val="en-US" w:eastAsia="zh-CN"/>
        </w:rPr>
        <w:t>，对</w:t>
      </w:r>
      <w:r>
        <w:rPr>
          <w:rFonts w:hint="eastAsia"/>
          <w:lang w:val="en-US" w:eastAsia="zh-CN"/>
        </w:rPr>
        <w:t>红寺堡区</w:t>
      </w:r>
      <w:r>
        <w:rPr>
          <w:rFonts w:hint="default"/>
          <w:lang w:val="en-US" w:eastAsia="zh-CN"/>
        </w:rPr>
        <w:t>盐碱地综合治理从源头上减少地下水补给与蒸发</w:t>
      </w:r>
      <w:r>
        <w:rPr>
          <w:rFonts w:hint="eastAsia"/>
          <w:lang w:val="en-US" w:eastAsia="zh-CN"/>
        </w:rPr>
        <w:t>；</w:t>
      </w:r>
      <w:r>
        <w:rPr>
          <w:rFonts w:hint="default"/>
          <w:lang w:val="en-US" w:eastAsia="zh-CN"/>
        </w:rPr>
        <w:t xml:space="preserve">改善灌区排泄条件，合理调整灌区作物种植结构，严格控制水稻种植区域和种植面积，大力发展低耗水、高产出经济作物，加强田间管理，进行土壤改良，有效改善土壤盐渍化。 </w:t>
      </w:r>
      <w:r>
        <w:rPr>
          <w:rFonts w:hint="eastAsia"/>
          <w:lang w:val="en-US" w:eastAsia="zh-CN"/>
        </w:rPr>
        <w:t>目前</w:t>
      </w:r>
      <w:r>
        <w:rPr>
          <w:rFonts w:hint="default"/>
          <w:lang w:val="en-US" w:eastAsia="zh-CN"/>
        </w:rPr>
        <w:t>红寺堡镇及太阳山镇部分农田盐渍化严重，危害当地作物生长、阻碍农业生产的发展；造成土地资源浪费，危害生态环境。</w:t>
      </w:r>
    </w:p>
    <w:p w14:paraId="69DBF73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default"/>
          <w:lang w:val="en-US" w:eastAsia="zh-CN"/>
        </w:rPr>
        <w:t>红寺堡区土壤盐渍化问题亟需采取措施进行改善</w:t>
      </w:r>
      <w:r>
        <w:rPr>
          <w:rFonts w:hint="eastAsia"/>
          <w:lang w:val="en-US" w:eastAsia="zh-CN"/>
        </w:rPr>
        <w:t>，红寺堡区盐碱地面积约9万亩，其中大河乡盐碱地面积约3.64万亩，红寺堡镇盐碱地面积约1.83万亩，柳泉乡盐碱地面积约2.62万亩，太阳山镇盐碱地面积约0.91万亩</w:t>
      </w:r>
      <w:r>
        <w:rPr>
          <w:rFonts w:hint="default"/>
          <w:lang w:val="en-US" w:eastAsia="zh-CN"/>
        </w:rPr>
        <w:t>。</w:t>
      </w:r>
    </w:p>
    <w:p w14:paraId="08AEBA3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lang w:val="en-US" w:eastAsia="zh-CN"/>
        </w:rPr>
      </w:pPr>
      <w:r>
        <w:rPr>
          <w:rFonts w:hint="eastAsia"/>
          <w:b/>
          <w:bCs/>
          <w:lang w:val="en-US" w:eastAsia="zh-CN"/>
        </w:rPr>
        <w:t>（三）严格控制污染物入河量和面源污染防治</w:t>
      </w:r>
    </w:p>
    <w:p w14:paraId="371AC5E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val="en-US" w:eastAsia="zh-CN"/>
        </w:rPr>
        <w:t>强化入河排污总量控制。以城市建成区及重要水体为重点摸清新增市政提升泵站溢流口、农村污水处理设施尾水排放口和雨污分流雨水排放口数量、位置、排放形式等，动态更新入河（湖、沟）排污口名录，全面开展入河（湖）排污口监测、溯源工作，实施排污口规范化建设，确保红寺堡区重点河流湖泊国考断面、县界断面水质达标率普遍达到或优于考核指标，黄河干流进出县界断面水质同类进、同类出。基本消除城市建成区黑臭水体。加快推进工业企 业分类聚集、入园管理，强化工业园区废污水达标排放。持续建设城镇污水处理设施和中水回用设施，控制农村生活及畜禽养殖等面源污染。</w:t>
      </w:r>
    </w:p>
    <w:p w14:paraId="22B7076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val="en-US" w:eastAsia="zh-CN"/>
        </w:rPr>
        <w:t>近期规划主要解决红寺堡区各中心乡镇政府所在区域、罗山自然保护区周边、清水河沿岸等生态环境较为敏感区域，需要优先治理的村庄。红寺堡区农村生活污水治理项目新建末端污水处理设施（集中式）34个，新建设施覆盖总户数24670户，接入城镇或已建成的农村生活污水处理设施农户6322户，需敷设生活污水筹集管网350km。</w:t>
      </w:r>
    </w:p>
    <w:p w14:paraId="1AAE9D6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val="en-US" w:eastAsia="zh-CN"/>
        </w:rPr>
        <w:t>远期规划农村生活污水处理设施全覆盖，以自然村为单位规划建设进程。规划至2030年，新建处理设施（集中式）31个，新建设施覆盖总户数24670户，需敷设生活污水筹集管网285km。</w:t>
      </w:r>
    </w:p>
    <w:p w14:paraId="22958343">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cs="仿宋_GB2312"/>
          <w:b/>
          <w:bCs/>
          <w:color w:val="auto"/>
          <w:lang w:val="en-US" w:eastAsia="zh-CN"/>
        </w:rPr>
        <w:t>四</w:t>
      </w:r>
      <w:r>
        <w:rPr>
          <w:rFonts w:hint="eastAsia" w:ascii="仿宋_GB2312" w:hAnsi="仿宋_GB2312" w:eastAsia="仿宋_GB2312" w:cs="仿宋_GB2312"/>
          <w:b/>
          <w:bCs/>
          <w:color w:val="auto"/>
          <w:lang w:eastAsia="zh-CN"/>
        </w:rPr>
        <w:t>）开展农村水系“清四乱”行动</w:t>
      </w:r>
    </w:p>
    <w:p w14:paraId="10431FC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积极开展“清四乱”等专项整治行动，逐步退还农村河库塘渠水域生态空间；对河道内阻水的淤泥、砂石、垃圾等进行清除，疏通河道，修复河流空间，提高行洪排涝能力，增强水体流动性。本次规划涉及河道多穿行于乡镇、村庄之间，河槽内多向河道内倾倒废弃物、垃圾，侵占河道行洪断面。</w:t>
      </w:r>
    </w:p>
    <w:p w14:paraId="6572CAF9">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cs="仿宋_GB2312"/>
          <w:b/>
          <w:bCs/>
          <w:color w:val="auto"/>
          <w:lang w:val="en-US" w:eastAsia="zh-CN"/>
        </w:rPr>
        <w:t>五</w:t>
      </w:r>
      <w:r>
        <w:rPr>
          <w:rFonts w:hint="eastAsia" w:ascii="仿宋_GB2312" w:hAnsi="仿宋_GB2312" w:eastAsia="仿宋_GB2312" w:cs="仿宋_GB2312"/>
          <w:b/>
          <w:bCs/>
          <w:color w:val="auto"/>
          <w:lang w:eastAsia="zh-CN"/>
        </w:rPr>
        <w:t>）实施幸福河湖建设</w:t>
      </w:r>
    </w:p>
    <w:p w14:paraId="36A8B1E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通过水系连通、岸坡治理、河道清障、清淤疏浚、水源涵养、水土保持、防污控污和河道管护等措施，进一步优化河流空间形态，逐步恢复、优化农村河湖水系布局，盘活农村河湖水体，形成蓝绿空间错落有致、岸坡稳定整洁的美丽河湖生态空间体系。</w:t>
      </w:r>
    </w:p>
    <w:p w14:paraId="7CD0CE0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val="en-US" w:eastAsia="zh-CN"/>
        </w:rPr>
      </w:pPr>
      <w:r>
        <w:rPr>
          <w:rFonts w:hint="eastAsia"/>
          <w:lang w:val="en-US" w:eastAsia="zh-CN"/>
        </w:rPr>
        <w:t>选取红寺堡区穿越村庄的沟道，对沟道穿越村庄段进行综合治理，包括道路硬化、村庄段加设路灯及绿化，使流域内的水土资源得到有效保护、合理配置和高效利用，达到改善生态，保护水源，营造优美的人居环境，提高老百姓的生产生活质量。</w:t>
      </w:r>
    </w:p>
    <w:p w14:paraId="00CBC9B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default"/>
          <w:lang w:val="en-US" w:eastAsia="zh-CN"/>
        </w:rPr>
      </w:pPr>
      <w:r>
        <w:rPr>
          <w:rFonts w:hint="eastAsia"/>
          <w:lang w:val="en-US" w:eastAsia="zh-CN"/>
        </w:rPr>
        <w:t>红寺堡区清洁型小流域治理规划沟道12条，主要为周新庄沟、羊坊滩沟、王户台沟、水套西沟、杨目沟、干井子沟、小甜水河、红石坡子沟、张家沟、苦豆子台沟、碱井子沟、单阴洞沟等。</w:t>
      </w:r>
    </w:p>
    <w:p w14:paraId="52EF3A29">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bookmarkStart w:id="196" w:name="_Toc27016"/>
      <w:bookmarkStart w:id="197" w:name="_Toc31614"/>
      <w:bookmarkStart w:id="198" w:name="_Toc15030"/>
      <w:bookmarkStart w:id="199" w:name="_Toc22621"/>
      <w:r>
        <w:rPr>
          <w:rFonts w:hint="eastAsia" w:ascii="仿宋_GB2312" w:hAnsi="仿宋_GB2312" w:eastAsia="仿宋_GB2312" w:cs="仿宋_GB2312"/>
          <w:b/>
          <w:bCs/>
          <w:color w:val="auto"/>
          <w:lang w:eastAsia="zh-CN"/>
        </w:rPr>
        <w:t>（</w:t>
      </w:r>
      <w:r>
        <w:rPr>
          <w:rFonts w:hint="eastAsia" w:ascii="仿宋_GB2312" w:hAnsi="仿宋_GB2312" w:cs="仿宋_GB2312"/>
          <w:b/>
          <w:bCs/>
          <w:color w:val="auto"/>
          <w:lang w:val="en-US" w:eastAsia="zh-CN"/>
        </w:rPr>
        <w:t>六</w:t>
      </w:r>
      <w:r>
        <w:rPr>
          <w:rFonts w:hint="eastAsia" w:ascii="仿宋_GB2312" w:hAnsi="仿宋_GB2312" w:eastAsia="仿宋_GB2312" w:cs="仿宋_GB2312"/>
          <w:b/>
          <w:bCs/>
          <w:color w:val="auto"/>
          <w:lang w:eastAsia="zh-CN"/>
        </w:rPr>
        <w:t>）加强农村水环境综合治理。</w:t>
      </w:r>
    </w:p>
    <w:p w14:paraId="1ECB578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以乡域为单元、河流为脉络、村庄为节点，全面实施清淤疏浚、岸坡整治、水源涵养与水土保持等措施，加强乡村振兴水利保障。开展水系连通及水美乡村建设，提高农村水系防洪、排涝、灌溉、供水、生态功能，推进巩固拓展脱贫攻坚成果同乡村振兴有效衔接。结合美丽乡村建设和农村厕所革命，完善村镇污水收集处理设施、清理农村河流水草及岸坡杂物、构建滨水植被群落，减少入河湖污染物，改善水体环境，营造安全、生态、美丽农村水系。</w:t>
      </w:r>
    </w:p>
    <w:p w14:paraId="66EB5FA9">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lang w:eastAsia="zh-CN"/>
        </w:rPr>
      </w:pPr>
      <w:bookmarkStart w:id="200" w:name="_Toc466"/>
    </w:p>
    <w:p w14:paraId="77123D44">
      <w:pPr>
        <w:pStyle w:val="3"/>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lang w:eastAsia="zh-CN"/>
        </w:rPr>
      </w:pPr>
      <w:r>
        <w:rPr>
          <w:rFonts w:hint="eastAsia"/>
          <w:lang w:eastAsia="zh-CN"/>
        </w:rPr>
        <w:t>第</w:t>
      </w:r>
      <w:r>
        <w:rPr>
          <w:rFonts w:hint="eastAsia"/>
          <w:lang w:val="en-US" w:eastAsia="zh-CN"/>
        </w:rPr>
        <w:t>四</w:t>
      </w:r>
      <w:r>
        <w:rPr>
          <w:rFonts w:hint="eastAsia"/>
          <w:lang w:eastAsia="zh-CN"/>
        </w:rPr>
        <w:t>节</w:t>
      </w:r>
      <w:r>
        <w:rPr>
          <w:rFonts w:hint="eastAsia"/>
          <w:lang w:val="en-US" w:eastAsia="zh-CN"/>
        </w:rPr>
        <w:t xml:space="preserve">  </w:t>
      </w:r>
      <w:r>
        <w:rPr>
          <w:rFonts w:hint="eastAsia"/>
          <w:lang w:eastAsia="zh-CN"/>
        </w:rPr>
        <w:t>加强水文化建设</w:t>
      </w:r>
      <w:bookmarkEnd w:id="196"/>
      <w:bookmarkEnd w:id="197"/>
      <w:bookmarkEnd w:id="198"/>
      <w:bookmarkEnd w:id="199"/>
      <w:bookmarkEnd w:id="200"/>
    </w:p>
    <w:p w14:paraId="57B52DD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积极搜集整理红寺堡区历史轶事、风土人情，运用各类新闻媒体和宣传文化阵地，加大对</w:t>
      </w:r>
      <w:r>
        <w:rPr>
          <w:rFonts w:hint="eastAsia"/>
          <w:lang w:val="en-US" w:eastAsia="zh-CN"/>
        </w:rPr>
        <w:t>扬</w:t>
      </w:r>
      <w:r>
        <w:rPr>
          <w:rFonts w:hint="eastAsia"/>
          <w:lang w:eastAsia="zh-CN"/>
        </w:rPr>
        <w:t>黄灌区文化的宣传教育，打造水文化、水资源宣传教育基地。</w:t>
      </w:r>
    </w:p>
    <w:p w14:paraId="31DB63F2">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一</w:t>
      </w:r>
      <w:r>
        <w:rPr>
          <w:rFonts w:hint="eastAsia" w:ascii="仿宋_GB2312" w:hAnsi="仿宋_GB2312" w:eastAsia="仿宋_GB2312" w:cs="仿宋_GB2312"/>
          <w:b/>
          <w:bCs/>
          <w:color w:val="auto"/>
          <w:lang w:eastAsia="zh-CN"/>
        </w:rPr>
        <w:t>）推进水文化和旅游融合发展。</w:t>
      </w:r>
    </w:p>
    <w:p w14:paraId="6464D5A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建设清水河、苦水河、红柳沟、红三干渠和红四干渠等河流文化纽带，展现河湖治理成效，打造示范美丽河湖；以反映生态移民“水随人走”的宁夏扬黄灌溉史为主线，反映生态移民脱贫史为主题，打造中部干旱带水文化传承和教育的人文基地；结合乡村振兴战略和清洁型小流域建设，建设一批具有水利风景、水文化传承特点的水美休闲乡村，推动水生态和休闲农业、乡村旅游融合发展，培育新型文旅业态，以弘德村为核心，培育创建红色乡村、移民文化研学基地，整合宁夏移民博物馆、移民旧址、移民文化园、红三泵站、“1236”总指挥部旧址等资源，</w:t>
      </w:r>
      <w:r>
        <w:rPr>
          <w:rFonts w:hint="eastAsia"/>
          <w:lang w:val="en-US" w:eastAsia="zh-CN"/>
        </w:rPr>
        <w:t>将</w:t>
      </w:r>
      <w:r>
        <w:rPr>
          <w:rFonts w:hint="eastAsia"/>
          <w:lang w:eastAsia="zh-CN"/>
        </w:rPr>
        <w:t>宁夏移民博物馆、“1236”指挥部旧址等旅游景点纳入自治区全域旅游规划，</w:t>
      </w:r>
      <w:r>
        <w:rPr>
          <w:rFonts w:hint="eastAsia"/>
          <w:lang w:val="en-US" w:eastAsia="zh-CN"/>
        </w:rPr>
        <w:t>目前</w:t>
      </w:r>
      <w:r>
        <w:rPr>
          <w:rFonts w:hint="eastAsia"/>
          <w:lang w:eastAsia="zh-CN"/>
        </w:rPr>
        <w:t>弘德村、永新村入选全国乡村旅游重点村和宁夏特色旅游村，城乡面貌焕然一新。</w:t>
      </w:r>
    </w:p>
    <w:p w14:paraId="28171314">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二</w:t>
      </w:r>
      <w:r>
        <w:rPr>
          <w:rFonts w:hint="eastAsia" w:ascii="仿宋_GB2312" w:hAnsi="仿宋_GB2312" w:eastAsia="仿宋_GB2312" w:cs="仿宋_GB2312"/>
          <w:b/>
          <w:bCs/>
          <w:color w:val="auto"/>
          <w:lang w:eastAsia="zh-CN"/>
        </w:rPr>
        <w:t>）宣传水利行业精神，细化行业标准。</w:t>
      </w:r>
    </w:p>
    <w:p w14:paraId="79691BB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通过媒体宣传、专题讲座等形式，使干部职工熟知忠诚、干净、担当、科学、求实、创新的水利行业精神和“除害兴利、造福民生、人水和谐、确保安全”的水利行业核心价值观，全面了解其基本内涵和文化根基，成为自觉的实践者。</w:t>
      </w:r>
    </w:p>
    <w:p w14:paraId="5FDF03C1">
      <w:pPr>
        <w:keepNext w:val="0"/>
        <w:keepLines w:val="0"/>
        <w:pageBreakBefore w:val="0"/>
        <w:widowControl w:val="0"/>
        <w:kinsoku/>
        <w:wordWrap/>
        <w:overflowPunct w:val="0"/>
        <w:topLinePunct w:val="0"/>
        <w:autoSpaceDE w:val="0"/>
        <w:autoSpaceDN w:val="0"/>
        <w:bidi w:val="0"/>
        <w:adjustRightInd w:val="0"/>
        <w:snapToGrid w:val="0"/>
        <w:ind w:firstLine="560"/>
        <w:jc w:val="both"/>
        <w:textAlignment w:val="baseline"/>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三</w:t>
      </w:r>
      <w:r>
        <w:rPr>
          <w:rFonts w:hint="eastAsia" w:ascii="仿宋_GB2312" w:hAnsi="仿宋_GB2312" w:eastAsia="仿宋_GB2312" w:cs="仿宋_GB2312"/>
          <w:b/>
          <w:bCs/>
          <w:color w:val="auto"/>
          <w:lang w:eastAsia="zh-CN"/>
        </w:rPr>
        <w:t>）推进水文化建设实践。</w:t>
      </w:r>
    </w:p>
    <w:p w14:paraId="4D9CF1B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充分利用图书馆、博物馆、科技馆、文化馆、美术馆等公共设施建立水生态教育基地与水生态文化平台，调动全民参与水生态文化建设的热情，传递水文化建设的正能量。建立红寺堡区水工程与水文化有机融合典型案例展示评比机制，充分发挥各类涉水工程设施对水文化的宣传作用。</w:t>
      </w:r>
    </w:p>
    <w:p w14:paraId="65441B0A">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641499C0">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769B258">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0B5DBA52">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4D1A44A7">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67ABB27B">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191178B1">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DFFE767">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0144FA15">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0108AAF0">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1FF1BF40">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57C3E0C4">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4A7337FC">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32DB7B02">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FCD04AA">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8F6FF56">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5C6C9E65">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19635882">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6CA476A7">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18713B88">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5CD10B1">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08AB5ACA">
      <w:pPr>
        <w:keepNext w:val="0"/>
        <w:keepLines w:val="0"/>
        <w:pageBreakBefore w:val="0"/>
        <w:widowControl w:val="0"/>
        <w:kinsoku/>
        <w:wordWrap/>
        <w:overflowPunct w:val="0"/>
        <w:topLinePunct w:val="0"/>
        <w:autoSpaceDE w:val="0"/>
        <w:autoSpaceDN w:val="0"/>
        <w:bidi w:val="0"/>
        <w:adjustRightInd w:val="0"/>
        <w:snapToGrid w:val="0"/>
        <w:jc w:val="center"/>
        <w:rPr>
          <w:rFonts w:hint="eastAsia" w:ascii="黑体" w:hAnsi="黑体" w:eastAsia="黑体" w:cs="黑体"/>
          <w:b/>
          <w:bCs/>
          <w:sz w:val="28"/>
          <w:szCs w:val="28"/>
          <w:lang w:eastAsia="zh-CN"/>
        </w:rPr>
      </w:pPr>
      <w:bookmarkStart w:id="201" w:name="_Toc15592"/>
      <w:bookmarkStart w:id="202" w:name="_Toc14652"/>
      <w:bookmarkStart w:id="203" w:name="_Toc20786"/>
      <w:bookmarkStart w:id="204" w:name="_Toc1141"/>
      <w:bookmarkStart w:id="205" w:name="_Toc16991"/>
      <w:bookmarkStart w:id="206" w:name="_Toc12407"/>
      <w:bookmarkStart w:id="207" w:name="_Toc19970"/>
      <w:r>
        <w:rPr>
          <w:rFonts w:hint="eastAsia" w:ascii="黑体" w:hAnsi="黑体" w:eastAsia="黑体" w:cs="黑体"/>
          <w:b/>
          <w:bCs/>
          <w:sz w:val="28"/>
          <w:szCs w:val="28"/>
          <w:lang w:val="en-US" w:eastAsia="zh-CN"/>
        </w:rPr>
        <w:t>专栏5 河湖生态保护网建设任务</w:t>
      </w:r>
      <w:bookmarkEnd w:id="201"/>
      <w:bookmarkEnd w:id="202"/>
      <w:bookmarkEnd w:id="203"/>
      <w:bookmarkEnd w:id="204"/>
      <w:bookmarkEnd w:id="205"/>
      <w:bookmarkEnd w:id="206"/>
      <w:bookmarkEnd w:id="207"/>
    </w:p>
    <w:tbl>
      <w:tblPr>
        <w:tblStyle w:val="21"/>
        <w:tblW w:w="8552"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552"/>
      </w:tblGrid>
      <w:tr w14:paraId="5930E84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1341" w:hRule="atLeast"/>
        </w:trPr>
        <w:tc>
          <w:tcPr>
            <w:tcW w:w="8552" w:type="dxa"/>
          </w:tcPr>
          <w:p w14:paraId="5DCE61E0">
            <w:pPr>
              <w:pStyle w:val="22"/>
              <w:keepNext w:val="0"/>
              <w:keepLines w:val="0"/>
              <w:pageBreakBefore w:val="0"/>
              <w:widowControl w:val="0"/>
              <w:kinsoku/>
              <w:wordWrap/>
              <w:overflowPunct w:val="0"/>
              <w:topLinePunct w:val="0"/>
              <w:autoSpaceDE w:val="0"/>
              <w:autoSpaceDN w:val="0"/>
              <w:bidi w:val="0"/>
              <w:adjustRightInd w:val="0"/>
              <w:snapToGrid w:val="0"/>
              <w:jc w:val="left"/>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b/>
                <w:bCs/>
                <w:color w:val="auto"/>
                <w:sz w:val="32"/>
                <w:szCs w:val="32"/>
                <w:lang w:eastAsia="zh-CN"/>
              </w:rPr>
              <w:t>1.幸福</w:t>
            </w:r>
            <w:r>
              <w:rPr>
                <w:rFonts w:hint="eastAsia" w:ascii="方正仿宋_GB2312" w:hAnsi="方正仿宋_GB2312" w:cs="方正仿宋_GB2312"/>
                <w:b/>
                <w:bCs/>
                <w:color w:val="auto"/>
                <w:sz w:val="32"/>
                <w:szCs w:val="32"/>
                <w:lang w:val="en-US" w:eastAsia="zh-CN"/>
              </w:rPr>
              <w:t>河湖</w:t>
            </w:r>
            <w:r>
              <w:rPr>
                <w:rFonts w:hint="eastAsia" w:ascii="方正仿宋_GB2312" w:hAnsi="方正仿宋_GB2312" w:eastAsia="方正仿宋_GB2312" w:cs="方正仿宋_GB2312"/>
                <w:b/>
                <w:bCs/>
                <w:color w:val="auto"/>
                <w:sz w:val="32"/>
                <w:szCs w:val="32"/>
                <w:lang w:eastAsia="zh-CN"/>
              </w:rPr>
              <w:t>建设。</w:t>
            </w:r>
            <w:r>
              <w:rPr>
                <w:rFonts w:hint="eastAsia" w:ascii="方正仿宋_GB2312" w:hAnsi="方正仿宋_GB2312" w:eastAsia="方正仿宋_GB2312" w:cs="方正仿宋_GB2312"/>
                <w:color w:val="auto"/>
                <w:sz w:val="32"/>
                <w:szCs w:val="32"/>
                <w:lang w:eastAsia="zh-CN"/>
              </w:rPr>
              <w:t>以流域为单元，强化重点河流综合治理、系统治理、源头治理，实施清水河、苦水河综合治理工程，</w:t>
            </w:r>
            <w:r>
              <w:rPr>
                <w:rFonts w:hint="eastAsia" w:ascii="方正仿宋_GB2312" w:hAnsi="方正仿宋_GB2312" w:eastAsia="方正仿宋_GB2312" w:cs="方正仿宋_GB2312"/>
                <w:color w:val="auto"/>
                <w:sz w:val="32"/>
                <w:szCs w:val="32"/>
                <w:lang w:val="en-US" w:eastAsia="zh-CN"/>
              </w:rPr>
              <w:t>实施</w:t>
            </w:r>
            <w:r>
              <w:rPr>
                <w:rFonts w:hint="eastAsia" w:ascii="方正仿宋_GB2312" w:hAnsi="方正仿宋_GB2312" w:eastAsia="方正仿宋_GB2312" w:cs="方正仿宋_GB2312"/>
                <w:color w:val="auto"/>
                <w:sz w:val="32"/>
                <w:szCs w:val="32"/>
                <w:lang w:eastAsia="zh-CN"/>
              </w:rPr>
              <w:t>红柳沟、</w:t>
            </w:r>
            <w:r>
              <w:rPr>
                <w:rFonts w:hint="eastAsia" w:ascii="方正仿宋_GB2312" w:hAnsi="方正仿宋_GB2312" w:eastAsia="方正仿宋_GB2312" w:cs="方正仿宋_GB2312"/>
                <w:color w:val="auto"/>
                <w:sz w:val="32"/>
                <w:szCs w:val="32"/>
                <w:lang w:val="en-US" w:eastAsia="zh-CN"/>
              </w:rPr>
              <w:t>碱水沟</w:t>
            </w:r>
            <w:r>
              <w:rPr>
                <w:rFonts w:hint="eastAsia" w:ascii="方正仿宋_GB2312" w:hAnsi="方正仿宋_GB2312" w:eastAsia="方正仿宋_GB2312" w:cs="方正仿宋_GB2312"/>
                <w:color w:val="auto"/>
                <w:sz w:val="32"/>
                <w:szCs w:val="32"/>
                <w:lang w:eastAsia="zh-CN"/>
              </w:rPr>
              <w:t>河流生态缓冲带建设、流域水环境综合治理等措施。</w:t>
            </w:r>
          </w:p>
          <w:p w14:paraId="3D80E84A">
            <w:pPr>
              <w:pStyle w:val="22"/>
              <w:keepNext w:val="0"/>
              <w:keepLines w:val="0"/>
              <w:pageBreakBefore w:val="0"/>
              <w:widowControl w:val="0"/>
              <w:kinsoku/>
              <w:wordWrap/>
              <w:overflowPunct w:val="0"/>
              <w:topLinePunct w:val="0"/>
              <w:autoSpaceDE w:val="0"/>
              <w:autoSpaceDN w:val="0"/>
              <w:bidi w:val="0"/>
              <w:adjustRightInd w:val="0"/>
              <w:snapToGrid w:val="0"/>
              <w:jc w:val="left"/>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b/>
                <w:bCs/>
                <w:color w:val="auto"/>
                <w:sz w:val="32"/>
                <w:szCs w:val="32"/>
                <w:lang w:val="en-US" w:eastAsia="zh-CN"/>
              </w:rPr>
              <w:t>2</w:t>
            </w:r>
            <w:r>
              <w:rPr>
                <w:rFonts w:hint="eastAsia" w:ascii="方正仿宋_GB2312" w:hAnsi="方正仿宋_GB2312" w:eastAsia="方正仿宋_GB2312" w:cs="方正仿宋_GB2312"/>
                <w:b/>
                <w:bCs/>
                <w:color w:val="auto"/>
                <w:sz w:val="32"/>
                <w:szCs w:val="32"/>
                <w:lang w:eastAsia="zh-CN"/>
              </w:rPr>
              <w:t>.水源涵养与水土保持综合治理。</w:t>
            </w:r>
            <w:r>
              <w:rPr>
                <w:rFonts w:hint="eastAsia" w:ascii="方正仿宋_GB2312" w:hAnsi="方正仿宋_GB2312" w:eastAsia="方正仿宋_GB2312" w:cs="方正仿宋_GB2312"/>
                <w:color w:val="auto"/>
                <w:sz w:val="32"/>
                <w:szCs w:val="32"/>
                <w:lang w:eastAsia="zh-CN"/>
              </w:rPr>
              <w:t>实施</w:t>
            </w:r>
            <w:r>
              <w:rPr>
                <w:rFonts w:hint="eastAsia" w:ascii="方正仿宋_GB2312" w:hAnsi="方正仿宋_GB2312" w:eastAsia="方正仿宋_GB2312" w:cs="方正仿宋_GB2312"/>
                <w:color w:val="auto"/>
                <w:sz w:val="32"/>
                <w:szCs w:val="32"/>
                <w:lang w:val="en-US" w:eastAsia="zh-CN"/>
              </w:rPr>
              <w:t>罗</w:t>
            </w:r>
            <w:r>
              <w:rPr>
                <w:rFonts w:hint="eastAsia" w:ascii="方正仿宋_GB2312" w:hAnsi="方正仿宋_GB2312" w:eastAsia="方正仿宋_GB2312" w:cs="方正仿宋_GB2312"/>
                <w:color w:val="auto"/>
                <w:sz w:val="32"/>
                <w:szCs w:val="32"/>
                <w:lang w:eastAsia="zh-CN"/>
              </w:rPr>
              <w:t>山生态修复与综合治理工程，完善水土流失综合防治体系。</w:t>
            </w:r>
            <w:r>
              <w:rPr>
                <w:rFonts w:hint="eastAsia"/>
                <w:sz w:val="32"/>
                <w:szCs w:val="32"/>
                <w:lang w:eastAsia="zh-CN"/>
              </w:rPr>
              <w:t>规划对水土流失治理进行查漏补缺，除不能治理的风化 页岩裸露面、陡崖、盐碱化沟道等外，其他水土流失面积应治尽治。新增治理水 土流失面积15km²。</w:t>
            </w:r>
          </w:p>
          <w:p w14:paraId="4B4A6997">
            <w:pPr>
              <w:pStyle w:val="22"/>
              <w:keepNext w:val="0"/>
              <w:keepLines w:val="0"/>
              <w:pageBreakBefore w:val="0"/>
              <w:widowControl w:val="0"/>
              <w:kinsoku/>
              <w:wordWrap/>
              <w:overflowPunct w:val="0"/>
              <w:topLinePunct w:val="0"/>
              <w:autoSpaceDE w:val="0"/>
              <w:autoSpaceDN w:val="0"/>
              <w:bidi w:val="0"/>
              <w:adjustRightInd w:val="0"/>
              <w:snapToGrid w:val="0"/>
              <w:jc w:val="left"/>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b/>
                <w:bCs/>
                <w:color w:val="auto"/>
                <w:sz w:val="32"/>
                <w:szCs w:val="32"/>
                <w:lang w:val="en-US" w:eastAsia="zh-CN"/>
              </w:rPr>
              <w:t>3</w:t>
            </w:r>
            <w:r>
              <w:rPr>
                <w:rFonts w:hint="eastAsia" w:ascii="方正仿宋_GB2312" w:hAnsi="方正仿宋_GB2312" w:eastAsia="方正仿宋_GB2312" w:cs="方正仿宋_GB2312"/>
                <w:b/>
                <w:bCs/>
                <w:color w:val="auto"/>
                <w:sz w:val="32"/>
                <w:szCs w:val="32"/>
                <w:lang w:eastAsia="zh-CN"/>
              </w:rPr>
              <w:t>.地下水超采区治理。</w:t>
            </w:r>
            <w:r>
              <w:rPr>
                <w:rFonts w:hint="eastAsia" w:ascii="方正仿宋_GB2312" w:hAnsi="方正仿宋_GB2312" w:eastAsia="方正仿宋_GB2312" w:cs="方正仿宋_GB2312"/>
                <w:color w:val="auto"/>
                <w:sz w:val="32"/>
                <w:szCs w:val="32"/>
                <w:lang w:eastAsia="zh-CN"/>
              </w:rPr>
              <w:t>实施罗山地下水井关停整治工程，替换超采区供水水源，完善地下水开采区监测预警体系。</w:t>
            </w:r>
          </w:p>
          <w:p w14:paraId="04199CDE">
            <w:pPr>
              <w:pStyle w:val="22"/>
              <w:keepNext w:val="0"/>
              <w:keepLines w:val="0"/>
              <w:pageBreakBefore w:val="0"/>
              <w:widowControl w:val="0"/>
              <w:kinsoku/>
              <w:wordWrap/>
              <w:overflowPunct w:val="0"/>
              <w:topLinePunct w:val="0"/>
              <w:autoSpaceDE w:val="0"/>
              <w:autoSpaceDN w:val="0"/>
              <w:bidi w:val="0"/>
              <w:adjustRightInd w:val="0"/>
              <w:snapToGrid w:val="0"/>
              <w:jc w:val="left"/>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b/>
                <w:bCs/>
                <w:color w:val="auto"/>
                <w:sz w:val="32"/>
                <w:szCs w:val="32"/>
                <w:lang w:val="en-US" w:eastAsia="zh-CN"/>
              </w:rPr>
              <w:t>4</w:t>
            </w:r>
            <w:r>
              <w:rPr>
                <w:rFonts w:hint="eastAsia" w:ascii="方正仿宋_GB2312" w:hAnsi="方正仿宋_GB2312" w:eastAsia="方正仿宋_GB2312" w:cs="方正仿宋_GB2312"/>
                <w:b/>
                <w:bCs/>
                <w:color w:val="auto"/>
                <w:sz w:val="32"/>
                <w:szCs w:val="32"/>
                <w:lang w:eastAsia="zh-CN"/>
              </w:rPr>
              <w:t>.推进灌区盐渍化治理和面源污染防治。</w:t>
            </w:r>
            <w:r>
              <w:rPr>
                <w:rFonts w:hint="eastAsia" w:ascii="方正仿宋_GB2312" w:hAnsi="方正仿宋_GB2312" w:eastAsia="方正仿宋_GB2312" w:cs="方正仿宋_GB2312"/>
                <w:color w:val="auto"/>
                <w:sz w:val="32"/>
                <w:szCs w:val="32"/>
                <w:lang w:val="en-US" w:eastAsia="zh-CN"/>
              </w:rPr>
              <w:t>推进</w:t>
            </w:r>
            <w:r>
              <w:rPr>
                <w:rFonts w:hint="default" w:ascii="方正仿宋_GB2312" w:hAnsi="方正仿宋_GB2312" w:eastAsia="方正仿宋_GB2312" w:cs="方正仿宋_GB2312"/>
                <w:color w:val="auto"/>
                <w:sz w:val="32"/>
                <w:szCs w:val="32"/>
                <w:lang w:val="en-US" w:eastAsia="zh-CN"/>
              </w:rPr>
              <w:t>红寺堡区土壤盐渍化</w:t>
            </w:r>
            <w:r>
              <w:rPr>
                <w:rFonts w:hint="eastAsia" w:ascii="方正仿宋_GB2312" w:hAnsi="方正仿宋_GB2312" w:eastAsia="方正仿宋_GB2312" w:cs="方正仿宋_GB2312"/>
                <w:color w:val="auto"/>
                <w:sz w:val="32"/>
                <w:szCs w:val="32"/>
                <w:lang w:val="en-US" w:eastAsia="zh-CN"/>
              </w:rPr>
              <w:t>治</w:t>
            </w:r>
            <w:r>
              <w:rPr>
                <w:rFonts w:hint="eastAsia"/>
                <w:sz w:val="32"/>
                <w:szCs w:val="32"/>
                <w:lang w:val="en-US" w:eastAsia="zh-CN"/>
              </w:rPr>
              <w:t>理工程，</w:t>
            </w:r>
            <w:r>
              <w:rPr>
                <w:rFonts w:hint="default"/>
                <w:sz w:val="32"/>
                <w:szCs w:val="32"/>
                <w:lang w:val="en-US" w:eastAsia="zh-CN"/>
              </w:rPr>
              <w:t>采取措施</w:t>
            </w:r>
            <w:r>
              <w:rPr>
                <w:rFonts w:hint="eastAsia"/>
                <w:sz w:val="32"/>
                <w:szCs w:val="32"/>
                <w:lang w:val="en-US" w:eastAsia="zh-CN"/>
              </w:rPr>
              <w:t>对红寺堡区约9万亩盐碱地</w:t>
            </w:r>
            <w:r>
              <w:rPr>
                <w:rFonts w:hint="default"/>
                <w:sz w:val="32"/>
                <w:szCs w:val="32"/>
                <w:lang w:val="en-US" w:eastAsia="zh-CN"/>
              </w:rPr>
              <w:t>进行改善</w:t>
            </w:r>
            <w:r>
              <w:rPr>
                <w:rFonts w:hint="eastAsia" w:ascii="方正仿宋_GB2312" w:hAnsi="方正仿宋_GB2312" w:eastAsia="方正仿宋_GB2312" w:cs="方正仿宋_GB2312"/>
                <w:color w:val="auto"/>
                <w:sz w:val="32"/>
                <w:szCs w:val="32"/>
                <w:lang w:eastAsia="zh-CN"/>
              </w:rPr>
              <w:t>。</w:t>
            </w:r>
          </w:p>
          <w:p w14:paraId="2CA1B788">
            <w:pPr>
              <w:pStyle w:val="22"/>
              <w:keepNext w:val="0"/>
              <w:keepLines w:val="0"/>
              <w:pageBreakBefore w:val="0"/>
              <w:widowControl w:val="0"/>
              <w:kinsoku/>
              <w:wordWrap/>
              <w:overflowPunct w:val="0"/>
              <w:topLinePunct w:val="0"/>
              <w:autoSpaceDE w:val="0"/>
              <w:autoSpaceDN w:val="0"/>
              <w:bidi w:val="0"/>
              <w:adjustRightInd w:val="0"/>
              <w:snapToGrid w:val="0"/>
              <w:spacing w:after="0" w:line="400" w:lineRule="exact"/>
              <w:jc w:val="both"/>
              <w:textAlignment w:val="baseline"/>
              <w:rPr>
                <w:rFonts w:hint="eastAsia"/>
                <w:sz w:val="36"/>
                <w:szCs w:val="36"/>
                <w:lang w:val="en-US" w:eastAsia="zh-CN"/>
              </w:rPr>
            </w:pPr>
            <w:r>
              <w:rPr>
                <w:rFonts w:hint="eastAsia" w:ascii="方正仿宋_GB2312" w:hAnsi="方正仿宋_GB2312" w:eastAsia="方正仿宋_GB2312" w:cs="方正仿宋_GB2312"/>
                <w:b/>
                <w:bCs/>
                <w:color w:val="auto"/>
                <w:sz w:val="32"/>
                <w:szCs w:val="32"/>
                <w:lang w:val="en-US" w:eastAsia="zh-CN"/>
              </w:rPr>
              <w:t>5.水系连通及水美乡村建设。</w:t>
            </w:r>
            <w:r>
              <w:rPr>
                <w:rFonts w:hint="eastAsia" w:ascii="方正仿宋_GB2312" w:hAnsi="方正仿宋_GB2312" w:eastAsia="方正仿宋_GB2312" w:cs="方正仿宋_GB2312"/>
                <w:color w:val="auto"/>
                <w:sz w:val="32"/>
                <w:szCs w:val="32"/>
                <w:lang w:val="en-US" w:eastAsia="zh-CN"/>
              </w:rPr>
              <w:t>实施</w:t>
            </w:r>
            <w:r>
              <w:rPr>
                <w:rFonts w:hint="eastAsia" w:ascii="方正仿宋_GB2312" w:hAnsi="方正仿宋_GB2312" w:cs="方正仿宋_GB2312"/>
                <w:color w:val="auto"/>
                <w:sz w:val="32"/>
                <w:szCs w:val="32"/>
                <w:lang w:val="en-US" w:eastAsia="zh-CN"/>
              </w:rPr>
              <w:t>红寺堡区</w:t>
            </w:r>
            <w:r>
              <w:rPr>
                <w:rFonts w:hint="eastAsia" w:ascii="方正仿宋_GB2312" w:hAnsi="方正仿宋_GB2312" w:eastAsia="方正仿宋_GB2312" w:cs="方正仿宋_GB2312"/>
                <w:color w:val="auto"/>
                <w:sz w:val="32"/>
                <w:szCs w:val="32"/>
                <w:lang w:val="en-US" w:eastAsia="zh-CN"/>
              </w:rPr>
              <w:t>水系及水美乡村建设，</w:t>
            </w:r>
            <w:r>
              <w:rPr>
                <w:rFonts w:hint="default" w:ascii="方正仿宋_GB2312" w:hAnsi="方正仿宋_GB2312" w:eastAsia="方正仿宋_GB2312" w:cs="方正仿宋_GB2312"/>
                <w:color w:val="auto"/>
                <w:sz w:val="32"/>
                <w:szCs w:val="32"/>
                <w:lang w:val="en-US" w:eastAsia="zh-CN"/>
              </w:rPr>
              <w:t>实施范围包括</w:t>
            </w:r>
            <w:r>
              <w:rPr>
                <w:rFonts w:hint="eastAsia" w:ascii="方正仿宋_GB2312" w:hAnsi="方正仿宋_GB2312" w:cs="方正仿宋_GB2312"/>
                <w:color w:val="auto"/>
                <w:sz w:val="32"/>
                <w:szCs w:val="32"/>
                <w:lang w:val="en-US" w:eastAsia="zh-CN"/>
              </w:rPr>
              <w:t>红寺堡区</w:t>
            </w:r>
            <w:r>
              <w:rPr>
                <w:rFonts w:hint="eastAsia" w:ascii="方正仿宋_GB2312" w:hAnsi="方正仿宋_GB2312" w:eastAsia="方正仿宋_GB2312" w:cs="方正仿宋_GB2312"/>
                <w:color w:val="auto"/>
                <w:sz w:val="32"/>
                <w:szCs w:val="32"/>
                <w:lang w:val="en-US" w:eastAsia="zh-CN"/>
              </w:rPr>
              <w:t>境内</w:t>
            </w:r>
            <w:r>
              <w:rPr>
                <w:rFonts w:hint="default" w:ascii="方正仿宋_GB2312" w:hAnsi="方正仿宋_GB2312" w:eastAsia="方正仿宋_GB2312" w:cs="方正仿宋_GB2312"/>
                <w:color w:val="auto"/>
                <w:sz w:val="32"/>
                <w:szCs w:val="32"/>
                <w:lang w:val="en-US" w:eastAsia="zh-CN"/>
              </w:rPr>
              <w:t>河道</w:t>
            </w:r>
            <w:r>
              <w:rPr>
                <w:rFonts w:hint="eastAsia" w:ascii="方正仿宋_GB2312" w:hAnsi="方正仿宋_GB2312" w:cs="方正仿宋_GB2312"/>
                <w:color w:val="auto"/>
                <w:sz w:val="32"/>
                <w:szCs w:val="32"/>
                <w:lang w:val="en-US" w:eastAsia="zh-CN"/>
              </w:rPr>
              <w:t>12</w:t>
            </w:r>
            <w:r>
              <w:rPr>
                <w:rFonts w:hint="default" w:ascii="方正仿宋_GB2312" w:hAnsi="方正仿宋_GB2312" w:eastAsia="方正仿宋_GB2312" w:cs="方正仿宋_GB2312"/>
                <w:color w:val="auto"/>
                <w:sz w:val="32"/>
                <w:szCs w:val="32"/>
                <w:lang w:val="en-US" w:eastAsia="zh-CN"/>
              </w:rPr>
              <w:t>条</w:t>
            </w:r>
            <w:r>
              <w:rPr>
                <w:rFonts w:hint="eastAsia" w:ascii="方正仿宋_GB2312" w:hAnsi="方正仿宋_GB2312" w:eastAsia="方正仿宋_GB2312" w:cs="方正仿宋_GB2312"/>
                <w:color w:val="auto"/>
                <w:sz w:val="32"/>
                <w:szCs w:val="32"/>
                <w:lang w:val="en-US" w:eastAsia="zh-CN"/>
              </w:rPr>
              <w:t>沟道</w:t>
            </w:r>
            <w:r>
              <w:rPr>
                <w:rFonts w:hint="default" w:ascii="方正仿宋_GB2312" w:hAnsi="方正仿宋_GB2312" w:eastAsia="方正仿宋_GB2312" w:cs="方正仿宋_GB2312"/>
                <w:color w:val="auto"/>
                <w:sz w:val="32"/>
                <w:szCs w:val="32"/>
                <w:lang w:val="en-US" w:eastAsia="zh-CN"/>
              </w:rPr>
              <w:t>，</w:t>
            </w:r>
            <w:r>
              <w:rPr>
                <w:rFonts w:hint="eastAsia" w:ascii="方正仿宋_GB2312" w:hAnsi="方正仿宋_GB2312" w:eastAsia="方正仿宋_GB2312" w:cs="方正仿宋_GB2312"/>
                <w:color w:val="auto"/>
                <w:sz w:val="32"/>
                <w:szCs w:val="32"/>
                <w:lang w:val="en-US" w:eastAsia="zh-CN"/>
              </w:rPr>
              <w:t>优化河道空间</w:t>
            </w:r>
            <w:r>
              <w:rPr>
                <w:rFonts w:hint="default" w:ascii="方正仿宋_GB2312" w:hAnsi="方正仿宋_GB2312" w:eastAsia="方正仿宋_GB2312" w:cs="方正仿宋_GB2312"/>
                <w:color w:val="auto"/>
                <w:sz w:val="32"/>
                <w:szCs w:val="32"/>
                <w:lang w:val="en-US" w:eastAsia="zh-CN"/>
              </w:rPr>
              <w:t>。</w:t>
            </w:r>
          </w:p>
          <w:p w14:paraId="1C6135EB">
            <w:pPr>
              <w:pStyle w:val="22"/>
              <w:keepNext w:val="0"/>
              <w:keepLines w:val="0"/>
              <w:pageBreakBefore w:val="0"/>
              <w:widowControl w:val="0"/>
              <w:kinsoku/>
              <w:wordWrap/>
              <w:overflowPunct w:val="0"/>
              <w:topLinePunct w:val="0"/>
              <w:autoSpaceDE w:val="0"/>
              <w:autoSpaceDN w:val="0"/>
              <w:bidi w:val="0"/>
              <w:adjustRightInd w:val="0"/>
              <w:snapToGrid w:val="0"/>
              <w:jc w:val="left"/>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cs="方正仿宋_GB2312"/>
                <w:b/>
                <w:bCs/>
                <w:color w:val="auto"/>
                <w:sz w:val="32"/>
                <w:szCs w:val="32"/>
                <w:lang w:val="en-US" w:eastAsia="zh-CN"/>
              </w:rPr>
              <w:t>6</w:t>
            </w:r>
            <w:r>
              <w:rPr>
                <w:rFonts w:hint="eastAsia" w:ascii="方正仿宋_GB2312" w:hAnsi="方正仿宋_GB2312" w:eastAsia="方正仿宋_GB2312" w:cs="方正仿宋_GB2312"/>
                <w:b/>
                <w:bCs/>
                <w:color w:val="auto"/>
                <w:sz w:val="32"/>
                <w:szCs w:val="32"/>
                <w:lang w:eastAsia="zh-CN"/>
              </w:rPr>
              <w:t>.水文化建设。</w:t>
            </w:r>
            <w:r>
              <w:rPr>
                <w:rFonts w:hint="eastAsia" w:ascii="方正仿宋_GB2312" w:hAnsi="方正仿宋_GB2312" w:eastAsia="方正仿宋_GB2312" w:cs="方正仿宋_GB2312"/>
                <w:color w:val="auto"/>
                <w:sz w:val="32"/>
                <w:szCs w:val="32"/>
                <w:lang w:eastAsia="zh-CN"/>
              </w:rPr>
              <w:t>实施</w:t>
            </w:r>
            <w:r>
              <w:rPr>
                <w:rFonts w:hint="eastAsia" w:ascii="方正仿宋_GB2312" w:hAnsi="方正仿宋_GB2312" w:cs="方正仿宋_GB2312"/>
                <w:color w:val="auto"/>
                <w:sz w:val="32"/>
                <w:szCs w:val="32"/>
                <w:lang w:val="en-US" w:eastAsia="zh-CN"/>
              </w:rPr>
              <w:t>红寺堡区</w:t>
            </w:r>
            <w:r>
              <w:rPr>
                <w:rFonts w:hint="eastAsia" w:ascii="方正仿宋_GB2312" w:hAnsi="方正仿宋_GB2312" w:eastAsia="方正仿宋_GB2312" w:cs="方正仿宋_GB2312"/>
                <w:color w:val="auto"/>
                <w:sz w:val="32"/>
                <w:szCs w:val="32"/>
                <w:lang w:val="en-US" w:eastAsia="zh-CN"/>
              </w:rPr>
              <w:t>灌区水文化建设项目，</w:t>
            </w:r>
            <w:r>
              <w:rPr>
                <w:rFonts w:hint="eastAsia" w:ascii="方正仿宋_GB2312" w:hAnsi="方正仿宋_GB2312" w:cs="方正仿宋_GB2312"/>
                <w:color w:val="auto"/>
                <w:sz w:val="32"/>
                <w:szCs w:val="32"/>
                <w:lang w:val="en-US" w:eastAsia="zh-CN"/>
              </w:rPr>
              <w:t>红寺堡区</w:t>
            </w:r>
            <w:r>
              <w:rPr>
                <w:rFonts w:hint="eastAsia" w:ascii="方正仿宋_GB2312" w:hAnsi="方正仿宋_GB2312" w:eastAsia="方正仿宋_GB2312" w:cs="方正仿宋_GB2312"/>
                <w:color w:val="auto"/>
                <w:sz w:val="32"/>
                <w:szCs w:val="32"/>
                <w:lang w:val="en-US" w:eastAsia="zh-CN"/>
              </w:rPr>
              <w:t>历史文化陈列馆建设项目，</w:t>
            </w:r>
            <w:r>
              <w:rPr>
                <w:rFonts w:hint="eastAsia" w:ascii="方正仿宋_GB2312" w:hAnsi="方正仿宋_GB2312" w:cs="方正仿宋_GB2312"/>
                <w:color w:val="auto"/>
                <w:sz w:val="32"/>
                <w:szCs w:val="32"/>
                <w:lang w:val="en-US" w:eastAsia="zh-CN"/>
              </w:rPr>
              <w:t>红寺堡区</w:t>
            </w:r>
            <w:r>
              <w:rPr>
                <w:rFonts w:hint="eastAsia" w:ascii="方正仿宋_GB2312" w:hAnsi="方正仿宋_GB2312" w:eastAsia="方正仿宋_GB2312" w:cs="方正仿宋_GB2312"/>
                <w:color w:val="auto"/>
                <w:sz w:val="32"/>
                <w:szCs w:val="32"/>
                <w:lang w:val="en-US" w:eastAsia="zh-CN"/>
              </w:rPr>
              <w:t>数字化文化馆建设项目，</w:t>
            </w:r>
            <w:r>
              <w:rPr>
                <w:rFonts w:hint="eastAsia" w:ascii="方正仿宋_GB2312" w:hAnsi="方正仿宋_GB2312" w:cs="方正仿宋_GB2312"/>
                <w:color w:val="auto"/>
                <w:sz w:val="32"/>
                <w:szCs w:val="32"/>
                <w:lang w:val="en-US" w:eastAsia="zh-CN"/>
              </w:rPr>
              <w:t>红寺堡区</w:t>
            </w:r>
            <w:r>
              <w:rPr>
                <w:rFonts w:hint="eastAsia" w:ascii="方正仿宋_GB2312" w:hAnsi="方正仿宋_GB2312" w:eastAsia="方正仿宋_GB2312" w:cs="方正仿宋_GB2312"/>
                <w:color w:val="auto"/>
                <w:sz w:val="32"/>
                <w:szCs w:val="32"/>
                <w:lang w:val="en-US" w:eastAsia="zh-CN"/>
              </w:rPr>
              <w:t>非遗传承展示基地建设项目等。</w:t>
            </w:r>
          </w:p>
          <w:p w14:paraId="2788D835">
            <w:pPr>
              <w:pStyle w:val="22"/>
              <w:keepNext w:val="0"/>
              <w:keepLines w:val="0"/>
              <w:pageBreakBefore w:val="0"/>
              <w:widowControl w:val="0"/>
              <w:kinsoku/>
              <w:wordWrap/>
              <w:overflowPunct w:val="0"/>
              <w:topLinePunct w:val="0"/>
              <w:autoSpaceDE w:val="0"/>
              <w:autoSpaceDN w:val="0"/>
              <w:bidi w:val="0"/>
              <w:adjustRightInd w:val="0"/>
              <w:snapToGrid w:val="0"/>
              <w:jc w:val="left"/>
              <w:rPr>
                <w:rFonts w:hint="eastAsia" w:ascii="方正仿宋_GB2312" w:hAnsi="方正仿宋_GB2312" w:eastAsia="方正仿宋_GB2312" w:cs="方正仿宋_GB2312"/>
                <w:color w:val="auto"/>
                <w:lang w:eastAsia="zh-CN"/>
              </w:rPr>
            </w:pPr>
          </w:p>
        </w:tc>
      </w:tr>
    </w:tbl>
    <w:p w14:paraId="2EA108CD">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7154CC56">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4A0EEA24">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sectPr>
          <w:headerReference r:id="rId13" w:type="default"/>
          <w:footerReference r:id="rId14" w:type="default"/>
          <w:pgSz w:w="11907" w:h="16839"/>
          <w:pgMar w:top="1440" w:right="1803" w:bottom="1440" w:left="1803" w:header="0" w:footer="986" w:gutter="0"/>
          <w:pgBorders>
            <w:top w:val="none" w:sz="0" w:space="0"/>
            <w:left w:val="none" w:sz="0" w:space="0"/>
            <w:bottom w:val="none" w:sz="0" w:space="0"/>
            <w:right w:val="none" w:sz="0" w:space="0"/>
          </w:pgBorders>
          <w:pgNumType w:fmt="decimal"/>
          <w:cols w:space="0" w:num="1"/>
        </w:sectPr>
      </w:pPr>
    </w:p>
    <w:p w14:paraId="50F63415">
      <w:pPr>
        <w:pStyle w:val="2"/>
        <w:keepNext w:val="0"/>
        <w:keepLines w:val="0"/>
        <w:pageBreakBefore w:val="0"/>
        <w:widowControl w:val="0"/>
        <w:kinsoku/>
        <w:wordWrap/>
        <w:overflowPunct w:val="0"/>
        <w:topLinePunct w:val="0"/>
        <w:autoSpaceDE w:val="0"/>
        <w:autoSpaceDN w:val="0"/>
        <w:bidi w:val="0"/>
        <w:adjustRightInd w:val="0"/>
        <w:snapToGrid w:val="0"/>
        <w:rPr>
          <w:rFonts w:hint="eastAsia"/>
        </w:rPr>
      </w:pPr>
      <w:bookmarkStart w:id="208" w:name="_Toc18037"/>
      <w:bookmarkStart w:id="209" w:name="_Toc5718"/>
      <w:bookmarkStart w:id="210" w:name="_Toc14450"/>
      <w:bookmarkStart w:id="211" w:name="_Toc14352"/>
      <w:bookmarkStart w:id="212" w:name="_Toc23914"/>
      <w:r>
        <w:rPr>
          <w:rFonts w:hint="eastAsia"/>
        </w:rPr>
        <w:t>第</w:t>
      </w:r>
      <w:r>
        <w:rPr>
          <w:rFonts w:hint="eastAsia"/>
          <w:lang w:val="en-US" w:eastAsia="zh-CN"/>
        </w:rPr>
        <w:t>八</w:t>
      </w:r>
      <w:r>
        <w:rPr>
          <w:rFonts w:hint="eastAsia"/>
        </w:rPr>
        <w:t>章</w:t>
      </w:r>
      <w:bookmarkEnd w:id="208"/>
      <w:bookmarkEnd w:id="209"/>
      <w:bookmarkEnd w:id="210"/>
      <w:bookmarkEnd w:id="211"/>
      <w:r>
        <w:rPr>
          <w:rFonts w:hint="eastAsia"/>
          <w:lang w:val="en-US" w:eastAsia="zh-CN"/>
        </w:rPr>
        <w:t xml:space="preserve">  构建数字孪生水网</w:t>
      </w:r>
      <w:bookmarkEnd w:id="212"/>
    </w:p>
    <w:p w14:paraId="2BFF16B3">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13" w:name="_Toc183959011"/>
      <w:bookmarkStart w:id="214" w:name="_Toc3944"/>
      <w:r>
        <w:rPr>
          <w:rFonts w:hint="eastAsia"/>
        </w:rPr>
        <w:t xml:space="preserve">第一节 </w:t>
      </w:r>
      <w:r>
        <w:rPr>
          <w:rFonts w:hint="eastAsia"/>
          <w:lang w:val="en-US" w:eastAsia="zh-CN"/>
        </w:rPr>
        <w:t xml:space="preserve"> </w:t>
      </w:r>
      <w:r>
        <w:rPr>
          <w:rFonts w:hint="eastAsia"/>
        </w:rPr>
        <w:t>建设思路</w:t>
      </w:r>
      <w:bookmarkEnd w:id="213"/>
      <w:bookmarkEnd w:id="214"/>
    </w:p>
    <w:p w14:paraId="0B7A748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按照国家、水利部、自治区智慧水利顶层设计要求，锚定提升</w:t>
      </w:r>
      <w:r>
        <w:rPr>
          <w:rFonts w:hint="eastAsia"/>
          <w:lang w:val="en-US" w:eastAsia="zh-CN"/>
        </w:rPr>
        <w:t>红寺堡区</w:t>
      </w:r>
      <w:r>
        <w:rPr>
          <w:rFonts w:hint="eastAsia"/>
        </w:rPr>
        <w:t>水网数字化、网络化、智能化水平建设目标， 按照数字孪生水网和物理水网同步规划、设计、建设和运行的要求，加快推进</w:t>
      </w:r>
      <w:r>
        <w:rPr>
          <w:rFonts w:hint="eastAsia"/>
          <w:lang w:val="en-US" w:eastAsia="zh-CN"/>
        </w:rPr>
        <w:t>红寺堡区</w:t>
      </w:r>
      <w:r>
        <w:rPr>
          <w:rFonts w:hint="eastAsia"/>
        </w:rPr>
        <w:t>数字孪生水网体系</w:t>
      </w:r>
      <w:r>
        <w:rPr>
          <w:rFonts w:hint="eastAsia"/>
          <w:lang w:val="en-US" w:eastAsia="zh-CN"/>
        </w:rPr>
        <w:t>及</w:t>
      </w:r>
      <w:r>
        <w:rPr>
          <w:rFonts w:hint="eastAsia"/>
        </w:rPr>
        <w:t>水网高质量和智慧发展，加强</w:t>
      </w:r>
      <w:r>
        <w:rPr>
          <w:rFonts w:hint="eastAsia"/>
          <w:lang w:val="en-US" w:eastAsia="zh-CN"/>
        </w:rPr>
        <w:t>红寺堡区</w:t>
      </w:r>
      <w:r>
        <w:rPr>
          <w:rFonts w:hint="eastAsia"/>
        </w:rPr>
        <w:t>水网数字化建设，深化</w:t>
      </w:r>
      <w:r>
        <w:rPr>
          <w:rFonts w:hint="eastAsia"/>
          <w:lang w:val="en-US" w:eastAsia="zh-CN"/>
        </w:rPr>
        <w:t>红寺堡区</w:t>
      </w:r>
      <w:r>
        <w:rPr>
          <w:rFonts w:hint="eastAsia"/>
        </w:rPr>
        <w:t>水网工程和新型基础设施建设融合，推动水网工程数字化建设，全面提高水网智能化联合管理调控能力和安全保障能力，促进数字孪生工作协调建设发展和高效集成运行，全方位为</w:t>
      </w:r>
      <w:r>
        <w:rPr>
          <w:rFonts w:hint="eastAsia"/>
          <w:lang w:val="en-US" w:eastAsia="zh-CN"/>
        </w:rPr>
        <w:t>红寺堡区</w:t>
      </w:r>
      <w:r>
        <w:rPr>
          <w:rFonts w:hint="eastAsia"/>
        </w:rPr>
        <w:t>水网赋能。</w:t>
      </w:r>
    </w:p>
    <w:p w14:paraId="70785F6A">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eastAsia"/>
        </w:rPr>
      </w:pPr>
      <w:bookmarkStart w:id="215" w:name="_Toc20552"/>
      <w:bookmarkStart w:id="216" w:name="_Toc183959012"/>
      <w:r>
        <w:rPr>
          <w:rFonts w:hint="eastAsia"/>
        </w:rPr>
        <w:t>第二节 完善水网信息基础设施</w:t>
      </w:r>
      <w:bookmarkEnd w:id="215"/>
      <w:bookmarkEnd w:id="216"/>
    </w:p>
    <w:p w14:paraId="747D441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（一）构建天空地监测感知一张网</w:t>
      </w:r>
    </w:p>
    <w:p w14:paraId="6BFEBCD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eastAsia="仿宋_GB2312"/>
          <w:lang w:eastAsia="zh-CN"/>
        </w:rPr>
      </w:pPr>
      <w:r>
        <w:t>在传统水利监测体系基础上，利用传感、定位、视频、遥感等技术，依托骨干河湖治理、水系连通、</w:t>
      </w:r>
      <w:r>
        <w:rPr>
          <w:rFonts w:hint="eastAsia"/>
          <w:lang w:val="en-US" w:eastAsia="zh-CN"/>
        </w:rPr>
        <w:t>大</w:t>
      </w:r>
      <w:r>
        <w:t>中型灌区节水改造等工程，补充完善</w:t>
      </w:r>
      <w:r>
        <w:rPr>
          <w:rFonts w:hint="eastAsia"/>
          <w:lang w:val="en-US" w:eastAsia="zh-CN"/>
        </w:rPr>
        <w:t>红寺堡区</w:t>
      </w:r>
      <w:r>
        <w:t>江河湖库水系、水利工程设施、水利管理活动的实时在线监测感知，对水雨情、工情、生态环境等进行自动监测、采集和智能分析。</w:t>
      </w:r>
      <w:r>
        <w:rPr>
          <w:rFonts w:hint="eastAsia"/>
        </w:rPr>
        <w:t>扩大监测感知范围和监测类型</w:t>
      </w:r>
      <w:r>
        <w:rPr>
          <w:rFonts w:hint="eastAsia"/>
          <w:lang w:eastAsia="zh-CN"/>
        </w:rPr>
        <w:t>，</w:t>
      </w:r>
      <w:r>
        <w:rPr>
          <w:rFonts w:hint="eastAsia"/>
        </w:rPr>
        <w:t>推进新型监测技术手段应用</w:t>
      </w:r>
      <w:r>
        <w:rPr>
          <w:rFonts w:hint="eastAsia"/>
          <w:lang w:eastAsia="zh-CN"/>
        </w:rPr>
        <w:t>。</w:t>
      </w:r>
    </w:p>
    <w:p w14:paraId="41665C1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（二）完善水网信息传输一张网</w:t>
      </w:r>
    </w:p>
    <w:p w14:paraId="079F4CFA">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充分利用光纤、5G、物联网、卫星传输等先进的通信技术，面向下一代网络发展，升级改造网络核心设备，打造纵向到底、横向到边、高速智能、灵活安全的水利传输网。</w:t>
      </w:r>
    </w:p>
    <w:p w14:paraId="408C6D25">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完善水利业务网</w:t>
      </w:r>
      <w:r>
        <w:rPr>
          <w:rFonts w:hint="eastAsia"/>
          <w:lang w:eastAsia="zh-CN"/>
        </w:rPr>
        <w:t>，</w:t>
      </w:r>
      <w:r>
        <w:t>依托宁夏自治区政务云建设，扩展互联互通范围，实现市、区县级水行政主管部门以及各水利工程管理单位的全面互联。</w:t>
      </w:r>
    </w:p>
    <w:p w14:paraId="3621A03A">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完善水利工控网</w:t>
      </w:r>
      <w:r>
        <w:rPr>
          <w:rFonts w:hint="eastAsia"/>
          <w:lang w:eastAsia="zh-CN"/>
        </w:rPr>
        <w:t>，</w:t>
      </w:r>
      <w:r>
        <w:t>对重点水网工程建设水利工控网，尤其是</w:t>
      </w:r>
      <w:r>
        <w:rPr>
          <w:rFonts w:hint="eastAsia"/>
        </w:rPr>
        <w:t>市区范围内重点水库及灌区</w:t>
      </w:r>
      <w:r>
        <w:t>，构建完整工程控制网和过程监控网</w:t>
      </w:r>
      <w:r>
        <w:rPr>
          <w:rFonts w:hint="eastAsia"/>
          <w:lang w:eastAsia="zh-CN"/>
        </w:rPr>
        <w:t>，</w:t>
      </w:r>
      <w:r>
        <w:t>工程管理单位建设水利工控网集控中心，与工控网连接，实现水网工程集中控制，充分发挥工程群联合调度综合效益。</w:t>
      </w:r>
    </w:p>
    <w:p w14:paraId="4101F4C5">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（三）加强工程远程集控能力</w:t>
      </w:r>
    </w:p>
    <w:p w14:paraId="4828CAE5">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加快已建自动化控制系统的升级改造，加强</w:t>
      </w:r>
      <w:r>
        <w:rPr>
          <w:rFonts w:hint="eastAsia"/>
        </w:rPr>
        <w:t>沈家河</w:t>
      </w:r>
      <w:r>
        <w:t>、</w:t>
      </w:r>
      <w:r>
        <w:rPr>
          <w:rFonts w:hint="eastAsia"/>
        </w:rPr>
        <w:t>中庄、何家沟</w:t>
      </w:r>
      <w:r>
        <w:t>水库等中小型水库、重要闸（阀） 门、泵站的自动化控制系统建设，全面建成</w:t>
      </w:r>
      <w:r>
        <w:rPr>
          <w:rFonts w:hint="eastAsia"/>
          <w:lang w:val="en-US" w:eastAsia="zh-CN"/>
        </w:rPr>
        <w:t>红寺堡区</w:t>
      </w:r>
      <w:r>
        <w:t>水网工程智能调度控制系统，支持水源供应、水源切换的远程控制，实现智能集控系统全覆盖。加强远程集控系统与视频监控系统的融合应用，实现跨部门和行业视频监控数据的共享。加强远程集控系统的安全可靠性。</w:t>
      </w:r>
    </w:p>
    <w:p w14:paraId="4551DA2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（四）整合提升云平台服务能力</w:t>
      </w:r>
    </w:p>
    <w:p w14:paraId="669C1A30">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依托自治区政务云平台，根据</w:t>
      </w:r>
      <w:r>
        <w:rPr>
          <w:rFonts w:hint="eastAsia"/>
        </w:rPr>
        <w:t>红寺堡区</w:t>
      </w:r>
      <w:r>
        <w:t>数字孪生水网建设按需申请政务云计算存储资源。整合</w:t>
      </w:r>
      <w:r>
        <w:rPr>
          <w:rFonts w:hint="eastAsia"/>
        </w:rPr>
        <w:t>红寺堡区</w:t>
      </w:r>
      <w:r>
        <w:t>水务局和下属</w:t>
      </w:r>
      <w:r>
        <w:rPr>
          <w:rFonts w:hint="eastAsia"/>
          <w:lang w:val="en-US" w:eastAsia="zh-CN"/>
        </w:rPr>
        <w:t>乡镇</w:t>
      </w:r>
      <w:r>
        <w:t>的机房，包括已有的计算、网络、存储等硬件设施和操作系统、数据库等基础软件，提升改造后可作为系统备份资源使用。</w:t>
      </w:r>
    </w:p>
    <w:p w14:paraId="78BC8DC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（五）升级完善应用支撑组件</w:t>
      </w:r>
    </w:p>
    <w:p w14:paraId="7DE26750">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基于面向服务体系</w:t>
      </w:r>
      <w:r>
        <w:rPr>
          <w:rFonts w:hint="eastAsia"/>
          <w:lang w:val="en-US" w:eastAsia="zh-CN"/>
        </w:rPr>
        <w:t>的</w:t>
      </w:r>
      <w:r>
        <w:t>架构，在充分利用已有的水慧通平台应用支撑组件基础上，进一步补充完善通用基础组件、空间应用支撑组件、可视化支撑组件、微服务支撑组件等应用支撑组件， 完成水利各业务系统单点登录、用户体系改造等工作，持续推动水利各类数据和信息化成果与宁夏回族自治区以及其他行业部门的融合共享，实现底层共性资源的整合升级、统一管理。</w:t>
      </w:r>
    </w:p>
    <w:p w14:paraId="3F8253A6">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（六）建设水网联合调度总中心</w:t>
      </w:r>
    </w:p>
    <w:p w14:paraId="26AFDE5D">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建设综合智能的</w:t>
      </w:r>
      <w:r>
        <w:rPr>
          <w:rFonts w:hint="eastAsia"/>
        </w:rPr>
        <w:t>红寺堡区</w:t>
      </w:r>
      <w:r>
        <w:t>水网联合调度中心指挥环境，具备通信设备、视频会议设备、集成显示装置、联合调度和值班环境等，针对水资源调配、防汛抗旱调度、工程安全运行监视等多级业务需要，实现</w:t>
      </w:r>
      <w:r>
        <w:rPr>
          <w:rFonts w:hint="eastAsia"/>
          <w:lang w:val="en-US" w:eastAsia="zh-CN"/>
        </w:rPr>
        <w:t>红寺堡区</w:t>
      </w:r>
      <w:r>
        <w:t>水网（流域、工程、灌区）全景展示、水利工程远程集控、实时通讯、方案预演、会商研判、应急指挥、统一调度等综合功能，使用水利信息网传输，实现视频会议多级互联。</w:t>
      </w:r>
    </w:p>
    <w:p w14:paraId="753873D9">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eastAsia"/>
        </w:rPr>
      </w:pPr>
      <w:bookmarkStart w:id="217" w:name="_Toc22924"/>
      <w:bookmarkStart w:id="218" w:name="_Toc183959014"/>
      <w:r>
        <w:rPr>
          <w:rFonts w:hint="eastAsia"/>
        </w:rPr>
        <w:t>第</w:t>
      </w:r>
      <w:r>
        <w:rPr>
          <w:rFonts w:hint="eastAsia"/>
          <w:lang w:val="en-US" w:eastAsia="zh-CN"/>
        </w:rPr>
        <w:t>三</w:t>
      </w:r>
      <w:r>
        <w:rPr>
          <w:rFonts w:hint="eastAsia"/>
        </w:rPr>
        <w:t>节 建设水网业务应用</w:t>
      </w:r>
      <w:bookmarkEnd w:id="217"/>
      <w:bookmarkEnd w:id="218"/>
    </w:p>
    <w:p w14:paraId="0DA9784B">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按照“整合已建、统筹在建、规范新建”建设原则，对</w:t>
      </w:r>
      <w:r>
        <w:rPr>
          <w:rFonts w:hint="eastAsia"/>
        </w:rPr>
        <w:t>红寺堡区</w:t>
      </w:r>
      <w:r>
        <w:t>和下属</w:t>
      </w:r>
      <w:r>
        <w:rPr>
          <w:rFonts w:hint="eastAsia"/>
          <w:lang w:val="en-US" w:eastAsia="zh-CN"/>
        </w:rPr>
        <w:t>乡镇</w:t>
      </w:r>
      <w:r>
        <w:t>、灌区管理处等水务部门已有水资源调配、防汛抗旱、水环境、水生态、水利工程、河湖管理等各业务应用系统进行充分整合，基于技术基础较好的系统迭代升级，构建</w:t>
      </w:r>
      <w:r>
        <w:rPr>
          <w:rFonts w:hint="eastAsia"/>
        </w:rPr>
        <w:t>红寺堡区</w:t>
      </w:r>
      <w:r>
        <w:t>水网业务应用平台。深化</w:t>
      </w:r>
      <w:r>
        <w:rPr>
          <w:rFonts w:hint="eastAsia"/>
        </w:rPr>
        <w:t>红寺堡区</w:t>
      </w:r>
      <w:r>
        <w:t>水利业务智能协同应用建设，实现数字孪生水网“四预”应用，加快孪生水网调度运行应用，提高水网各业务智能联合调度、智能业务管理、应急处置水平。</w:t>
      </w:r>
    </w:p>
    <w:p w14:paraId="49406C6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（一）提升水资源调配能力</w:t>
      </w:r>
    </w:p>
    <w:p w14:paraId="0425320E">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以解决水资源短缺为导向，围绕水资源开发利用和节约保护各个环节，构建水资源调配业务应用，提升水资源调配能力。</w:t>
      </w:r>
    </w:p>
    <w:p w14:paraId="2CAFE43C">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通过调用水资源调配管理模型体系，形成</w:t>
      </w:r>
      <w:r>
        <w:rPr>
          <w:rFonts w:hint="eastAsia"/>
        </w:rPr>
        <w:t>红寺堡区</w:t>
      </w:r>
      <w:r>
        <w:t>数字孪生水网水资源调配预案。</w:t>
      </w:r>
    </w:p>
    <w:p w14:paraId="2C3B77F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（二）提升</w:t>
      </w:r>
      <w:r>
        <w:rPr>
          <w:rFonts w:hint="eastAsia"/>
          <w:b/>
          <w:bCs/>
          <w:lang w:val="en-US" w:eastAsia="zh-CN"/>
        </w:rPr>
        <w:t>水旱灾害防御</w:t>
      </w:r>
      <w:r>
        <w:rPr>
          <w:b/>
          <w:bCs/>
        </w:rPr>
        <w:t>能力</w:t>
      </w:r>
    </w:p>
    <w:p w14:paraId="35081915">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围绕水情旱情监测预警、山洪灾害预警、水利工程防汛抗旱调度、防御洪水应急抢险等业务，构建防汛抗旱调度业务应用。</w:t>
      </w:r>
    </w:p>
    <w:p w14:paraId="60CC7E62">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通过调用水文预报预警等模型体系，形成</w:t>
      </w:r>
      <w:r>
        <w:rPr>
          <w:rFonts w:hint="eastAsia"/>
        </w:rPr>
        <w:t>红寺堡区</w:t>
      </w:r>
      <w:r>
        <w:t>数字孪生水网防汛排涝预案。</w:t>
      </w:r>
    </w:p>
    <w:p w14:paraId="3861C9A0">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（三）提升水生态保护能力</w:t>
      </w:r>
    </w:p>
    <w:p w14:paraId="6ACD5E89">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围绕水生态流量水位预报、河湖水质预报、生态流量超限预警、水质恶化预警、生态调度预演及预案等业务，构建水生态保护智能应用，提升水生态保护能力。</w:t>
      </w:r>
    </w:p>
    <w:p w14:paraId="578B0424">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通过调用水生态环境模型体系，形成</w:t>
      </w:r>
      <w:r>
        <w:rPr>
          <w:rFonts w:hint="eastAsia"/>
        </w:rPr>
        <w:t>红寺堡区</w:t>
      </w:r>
      <w:r>
        <w:t>数字孪生水网水生态环境调度预案。</w:t>
      </w:r>
    </w:p>
    <w:p w14:paraId="2A8DD98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（四）提升河湖智慧监管能力</w:t>
      </w:r>
    </w:p>
    <w:p w14:paraId="4A5609F8">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针对生态系统敏感脆弱、生态功能重要的</w:t>
      </w:r>
      <w:r>
        <w:rPr>
          <w:rFonts w:hint="eastAsia"/>
        </w:rPr>
        <w:t>“五河”及震湖等</w:t>
      </w:r>
      <w:r>
        <w:t>河湖水系，围绕涉河建设、河湖“四乱”等业务，以宁夏回族自治区河湖长制综合信息平台为基础，构建河湖管理业务应用系统，提升河湖智慧监管水平。</w:t>
      </w:r>
    </w:p>
    <w:p w14:paraId="208F428C">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通过调用河湖监管遥感智能识别、视频智能分析及问题预判预警等模型，构建支撑查、认、改、罚全生命周期的河湖智慧监</w:t>
      </w:r>
      <w:r>
        <w:rPr>
          <w:rFonts w:hint="eastAsia"/>
          <w:lang w:val="en-US" w:eastAsia="zh-CN"/>
        </w:rPr>
        <w:t xml:space="preserve">管 </w:t>
      </w:r>
      <w:r>
        <w:t>平台。</w:t>
      </w:r>
    </w:p>
    <w:p w14:paraId="4FC2C23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（五）提升水网工程智能应用能力</w:t>
      </w:r>
    </w:p>
    <w:p w14:paraId="6AD29979">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围绕水网工程建设管理、运行管理、工程运维等重点工作，全面整合各水利工程的运管系统，构建水网工程智能业务应用系统，提升水网工程智能应用能力。</w:t>
      </w:r>
    </w:p>
    <w:p w14:paraId="4091C8F8">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打通水网工程从规划、设计、建设、运行、维修、改造、报废全流程，强化水网工程全过程监管，实现水网工程精细化管理，整体提升工程管理效率和管理管理水平。</w:t>
      </w:r>
    </w:p>
    <w:p w14:paraId="766D959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（六）提升日常业务管理能力</w:t>
      </w:r>
    </w:p>
    <w:p w14:paraId="2C47D2C8">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以实际水利业务为基础，以提升日常业务管理能力为导向，以精准化决策为目标，围绕水利政务服务全国“一网通办”，整合公共服务事项，基于宁夏自治区水慧通平台，融合各类业务应用，积极推动建设水土保持、农村水利水电、互联网+城乡供水、水利监督与行政管理、水文化展示、智慧生态示范区等应用建设。对已有的业务进行数字化转型和智能化升级，创新优化政务服务应用，逐步形成覆盖</w:t>
      </w:r>
      <w:r>
        <w:rPr>
          <w:rFonts w:hint="eastAsia"/>
        </w:rPr>
        <w:t>红寺堡区</w:t>
      </w:r>
      <w:r>
        <w:t>水网管理活动和水利公共服务全过程的多项智能业务体系。</w:t>
      </w:r>
    </w:p>
    <w:p w14:paraId="3168279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（七）提升应急事件处置能力</w:t>
      </w:r>
    </w:p>
    <w:p w14:paraId="692465D7">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充分利用卫星遥感、无人机、雷达、移动视频、水下机器人等途径，针对突发性水污染、水利工程安全事故、局地暴雨等突发性</w:t>
      </w:r>
      <w:r>
        <w:rPr>
          <w:rFonts w:hint="eastAsia"/>
          <w:lang w:val="en-US" w:eastAsia="zh-CN"/>
        </w:rPr>
        <w:t>事件</w:t>
      </w:r>
      <w:r>
        <w:t>，以及地震灾害、山洪灾害等自然灾害获取突发水事件信息，并及时掌握网络舆情信息。建设应急管理与处置系统， 制定和完善各类突发事件应急处置预案，实现对应急预案的数字化、空间化管理，实现预案调用等功能。根据突发事件的事故规模、边界条件、发展态势等， 生成多套应急处置方案和最优方案</w:t>
      </w:r>
      <w:r>
        <w:rPr>
          <w:rFonts w:hint="eastAsia"/>
          <w:lang w:val="en-US" w:eastAsia="zh-CN"/>
        </w:rPr>
        <w:t>的</w:t>
      </w:r>
      <w:r>
        <w:t>确定，依托调度指挥实体环境的融合通讯系统、综合会商系统，支持异地会商，统筹调度应急资源，并完成对处置过程的实时跟踪。</w:t>
      </w:r>
    </w:p>
    <w:p w14:paraId="5EC21934">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default" w:eastAsia="黑体"/>
          <w:lang w:val="en-US" w:eastAsia="zh-CN"/>
        </w:rPr>
      </w:pPr>
      <w:bookmarkStart w:id="219" w:name="_Toc183959015"/>
      <w:bookmarkStart w:id="220" w:name="_Toc10436"/>
      <w:r>
        <w:rPr>
          <w:rFonts w:hint="eastAsia"/>
        </w:rPr>
        <w:t>第</w:t>
      </w:r>
      <w:r>
        <w:rPr>
          <w:rFonts w:hint="eastAsia"/>
          <w:lang w:val="en-US" w:eastAsia="zh-CN"/>
        </w:rPr>
        <w:t>四</w:t>
      </w:r>
      <w:r>
        <w:rPr>
          <w:rFonts w:hint="eastAsia"/>
        </w:rPr>
        <w:t xml:space="preserve">节 </w:t>
      </w:r>
      <w:bookmarkEnd w:id="219"/>
      <w:r>
        <w:rPr>
          <w:rFonts w:hint="eastAsia"/>
          <w:lang w:val="en-US" w:eastAsia="zh-CN"/>
        </w:rPr>
        <w:t>推进网络安全及保障体系建设</w:t>
      </w:r>
      <w:bookmarkEnd w:id="220"/>
    </w:p>
    <w:p w14:paraId="574D7822">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完善安全保障管理体系。建立由制度、规范、流程和规程等构成的网络安全管理体系，为网络安全管理提供依据和行为准则。深入贯彻落实国家网络安全等级保护制度，推进国产密码全面应用，建立一体化的数据安全防护和风险管控机制。健全网络安全工作组织机构，落实网络安全管理人员，形成职责清晰、分工明确、规范有序的水利网络安全组织管理体系，强化工作管理制度的执行与监督。完善科技创新机制，加强水利信息化专业人才和网络安全人才队伍培养，为</w:t>
      </w:r>
      <w:r>
        <w:rPr>
          <w:rFonts w:hint="eastAsia"/>
        </w:rPr>
        <w:t>红寺堡区</w:t>
      </w:r>
      <w:r>
        <w:t>智慧水利安全管理和运行工作提供有力人才支撑。</w:t>
      </w:r>
    </w:p>
    <w:p w14:paraId="2166C4F4">
      <w:pPr>
        <w:keepNext w:val="0"/>
        <w:keepLines w:val="0"/>
        <w:pageBreakBefore w:val="0"/>
        <w:widowControl w:val="0"/>
        <w:kinsoku/>
        <w:wordWrap/>
        <w:overflowPunct w:val="0"/>
        <w:topLinePunct w:val="0"/>
        <w:autoSpaceDE w:val="0"/>
        <w:autoSpaceDN w:val="0"/>
        <w:bidi w:val="0"/>
        <w:adjustRightInd w:val="0"/>
        <w:snapToGrid w:val="0"/>
        <w:rPr>
          <w:rFonts w:hint="eastAsia" w:eastAsia="仿宋_GB2312"/>
          <w:lang w:val="en-US" w:eastAsia="zh-CN"/>
        </w:rPr>
      </w:pPr>
      <w:r>
        <w:rPr>
          <w:rFonts w:hint="eastAsia"/>
          <w:lang w:val="en-US" w:eastAsia="zh-CN"/>
        </w:rPr>
        <w:t>.</w:t>
      </w:r>
    </w:p>
    <w:p w14:paraId="251E49E4">
      <w:pPr>
        <w:keepNext w:val="0"/>
        <w:keepLines w:val="0"/>
        <w:pageBreakBefore w:val="0"/>
        <w:widowControl w:val="0"/>
        <w:kinsoku/>
        <w:wordWrap/>
        <w:overflowPunct w:val="0"/>
        <w:topLinePunct w:val="0"/>
        <w:autoSpaceDE w:val="0"/>
        <w:autoSpaceDN w:val="0"/>
        <w:bidi w:val="0"/>
        <w:adjustRightInd w:val="0"/>
        <w:snapToGrid w:val="0"/>
      </w:pPr>
    </w:p>
    <w:p w14:paraId="75C20587">
      <w:pPr>
        <w:pStyle w:val="22"/>
        <w:keepNext w:val="0"/>
        <w:keepLines w:val="0"/>
        <w:pageBreakBefore w:val="0"/>
        <w:widowControl w:val="0"/>
        <w:kinsoku/>
        <w:wordWrap/>
        <w:overflowPunct w:val="0"/>
        <w:topLinePunct w:val="0"/>
        <w:autoSpaceDE w:val="0"/>
        <w:autoSpaceDN w:val="0"/>
        <w:bidi w:val="0"/>
        <w:adjustRightInd w:val="0"/>
        <w:snapToGrid w:val="0"/>
        <w:spacing w:before="89" w:line="265" w:lineRule="auto"/>
        <w:ind w:left="90" w:right="78" w:firstLine="472"/>
        <w:rPr>
          <w:rFonts w:hint="eastAsia" w:ascii="黑体" w:hAnsi="黑体" w:eastAsia="黑体" w:cs="黑体"/>
          <w:color w:val="auto"/>
          <w:spacing w:val="-3"/>
          <w:sz w:val="28"/>
          <w:szCs w:val="28"/>
          <w:lang w:eastAsia="zh-CN"/>
        </w:rPr>
      </w:pPr>
    </w:p>
    <w:p w14:paraId="0607A236">
      <w:pPr>
        <w:pStyle w:val="22"/>
        <w:keepNext w:val="0"/>
        <w:keepLines w:val="0"/>
        <w:pageBreakBefore w:val="0"/>
        <w:widowControl w:val="0"/>
        <w:kinsoku/>
        <w:wordWrap/>
        <w:overflowPunct w:val="0"/>
        <w:topLinePunct w:val="0"/>
        <w:autoSpaceDE w:val="0"/>
        <w:autoSpaceDN w:val="0"/>
        <w:bidi w:val="0"/>
        <w:adjustRightInd w:val="0"/>
        <w:snapToGrid w:val="0"/>
        <w:spacing w:before="89" w:line="265" w:lineRule="auto"/>
        <w:ind w:left="90" w:right="78" w:firstLine="472"/>
        <w:rPr>
          <w:rFonts w:hint="eastAsia" w:ascii="黑体" w:hAnsi="黑体" w:eastAsia="黑体" w:cs="黑体"/>
          <w:color w:val="auto"/>
          <w:spacing w:val="-3"/>
          <w:sz w:val="28"/>
          <w:szCs w:val="28"/>
          <w:lang w:eastAsia="zh-CN"/>
        </w:rPr>
      </w:pPr>
    </w:p>
    <w:p w14:paraId="57E80A21">
      <w:pPr>
        <w:pStyle w:val="22"/>
        <w:keepNext w:val="0"/>
        <w:keepLines w:val="0"/>
        <w:pageBreakBefore w:val="0"/>
        <w:widowControl w:val="0"/>
        <w:kinsoku/>
        <w:wordWrap/>
        <w:overflowPunct w:val="0"/>
        <w:topLinePunct w:val="0"/>
        <w:autoSpaceDE w:val="0"/>
        <w:autoSpaceDN w:val="0"/>
        <w:bidi w:val="0"/>
        <w:adjustRightInd w:val="0"/>
        <w:snapToGrid w:val="0"/>
        <w:spacing w:before="89" w:line="265" w:lineRule="auto"/>
        <w:ind w:left="90" w:right="78" w:firstLine="472"/>
        <w:rPr>
          <w:rFonts w:hint="eastAsia" w:ascii="黑体" w:hAnsi="黑体" w:eastAsia="黑体" w:cs="黑体"/>
          <w:color w:val="auto"/>
          <w:spacing w:val="-3"/>
          <w:sz w:val="28"/>
          <w:szCs w:val="28"/>
          <w:lang w:eastAsia="zh-CN"/>
        </w:rPr>
      </w:pPr>
    </w:p>
    <w:p w14:paraId="4A2CF1FE">
      <w:pPr>
        <w:pStyle w:val="22"/>
        <w:keepNext w:val="0"/>
        <w:keepLines w:val="0"/>
        <w:pageBreakBefore w:val="0"/>
        <w:widowControl w:val="0"/>
        <w:kinsoku/>
        <w:wordWrap/>
        <w:overflowPunct w:val="0"/>
        <w:topLinePunct w:val="0"/>
        <w:autoSpaceDE w:val="0"/>
        <w:autoSpaceDN w:val="0"/>
        <w:bidi w:val="0"/>
        <w:adjustRightInd w:val="0"/>
        <w:snapToGrid w:val="0"/>
        <w:spacing w:before="89" w:line="265" w:lineRule="auto"/>
        <w:ind w:left="90" w:right="78" w:firstLine="472"/>
        <w:rPr>
          <w:rFonts w:hint="eastAsia" w:ascii="黑体" w:hAnsi="黑体" w:eastAsia="黑体" w:cs="黑体"/>
          <w:color w:val="auto"/>
          <w:spacing w:val="-3"/>
          <w:sz w:val="28"/>
          <w:szCs w:val="28"/>
          <w:lang w:eastAsia="zh-CN"/>
        </w:rPr>
      </w:pPr>
    </w:p>
    <w:p w14:paraId="07C46B0F">
      <w:pPr>
        <w:pStyle w:val="22"/>
        <w:keepNext w:val="0"/>
        <w:keepLines w:val="0"/>
        <w:pageBreakBefore w:val="0"/>
        <w:widowControl w:val="0"/>
        <w:kinsoku/>
        <w:wordWrap/>
        <w:overflowPunct w:val="0"/>
        <w:topLinePunct w:val="0"/>
        <w:autoSpaceDE w:val="0"/>
        <w:autoSpaceDN w:val="0"/>
        <w:bidi w:val="0"/>
        <w:adjustRightInd w:val="0"/>
        <w:snapToGrid w:val="0"/>
        <w:spacing w:before="89" w:line="265" w:lineRule="auto"/>
        <w:ind w:left="90" w:right="78" w:firstLine="472"/>
        <w:rPr>
          <w:rFonts w:hint="eastAsia" w:ascii="黑体" w:hAnsi="黑体" w:eastAsia="黑体" w:cs="黑体"/>
          <w:color w:val="auto"/>
          <w:spacing w:val="-3"/>
          <w:sz w:val="28"/>
          <w:szCs w:val="28"/>
          <w:lang w:eastAsia="zh-CN"/>
        </w:rPr>
      </w:pPr>
    </w:p>
    <w:p w14:paraId="50A31E80">
      <w:pPr>
        <w:pStyle w:val="22"/>
        <w:keepNext w:val="0"/>
        <w:keepLines w:val="0"/>
        <w:pageBreakBefore w:val="0"/>
        <w:widowControl w:val="0"/>
        <w:kinsoku/>
        <w:wordWrap/>
        <w:overflowPunct w:val="0"/>
        <w:topLinePunct w:val="0"/>
        <w:autoSpaceDE w:val="0"/>
        <w:autoSpaceDN w:val="0"/>
        <w:bidi w:val="0"/>
        <w:adjustRightInd w:val="0"/>
        <w:snapToGrid w:val="0"/>
        <w:spacing w:before="89" w:line="265" w:lineRule="auto"/>
        <w:ind w:left="90" w:right="78" w:firstLine="472"/>
        <w:rPr>
          <w:rFonts w:hint="eastAsia"/>
          <w:lang w:eastAsia="zh-CN"/>
        </w:rPr>
      </w:pPr>
      <w:r>
        <w:rPr>
          <w:rFonts w:hint="eastAsia" w:ascii="黑体" w:hAnsi="黑体" w:eastAsia="黑体" w:cs="黑体"/>
          <w:color w:val="auto"/>
          <w:spacing w:val="-3"/>
          <w:sz w:val="28"/>
          <w:szCs w:val="28"/>
          <w:lang w:eastAsia="zh-CN"/>
        </w:rPr>
        <w:t>专栏5</w:t>
      </w:r>
      <w:r>
        <w:rPr>
          <w:rFonts w:hint="eastAsia" w:ascii="黑体" w:hAnsi="黑体" w:eastAsia="黑体" w:cs="黑体"/>
          <w:color w:val="auto"/>
          <w:spacing w:val="-3"/>
          <w:sz w:val="28"/>
          <w:szCs w:val="28"/>
          <w:lang w:val="en-US" w:eastAsia="zh-CN"/>
        </w:rPr>
        <w:t xml:space="preserve">  </w:t>
      </w:r>
      <w:r>
        <w:rPr>
          <w:rFonts w:hint="eastAsia" w:ascii="黑体" w:hAnsi="黑体" w:eastAsia="黑体" w:cs="黑体"/>
          <w:color w:val="auto"/>
          <w:spacing w:val="-3"/>
          <w:sz w:val="28"/>
          <w:szCs w:val="28"/>
          <w:lang w:eastAsia="zh-CN"/>
        </w:rPr>
        <w:t>数字孪生水网建设任务</w:t>
      </w:r>
    </w:p>
    <w:tbl>
      <w:tblPr>
        <w:tblStyle w:val="21"/>
        <w:tblW w:w="8307" w:type="dxa"/>
        <w:tblInd w:w="1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07"/>
      </w:tblGrid>
      <w:tr w14:paraId="300CF66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0117" w:hRule="atLeast"/>
        </w:trPr>
        <w:tc>
          <w:tcPr>
            <w:tcW w:w="8307" w:type="dxa"/>
          </w:tcPr>
          <w:p w14:paraId="5B21DF09">
            <w:pPr>
              <w:pStyle w:val="22"/>
              <w:keepNext w:val="0"/>
              <w:keepLines w:val="0"/>
              <w:pageBreakBefore w:val="0"/>
              <w:widowControl w:val="0"/>
              <w:kinsoku/>
              <w:wordWrap/>
              <w:overflowPunct w:val="0"/>
              <w:topLinePunct w:val="0"/>
              <w:autoSpaceDE w:val="0"/>
              <w:autoSpaceDN w:val="0"/>
              <w:bidi w:val="0"/>
              <w:adjustRightInd w:val="0"/>
              <w:snapToGrid w:val="0"/>
              <w:spacing w:before="70" w:line="265" w:lineRule="auto"/>
              <w:ind w:left="86" w:right="78" w:firstLine="500"/>
              <w:jc w:val="both"/>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pacing w:val="-3"/>
                <w:sz w:val="32"/>
                <w:szCs w:val="32"/>
                <w:lang w:eastAsia="zh-CN"/>
              </w:rPr>
              <w:t>1.建立水网智能物联感知体系。实施宁夏水文现代</w:t>
            </w:r>
            <w:r>
              <w:rPr>
                <w:rFonts w:hint="eastAsia" w:ascii="方正仿宋_GB2312" w:hAnsi="方正仿宋_GB2312" w:eastAsia="方正仿宋_GB2312" w:cs="方正仿宋_GB2312"/>
                <w:color w:val="auto"/>
                <w:spacing w:val="-4"/>
                <w:sz w:val="32"/>
                <w:szCs w:val="32"/>
                <w:lang w:eastAsia="zh-CN"/>
              </w:rPr>
              <w:t>化建设项目，加强水利</w:t>
            </w:r>
            <w:r>
              <w:rPr>
                <w:rFonts w:hint="eastAsia" w:ascii="方正仿宋_GB2312" w:hAnsi="方正仿宋_GB2312" w:eastAsia="方正仿宋_GB2312" w:cs="方正仿宋_GB2312"/>
                <w:color w:val="auto"/>
                <w:spacing w:val="-12"/>
                <w:sz w:val="32"/>
                <w:szCs w:val="32"/>
                <w:lang w:eastAsia="zh-CN"/>
              </w:rPr>
              <w:t>要素监测感知设施建设</w:t>
            </w:r>
            <w:r>
              <w:rPr>
                <w:rFonts w:hint="eastAsia" w:ascii="方正仿宋_GB2312" w:hAnsi="方正仿宋_GB2312" w:eastAsia="方正仿宋_GB2312" w:cs="方正仿宋_GB2312"/>
                <w:color w:val="auto"/>
                <w:spacing w:val="-1"/>
                <w:sz w:val="32"/>
                <w:szCs w:val="32"/>
                <w:lang w:eastAsia="zh-CN"/>
              </w:rPr>
              <w:t>。</w:t>
            </w:r>
          </w:p>
          <w:p w14:paraId="6CE528A0">
            <w:pPr>
              <w:pStyle w:val="22"/>
              <w:keepNext w:val="0"/>
              <w:keepLines w:val="0"/>
              <w:pageBreakBefore w:val="0"/>
              <w:widowControl w:val="0"/>
              <w:kinsoku/>
              <w:wordWrap/>
              <w:overflowPunct w:val="0"/>
              <w:topLinePunct w:val="0"/>
              <w:autoSpaceDE w:val="0"/>
              <w:autoSpaceDN w:val="0"/>
              <w:bidi w:val="0"/>
              <w:adjustRightInd w:val="0"/>
              <w:snapToGrid w:val="0"/>
              <w:spacing w:before="89" w:line="265" w:lineRule="auto"/>
              <w:ind w:left="90" w:right="78" w:firstLine="472"/>
              <w:jc w:val="both"/>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pacing w:val="-5"/>
                <w:sz w:val="32"/>
                <w:szCs w:val="32"/>
                <w:lang w:eastAsia="zh-CN"/>
              </w:rPr>
              <w:t>2.夯实水网信息基础设施。依托</w:t>
            </w:r>
            <w:r>
              <w:rPr>
                <w:rFonts w:hint="eastAsia" w:ascii="方正仿宋_GB2312" w:hAnsi="方正仿宋_GB2312" w:eastAsia="方正仿宋_GB2312" w:cs="方正仿宋_GB2312"/>
                <w:color w:val="auto"/>
                <w:spacing w:val="-5"/>
                <w:sz w:val="32"/>
                <w:szCs w:val="32"/>
                <w:lang w:val="en-US" w:eastAsia="zh-CN"/>
              </w:rPr>
              <w:t>红寺堡区</w:t>
            </w:r>
            <w:r>
              <w:rPr>
                <w:rFonts w:hint="eastAsia" w:ascii="方正仿宋_GB2312" w:hAnsi="方正仿宋_GB2312" w:eastAsia="方正仿宋_GB2312" w:cs="方正仿宋_GB2312"/>
                <w:color w:val="auto"/>
                <w:spacing w:val="-5"/>
                <w:sz w:val="32"/>
                <w:szCs w:val="32"/>
                <w:lang w:eastAsia="zh-CN"/>
              </w:rPr>
              <w:t>电子政务网，采用微波通信等技术打</w:t>
            </w:r>
            <w:r>
              <w:rPr>
                <w:rFonts w:hint="eastAsia" w:ascii="方正仿宋_GB2312" w:hAnsi="方正仿宋_GB2312" w:eastAsia="方正仿宋_GB2312" w:cs="方正仿宋_GB2312"/>
                <w:color w:val="auto"/>
                <w:spacing w:val="-16"/>
                <w:sz w:val="32"/>
                <w:szCs w:val="32"/>
                <w:lang w:eastAsia="zh-CN"/>
              </w:rPr>
              <w:t>造智能的</w:t>
            </w:r>
            <w:r>
              <w:rPr>
                <w:rFonts w:hint="eastAsia" w:ascii="方正仿宋_GB2312" w:hAnsi="方正仿宋_GB2312" w:eastAsia="方正仿宋_GB2312" w:cs="方正仿宋_GB2312"/>
                <w:color w:val="auto"/>
                <w:spacing w:val="-16"/>
                <w:sz w:val="32"/>
                <w:szCs w:val="32"/>
                <w:lang w:val="en-US" w:eastAsia="zh-CN"/>
              </w:rPr>
              <w:t>红寺堡区</w:t>
            </w:r>
            <w:r>
              <w:rPr>
                <w:rFonts w:hint="eastAsia" w:ascii="方正仿宋_GB2312" w:hAnsi="方正仿宋_GB2312" w:eastAsia="方正仿宋_GB2312" w:cs="方正仿宋_GB2312"/>
                <w:color w:val="auto"/>
                <w:spacing w:val="-16"/>
                <w:sz w:val="32"/>
                <w:szCs w:val="32"/>
                <w:lang w:eastAsia="zh-CN"/>
              </w:rPr>
              <w:t>水利信息网，提升计算、存储能力，整合</w:t>
            </w:r>
            <w:r>
              <w:rPr>
                <w:rFonts w:hint="eastAsia" w:ascii="方正仿宋_GB2312" w:hAnsi="方正仿宋_GB2312" w:eastAsia="方正仿宋_GB2312" w:cs="方正仿宋_GB2312"/>
                <w:color w:val="auto"/>
                <w:spacing w:val="-3"/>
                <w:sz w:val="32"/>
                <w:szCs w:val="32"/>
                <w:lang w:eastAsia="zh-CN"/>
              </w:rPr>
              <w:t>已有基础设施资源，建设</w:t>
            </w:r>
            <w:r>
              <w:rPr>
                <w:rFonts w:hint="eastAsia" w:ascii="方正仿宋_GB2312" w:hAnsi="方正仿宋_GB2312" w:eastAsia="方正仿宋_GB2312" w:cs="方正仿宋_GB2312"/>
                <w:color w:val="auto"/>
                <w:spacing w:val="-3"/>
                <w:sz w:val="32"/>
                <w:szCs w:val="32"/>
                <w:lang w:val="en-US" w:eastAsia="zh-CN"/>
              </w:rPr>
              <w:t>红寺堡区</w:t>
            </w:r>
            <w:r>
              <w:rPr>
                <w:rFonts w:hint="eastAsia" w:ascii="方正仿宋_GB2312" w:hAnsi="方正仿宋_GB2312" w:eastAsia="方正仿宋_GB2312" w:cs="方正仿宋_GB2312"/>
                <w:color w:val="auto"/>
                <w:spacing w:val="-3"/>
                <w:sz w:val="32"/>
                <w:szCs w:val="32"/>
                <w:lang w:eastAsia="zh-CN"/>
              </w:rPr>
              <w:t>水网综合调度中心。</w:t>
            </w:r>
          </w:p>
          <w:p w14:paraId="1D974B5D">
            <w:pPr>
              <w:pStyle w:val="22"/>
              <w:keepNext w:val="0"/>
              <w:keepLines w:val="0"/>
              <w:pageBreakBefore w:val="0"/>
              <w:widowControl w:val="0"/>
              <w:kinsoku/>
              <w:wordWrap/>
              <w:overflowPunct w:val="0"/>
              <w:topLinePunct w:val="0"/>
              <w:autoSpaceDE w:val="0"/>
              <w:autoSpaceDN w:val="0"/>
              <w:bidi w:val="0"/>
              <w:adjustRightInd w:val="0"/>
              <w:snapToGrid w:val="0"/>
              <w:spacing w:before="93" w:line="276" w:lineRule="auto"/>
              <w:ind w:left="88" w:right="78" w:firstLine="479"/>
              <w:jc w:val="both"/>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pacing w:val="-7"/>
                <w:sz w:val="32"/>
                <w:szCs w:val="32"/>
                <w:lang w:eastAsia="zh-CN"/>
              </w:rPr>
              <w:t>3.推进数字孪生水网建设。</w:t>
            </w:r>
            <w:r>
              <w:rPr>
                <w:rFonts w:hint="eastAsia" w:ascii="方正仿宋_GB2312" w:hAnsi="方正仿宋_GB2312" w:eastAsia="方正仿宋_GB2312" w:cs="方正仿宋_GB2312"/>
                <w:color w:val="auto"/>
                <w:spacing w:val="-10"/>
                <w:sz w:val="32"/>
                <w:szCs w:val="32"/>
                <w:lang w:eastAsia="zh-CN"/>
              </w:rPr>
              <w:t>构建</w:t>
            </w:r>
            <w:r>
              <w:rPr>
                <w:rFonts w:hint="eastAsia" w:ascii="方正仿宋_GB2312" w:hAnsi="方正仿宋_GB2312" w:eastAsia="方正仿宋_GB2312" w:cs="方正仿宋_GB2312"/>
                <w:color w:val="auto"/>
                <w:spacing w:val="-10"/>
                <w:sz w:val="32"/>
                <w:szCs w:val="32"/>
                <w:lang w:val="en-US" w:eastAsia="zh-CN"/>
              </w:rPr>
              <w:t>红寺堡区</w:t>
            </w:r>
            <w:r>
              <w:rPr>
                <w:rFonts w:hint="eastAsia" w:ascii="方正仿宋_GB2312" w:hAnsi="方正仿宋_GB2312" w:eastAsia="方正仿宋_GB2312" w:cs="方正仿宋_GB2312"/>
                <w:color w:val="auto"/>
                <w:spacing w:val="-10"/>
                <w:sz w:val="32"/>
                <w:szCs w:val="32"/>
                <w:lang w:eastAsia="zh-CN"/>
              </w:rPr>
              <w:t>水网模型库，建设数字孪</w:t>
            </w:r>
            <w:r>
              <w:rPr>
                <w:rFonts w:hint="eastAsia" w:ascii="方正仿宋_GB2312" w:hAnsi="方正仿宋_GB2312" w:eastAsia="方正仿宋_GB2312" w:cs="方正仿宋_GB2312"/>
                <w:color w:val="auto"/>
                <w:spacing w:val="-1"/>
                <w:sz w:val="32"/>
                <w:szCs w:val="32"/>
                <w:lang w:eastAsia="zh-CN"/>
              </w:rPr>
              <w:t>生数据引擎、知识引擎和模拟仿真引擎，完善网络安全态势感知体</w:t>
            </w:r>
            <w:r>
              <w:rPr>
                <w:rFonts w:hint="eastAsia" w:ascii="方正仿宋_GB2312" w:hAnsi="方正仿宋_GB2312" w:eastAsia="方正仿宋_GB2312" w:cs="方正仿宋_GB2312"/>
                <w:color w:val="auto"/>
                <w:spacing w:val="-2"/>
                <w:sz w:val="32"/>
                <w:szCs w:val="32"/>
                <w:lang w:eastAsia="zh-CN"/>
              </w:rPr>
              <w:t>系，提升网</w:t>
            </w:r>
            <w:r>
              <w:rPr>
                <w:rFonts w:hint="eastAsia" w:ascii="方正仿宋_GB2312" w:hAnsi="方正仿宋_GB2312" w:eastAsia="方正仿宋_GB2312" w:cs="方正仿宋_GB2312"/>
                <w:color w:val="auto"/>
                <w:spacing w:val="-1"/>
                <w:sz w:val="32"/>
                <w:szCs w:val="32"/>
                <w:lang w:eastAsia="zh-CN"/>
              </w:rPr>
              <w:t>络安全防御能力，推进数字孪生清水河和苦水河试点建设。以</w:t>
            </w:r>
            <w:r>
              <w:rPr>
                <w:rFonts w:hint="eastAsia" w:ascii="方正仿宋_GB2312" w:hAnsi="方正仿宋_GB2312" w:eastAsia="方正仿宋_GB2312" w:cs="方正仿宋_GB2312"/>
                <w:color w:val="auto"/>
                <w:spacing w:val="-10"/>
                <w:sz w:val="32"/>
                <w:szCs w:val="32"/>
                <w:lang w:eastAsia="zh-CN"/>
              </w:rPr>
              <w:t>大中型灌区、水库为试点，开</w:t>
            </w:r>
            <w:r>
              <w:rPr>
                <w:rFonts w:hint="eastAsia" w:ascii="方正仿宋_GB2312" w:hAnsi="方正仿宋_GB2312" w:eastAsia="方正仿宋_GB2312" w:cs="方正仿宋_GB2312"/>
                <w:color w:val="auto"/>
                <w:spacing w:val="-3"/>
                <w:sz w:val="32"/>
                <w:szCs w:val="32"/>
                <w:lang w:eastAsia="zh-CN"/>
              </w:rPr>
              <w:t>展水网工程智能化改造与建设。</w:t>
            </w:r>
          </w:p>
          <w:p w14:paraId="7FE85F6A">
            <w:pPr>
              <w:pStyle w:val="22"/>
              <w:keepNext w:val="0"/>
              <w:keepLines w:val="0"/>
              <w:pageBreakBefore w:val="0"/>
              <w:widowControl w:val="0"/>
              <w:kinsoku/>
              <w:wordWrap/>
              <w:overflowPunct w:val="0"/>
              <w:topLinePunct w:val="0"/>
              <w:autoSpaceDE w:val="0"/>
              <w:autoSpaceDN w:val="0"/>
              <w:bidi w:val="0"/>
              <w:adjustRightInd w:val="0"/>
              <w:snapToGrid w:val="0"/>
              <w:spacing w:before="89" w:line="265" w:lineRule="auto"/>
              <w:ind w:left="87" w:right="46" w:firstLine="474"/>
              <w:jc w:val="both"/>
              <w:rPr>
                <w:rFonts w:hint="eastAsia" w:ascii="方正仿宋_GB2312" w:hAnsi="方正仿宋_GB2312" w:eastAsia="方正仿宋_GB2312" w:cs="方正仿宋_GB2312"/>
                <w:color w:val="auto"/>
                <w:lang w:eastAsia="zh-CN"/>
              </w:rPr>
            </w:pPr>
            <w:r>
              <w:rPr>
                <w:rFonts w:hint="eastAsia" w:ascii="方正仿宋_GB2312" w:hAnsi="方正仿宋_GB2312" w:eastAsia="方正仿宋_GB2312" w:cs="方正仿宋_GB2312"/>
                <w:color w:val="auto"/>
                <w:spacing w:val="-3"/>
                <w:sz w:val="32"/>
                <w:szCs w:val="32"/>
                <w:lang w:eastAsia="zh-CN"/>
              </w:rPr>
              <w:t>4.水网调度指挥体系建设。</w:t>
            </w:r>
            <w:r>
              <w:rPr>
                <w:rFonts w:hint="eastAsia" w:ascii="方正仿宋_GB2312" w:hAnsi="方正仿宋_GB2312" w:eastAsia="方正仿宋_GB2312" w:cs="方正仿宋_GB2312"/>
                <w:color w:val="auto"/>
                <w:spacing w:val="-6"/>
                <w:sz w:val="32"/>
                <w:szCs w:val="32"/>
                <w:lang w:eastAsia="zh-CN"/>
              </w:rPr>
              <w:t>加快推动</w:t>
            </w:r>
            <w:r>
              <w:rPr>
                <w:rFonts w:hint="eastAsia" w:ascii="方正仿宋_GB2312" w:hAnsi="方正仿宋_GB2312" w:eastAsia="方正仿宋_GB2312" w:cs="方正仿宋_GB2312"/>
                <w:color w:val="auto"/>
                <w:spacing w:val="-6"/>
                <w:sz w:val="32"/>
                <w:szCs w:val="32"/>
                <w:lang w:val="en-US" w:eastAsia="zh-CN"/>
              </w:rPr>
              <w:t>红寺堡区</w:t>
            </w:r>
            <w:r>
              <w:rPr>
                <w:rFonts w:hint="eastAsia" w:ascii="方正仿宋_GB2312" w:hAnsi="方正仿宋_GB2312" w:eastAsia="方正仿宋_GB2312" w:cs="方正仿宋_GB2312"/>
                <w:color w:val="auto"/>
                <w:spacing w:val="-6"/>
                <w:sz w:val="32"/>
                <w:szCs w:val="32"/>
                <w:lang w:eastAsia="zh-CN"/>
              </w:rPr>
              <w:t>水旱灾害防御“四预”功能和水资源管理调配功</w:t>
            </w:r>
            <w:r>
              <w:rPr>
                <w:rFonts w:hint="eastAsia" w:ascii="方正仿宋_GB2312" w:hAnsi="方正仿宋_GB2312" w:eastAsia="方正仿宋_GB2312" w:cs="方正仿宋_GB2312"/>
                <w:color w:val="auto"/>
                <w:spacing w:val="-7"/>
                <w:sz w:val="32"/>
                <w:szCs w:val="32"/>
                <w:lang w:eastAsia="zh-CN"/>
              </w:rPr>
              <w:t>能实现，提升水</w:t>
            </w:r>
            <w:bookmarkStart w:id="221" w:name="bookmark39"/>
            <w:bookmarkEnd w:id="221"/>
            <w:r>
              <w:rPr>
                <w:rFonts w:hint="eastAsia" w:ascii="方正仿宋_GB2312" w:hAnsi="方正仿宋_GB2312" w:eastAsia="方正仿宋_GB2312" w:cs="方正仿宋_GB2312"/>
                <w:color w:val="auto"/>
                <w:spacing w:val="-1"/>
                <w:sz w:val="32"/>
                <w:szCs w:val="32"/>
                <w:lang w:eastAsia="zh-CN"/>
              </w:rPr>
              <w:t>网调度管理智能化水平。</w:t>
            </w:r>
          </w:p>
        </w:tc>
      </w:tr>
    </w:tbl>
    <w:p w14:paraId="0252CE70">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40757D75">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6F190887">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53A0D362">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06D7BE49">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8E18550">
      <w:pPr>
        <w:pStyle w:val="2"/>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0" w:firstLineChars="0"/>
        <w:rPr>
          <w:rFonts w:hint="eastAsia"/>
          <w:lang w:val="en-US" w:eastAsia="zh-CN"/>
        </w:rPr>
      </w:pPr>
      <w:bookmarkStart w:id="222" w:name="_Toc19968"/>
      <w:r>
        <w:rPr>
          <w:rFonts w:hint="eastAsia" w:ascii="Times New Roman" w:hAnsi="Times New Roman" w:eastAsia="黑体" w:cs="Arial"/>
          <w:b/>
          <w:snapToGrid w:val="0"/>
          <w:color w:val="000000"/>
          <w:kern w:val="44"/>
          <w:sz w:val="36"/>
          <w:szCs w:val="21"/>
          <w:lang w:val="en-US" w:eastAsia="zh-CN" w:bidi="ar-SA"/>
        </w:rPr>
        <w:t>第</w:t>
      </w:r>
      <w:r>
        <w:rPr>
          <w:rFonts w:hint="eastAsia" w:cs="Arial"/>
          <w:b/>
          <w:snapToGrid w:val="0"/>
          <w:color w:val="000000"/>
          <w:kern w:val="44"/>
          <w:sz w:val="36"/>
          <w:szCs w:val="21"/>
          <w:lang w:val="en-US" w:eastAsia="zh-CN" w:bidi="ar-SA"/>
        </w:rPr>
        <w:t>九</w:t>
      </w:r>
      <w:r>
        <w:rPr>
          <w:rFonts w:hint="eastAsia" w:ascii="Times New Roman" w:hAnsi="Times New Roman" w:eastAsia="黑体" w:cs="Arial"/>
          <w:b/>
          <w:snapToGrid w:val="0"/>
          <w:color w:val="000000"/>
          <w:kern w:val="44"/>
          <w:sz w:val="36"/>
          <w:szCs w:val="21"/>
          <w:lang w:val="en-US" w:eastAsia="zh-CN" w:bidi="ar-SA"/>
        </w:rPr>
        <w:t>章</w:t>
      </w:r>
      <w:r>
        <w:rPr>
          <w:rFonts w:hint="eastAsia"/>
          <w:lang w:val="en-US" w:eastAsia="zh-CN"/>
        </w:rPr>
        <w:t xml:space="preserve">  推动水网高质量发展</w:t>
      </w:r>
      <w:bookmarkEnd w:id="222"/>
    </w:p>
    <w:p w14:paraId="2105C5EB">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23" w:name="_Toc27091"/>
      <w:bookmarkStart w:id="224" w:name="_Toc183959019"/>
      <w:r>
        <w:rPr>
          <w:rFonts w:hint="eastAsia"/>
        </w:rPr>
        <w:t>第一节 推进安全发展</w:t>
      </w:r>
      <w:bookmarkEnd w:id="223"/>
      <w:bookmarkEnd w:id="224"/>
    </w:p>
    <w:p w14:paraId="0785202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（一）加强水网基础设施建设</w:t>
      </w:r>
    </w:p>
    <w:p w14:paraId="66C3B09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1、完善水源工程：通过重点水源库建设及水库清淤扩容工程实施，提高水资源的存储和调配能力。</w:t>
      </w:r>
    </w:p>
    <w:p w14:paraId="2A7C1B1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2、强化输配水网络：优化和扩建输水管网和灌溉系统，减少水资源在输送过程中的损失，并确保水资源的稳定供应。</w:t>
      </w:r>
    </w:p>
    <w:p w14:paraId="1A454EF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3、提升防洪排涝能力：加强河道治理和堤防建设，提高防洪标准，同时完善城市排水系统，防止内涝灾害的发生。</w:t>
      </w:r>
    </w:p>
    <w:p w14:paraId="0CAFA9F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（二）推进水资源节约和循环利用</w:t>
      </w:r>
    </w:p>
    <w:p w14:paraId="69A0027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推广节水技术和设备</w:t>
      </w:r>
      <w:r>
        <w:rPr>
          <w:rFonts w:hint="eastAsia"/>
          <w:lang w:eastAsia="zh-CN"/>
        </w:rPr>
        <w:t>，</w:t>
      </w:r>
      <w:r>
        <w:rPr>
          <w:rFonts w:hint="eastAsia"/>
        </w:rPr>
        <w:t>加强水资源管理</w:t>
      </w:r>
      <w:r>
        <w:rPr>
          <w:rFonts w:hint="eastAsia"/>
          <w:lang w:eastAsia="zh-CN"/>
        </w:rPr>
        <w:t>，</w:t>
      </w:r>
      <w:r>
        <w:rPr>
          <w:rFonts w:hint="eastAsia"/>
        </w:rPr>
        <w:t>建立健全水资源管理制度，实行最严格的水资源管理制度，对水资源进行科学合理的配置和调度。推动循环经济发展实现水资源的多次利用和高效转化。</w:t>
      </w:r>
    </w:p>
    <w:p w14:paraId="40262C36">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（三）加强水生态保护和修复</w:t>
      </w:r>
    </w:p>
    <w:p w14:paraId="07463DE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实施水生态修复工程</w:t>
      </w:r>
      <w:r>
        <w:rPr>
          <w:rFonts w:hint="eastAsia"/>
          <w:lang w:eastAsia="zh-CN"/>
        </w:rPr>
        <w:t>，</w:t>
      </w:r>
      <w:r>
        <w:rPr>
          <w:rFonts w:hint="eastAsia"/>
        </w:rPr>
        <w:t>恢复和保护水生生物的多样性。加强水环境监测和预警。推广生态治水理念</w:t>
      </w:r>
      <w:r>
        <w:rPr>
          <w:rFonts w:hint="eastAsia"/>
          <w:lang w:eastAsia="zh-CN"/>
        </w:rPr>
        <w:t>，</w:t>
      </w:r>
      <w:r>
        <w:rPr>
          <w:rFonts w:hint="eastAsia"/>
        </w:rPr>
        <w:t>注重保护自然生态和生物多样性，实现人与自然的和谐共生。</w:t>
      </w:r>
    </w:p>
    <w:p w14:paraId="09F5E63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（四）强化科技创新和人才培养</w:t>
      </w:r>
    </w:p>
    <w:p w14:paraId="40391F4C">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加强水利科技创新</w:t>
      </w:r>
      <w:r>
        <w:rPr>
          <w:rFonts w:hint="eastAsia"/>
          <w:lang w:eastAsia="zh-CN"/>
        </w:rPr>
        <w:t>，</w:t>
      </w:r>
      <w:r>
        <w:rPr>
          <w:rFonts w:hint="eastAsia"/>
        </w:rPr>
        <w:t>鼓励和支持水利科研机构和企业开展科技创新，推动水利科技成果的转化和应用。加强人才培养和引进</w:t>
      </w:r>
      <w:r>
        <w:rPr>
          <w:rFonts w:hint="eastAsia"/>
          <w:lang w:eastAsia="zh-CN"/>
        </w:rPr>
        <w:t>，</w:t>
      </w:r>
      <w:r>
        <w:rPr>
          <w:rFonts w:hint="eastAsia"/>
        </w:rPr>
        <w:t>加大对水利领域人才的培养和引进力度，提高水利队伍的整体素质和创新能力。</w:t>
      </w:r>
    </w:p>
    <w:p w14:paraId="4736BB7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（五）完善政策法规和监管体系</w:t>
      </w:r>
    </w:p>
    <w:p w14:paraId="0D47431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制定和完善政策法规</w:t>
      </w:r>
      <w:r>
        <w:rPr>
          <w:rFonts w:hint="eastAsia"/>
          <w:lang w:eastAsia="zh-CN"/>
        </w:rPr>
        <w:t>，</w:t>
      </w:r>
      <w:r>
        <w:rPr>
          <w:rFonts w:hint="eastAsia"/>
        </w:rPr>
        <w:t>根据</w:t>
      </w:r>
      <w:r>
        <w:rPr>
          <w:rFonts w:hint="eastAsia"/>
          <w:lang w:val="en-US" w:eastAsia="zh-CN"/>
        </w:rPr>
        <w:t>红寺堡区</w:t>
      </w:r>
      <w:r>
        <w:rPr>
          <w:rFonts w:hint="eastAsia"/>
        </w:rPr>
        <w:t>水网安全发展的需求，制定和完善相关的政策法规，为水网安全发展提供有力的法治保障。加强监管和执法力度</w:t>
      </w:r>
      <w:r>
        <w:rPr>
          <w:rFonts w:hint="eastAsia"/>
          <w:lang w:eastAsia="zh-CN"/>
        </w:rPr>
        <w:t>，</w:t>
      </w:r>
      <w:r>
        <w:rPr>
          <w:rFonts w:hint="eastAsia"/>
        </w:rPr>
        <w:t>建立健全水利监管体系，加强对水利工程建设、水资源管理、水生态保护等方面的监管和执法力度，确保各项政策措施得到有效落实。</w:t>
      </w:r>
    </w:p>
    <w:p w14:paraId="087E1B6C">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eastAsia"/>
        </w:rPr>
      </w:pPr>
      <w:bookmarkStart w:id="225" w:name="_Toc183959020"/>
      <w:bookmarkStart w:id="226" w:name="_Toc26423"/>
      <w:r>
        <w:rPr>
          <w:rFonts w:hint="eastAsia"/>
        </w:rPr>
        <w:t>第二节 推进绿色发展</w:t>
      </w:r>
      <w:bookmarkEnd w:id="225"/>
      <w:bookmarkEnd w:id="226"/>
    </w:p>
    <w:p w14:paraId="635ECC5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ascii="仿宋" w:hAnsi="仿宋" w:eastAsia="仿宋" w:cs="仿宋"/>
          <w:b/>
          <w:bCs/>
          <w:szCs w:val="28"/>
        </w:rPr>
        <w:t>（一）</w:t>
      </w:r>
      <w:r>
        <w:rPr>
          <w:rFonts w:hint="eastAsia"/>
          <w:b/>
          <w:bCs/>
        </w:rPr>
        <w:t>加强水资源保护与管理</w:t>
      </w:r>
    </w:p>
    <w:p w14:paraId="019787A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实施严格的水资源管理制度，确保水资源的合理开发和利用；加大对水源地的保护力度，防止水污染，保障水质安全；推广节水技术和措施，提高水资源利用效率。</w:t>
      </w:r>
    </w:p>
    <w:p w14:paraId="63EC2AF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（二）推进水网生态修复与建设</w:t>
      </w:r>
    </w:p>
    <w:p w14:paraId="3A5E3A1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开展水生态系统保护与修复工程，恢复和提升水网的生态功能；加强湿地保护和恢复，构建湿地生态系统，提高水网的自净能力；推行河湖长制，落实河湖管理责任，保障水网健康运行。</w:t>
      </w:r>
    </w:p>
    <w:p w14:paraId="4B4967F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（三）促进水网绿色发展</w:t>
      </w:r>
    </w:p>
    <w:p w14:paraId="1DB4F20A">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推动水网与周边生态环境的协调发展，实现水资源的可持续利用；鼓励和支持绿色水利建设，如建设生态堤岸、生态沟渠等；加大科技创新力度，推动水网智能化、信息化建设，提高水网管理效率。</w:t>
      </w:r>
    </w:p>
    <w:p w14:paraId="348C361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（四）完善政策法规体系</w:t>
      </w:r>
    </w:p>
    <w:p w14:paraId="65250A8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制定和完善水网绿色发展相关的政策法规，为水网绿色发展提供法律保障；建立健全水网绿色发展激励机制，鼓励企业和个人积极参与水网绿色发展；加强对水网绿色发展政策的宣传和培训，提高公众对水网绿色发展的认识和参与度。</w:t>
      </w:r>
    </w:p>
    <w:p w14:paraId="3146E271">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rFonts w:hint="eastAsia"/>
          <w:b/>
          <w:bCs/>
        </w:rPr>
        <w:t>（五）提升公众参与度</w:t>
      </w:r>
    </w:p>
    <w:p w14:paraId="796F6BF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加强水网绿色发展的宣传教育，提高公众对水网绿色发展的认识和重视程度；鼓励公众参与水网绿色发展的实践活动，如志愿服务、节水宣传等；建立公众反馈机制，及时收集和处理公众对水网绿色发展的意见和建议。</w:t>
      </w:r>
    </w:p>
    <w:p w14:paraId="1702D0C7">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eastAsia"/>
        </w:rPr>
      </w:pPr>
      <w:bookmarkStart w:id="227" w:name="_Toc183959021"/>
      <w:bookmarkStart w:id="228" w:name="_Toc25123"/>
      <w:r>
        <w:rPr>
          <w:rFonts w:hint="eastAsia"/>
        </w:rPr>
        <w:t>第三节 统筹融合发展</w:t>
      </w:r>
      <w:bookmarkEnd w:id="227"/>
      <w:bookmarkEnd w:id="228"/>
    </w:p>
    <w:p w14:paraId="7D819B7A">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rPr>
          <w:b/>
          <w:bCs/>
        </w:rPr>
        <w:t>（一）推进功能融合</w:t>
      </w:r>
    </w:p>
    <w:p w14:paraId="563EB6B5">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以</w:t>
      </w:r>
      <w:r>
        <w:rPr>
          <w:rFonts w:hint="eastAsia"/>
        </w:rPr>
        <w:t>已建的</w:t>
      </w:r>
      <w:r>
        <w:rPr>
          <w:rFonts w:hint="eastAsia"/>
          <w:lang w:val="en-US" w:eastAsia="zh-CN"/>
        </w:rPr>
        <w:t>红寺堡扬水</w:t>
      </w:r>
      <w:r>
        <w:rPr>
          <w:rFonts w:hint="eastAsia"/>
        </w:rPr>
        <w:t>工程、</w:t>
      </w:r>
      <w:r>
        <w:rPr>
          <w:rFonts w:hint="eastAsia"/>
          <w:lang w:val="en-US" w:eastAsia="zh-CN"/>
        </w:rPr>
        <w:t>新庄集扬水工程</w:t>
      </w:r>
      <w:r>
        <w:rPr>
          <w:rFonts w:hint="eastAsia"/>
        </w:rPr>
        <w:t>等重点工程</w:t>
      </w:r>
      <w:r>
        <w:t>为抓手，加强水网统一调度，推动水网防洪减灾、水资源调配、水生态保护治理与价值转换三大主要功能的协同融合，实现水网综合效益最大化。</w:t>
      </w:r>
    </w:p>
    <w:p w14:paraId="02BC76A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（二） 推进部门融合</w:t>
      </w:r>
    </w:p>
    <w:p w14:paraId="68018ABC">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加强水利部门与发展改革、财政部门的协同融合，筹措项目资金，推进水网建设。加强水利部门与农业农村部门的协同融合，加快灌溉发展，推进灌区高标准农田建设与节水配套改造。加强水利部门与生态环境、文化旅游、林业等部门的协同融合，推进河湖一体化保护和系统治理、水生态价值转化等。加强水利部门与公安部门的协同融合，健全水行政执法与刑事司法衔接工作机制，保障河湖安全。</w:t>
      </w:r>
    </w:p>
    <w:p w14:paraId="3D81B39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b/>
          <w:bCs/>
        </w:rPr>
      </w:pPr>
      <w:r>
        <w:rPr>
          <w:b/>
          <w:bCs/>
        </w:rPr>
        <w:t>（三） 推进区域融合</w:t>
      </w:r>
    </w:p>
    <w:p w14:paraId="0C18999E">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t>立足黄河流域整体，加强</w:t>
      </w:r>
      <w:r>
        <w:rPr>
          <w:rFonts w:hint="eastAsia"/>
          <w:lang w:val="en-US" w:eastAsia="zh-CN"/>
        </w:rPr>
        <w:t>红寺堡区</w:t>
      </w:r>
      <w:r>
        <w:t>域内上下游、左右岸、干支流各区（市）县的协同融合，确保全市防洪排涝、城乡供水、灌溉、水生态保护治理等整体目标的实现。加强</w:t>
      </w:r>
      <w:r>
        <w:rPr>
          <w:rFonts w:hint="eastAsia"/>
          <w:lang w:val="en-US" w:eastAsia="zh-CN"/>
        </w:rPr>
        <w:t>红寺堡区</w:t>
      </w:r>
      <w:r>
        <w:rPr>
          <w:rFonts w:hint="eastAsia"/>
        </w:rPr>
        <w:t>与其他</w:t>
      </w:r>
      <w:r>
        <w:rPr>
          <w:rFonts w:hint="eastAsia"/>
          <w:lang w:val="en-US" w:eastAsia="zh-CN"/>
        </w:rPr>
        <w:t>乡镇</w:t>
      </w:r>
      <w:r>
        <w:t>的协同融合，推进黄河宁夏</w:t>
      </w:r>
      <w:r>
        <w:rPr>
          <w:rFonts w:hint="eastAsia"/>
        </w:rPr>
        <w:t>境内各支流</w:t>
      </w:r>
      <w:r>
        <w:t>的统一规划、统一治理、统一调度、统一管理，充分发挥流域治水管水效能。</w:t>
      </w:r>
    </w:p>
    <w:p w14:paraId="102E109F">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textAlignment w:val="baseline"/>
        <w:rPr>
          <w:rFonts w:hint="eastAsia"/>
        </w:rPr>
      </w:pPr>
      <w:bookmarkStart w:id="229" w:name="_Toc9993"/>
      <w:bookmarkStart w:id="230" w:name="_Toc183959022"/>
      <w:r>
        <w:rPr>
          <w:rFonts w:hint="eastAsia"/>
        </w:rPr>
        <w:t>第四节 完善体制机制</w:t>
      </w:r>
      <w:bookmarkEnd w:id="229"/>
      <w:bookmarkEnd w:id="230"/>
    </w:p>
    <w:p w14:paraId="524D57A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b/>
          <w:bCs/>
        </w:rPr>
        <w:t>（</w:t>
      </w:r>
      <w:r>
        <w:rPr>
          <w:rFonts w:hint="eastAsia"/>
          <w:b/>
          <w:bCs/>
        </w:rPr>
        <w:t>一</w:t>
      </w:r>
      <w:r>
        <w:rPr>
          <w:b/>
          <w:bCs/>
        </w:rPr>
        <w:t>）</w:t>
      </w:r>
      <w:r>
        <w:rPr>
          <w:rFonts w:hint="eastAsia"/>
          <w:b/>
          <w:bCs/>
        </w:rPr>
        <w:t>创新水网投入机制</w:t>
      </w:r>
    </w:p>
    <w:p w14:paraId="488FD749">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积极争取中央资金</w:t>
      </w:r>
      <w:r>
        <w:rPr>
          <w:rFonts w:hint="eastAsia"/>
          <w:lang w:eastAsia="zh-CN"/>
        </w:rPr>
        <w:t>，</w:t>
      </w:r>
      <w:r>
        <w:rPr>
          <w:rFonts w:hint="eastAsia"/>
          <w:lang w:val="en-US" w:eastAsia="zh-CN"/>
        </w:rPr>
        <w:t>包括</w:t>
      </w:r>
      <w:r>
        <w:t>积极争取国家水网骨干工程、水安全保障工程中央预算内投资</w:t>
      </w:r>
      <w:r>
        <w:rPr>
          <w:rFonts w:hint="eastAsia"/>
          <w:lang w:eastAsia="zh-CN"/>
        </w:rPr>
        <w:t>，</w:t>
      </w:r>
      <w:r>
        <w:t>积极争取涉及黄河流域生态保护及高质量发展，中型灌区建设及节水改造、农业水价综合改革、河湖水系连通整治复苏等中央水利发展及奖补资金。 充分利用专项债券</w:t>
      </w:r>
      <w:r>
        <w:rPr>
          <w:rFonts w:hint="eastAsia"/>
          <w:lang w:eastAsia="zh-CN"/>
        </w:rPr>
        <w:t>，</w:t>
      </w:r>
      <w:r>
        <w:t>通过发行地方政府政府专项债券，解决重大水利建设项目地方出资问题。积极争取社会资本</w:t>
      </w:r>
      <w:r>
        <w:rPr>
          <w:rFonts w:hint="eastAsia"/>
          <w:lang w:eastAsia="zh-CN"/>
        </w:rPr>
        <w:t>，</w:t>
      </w:r>
      <w:r>
        <w:t>按照</w:t>
      </w:r>
      <w:r>
        <w:rPr>
          <w:rFonts w:hint="eastAsia"/>
          <w:lang w:val="en-US" w:eastAsia="zh-CN"/>
        </w:rPr>
        <w:t>相关政策意见</w:t>
      </w:r>
      <w:r>
        <w:t>的要求，通过争取信贷支持、盘活存量资产、特许经营、参股控股等多种方式，积极争取社会资本。</w:t>
      </w:r>
    </w:p>
    <w:p w14:paraId="0E10E6D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b/>
          <w:bCs/>
        </w:rPr>
        <w:t>（</w:t>
      </w:r>
      <w:r>
        <w:rPr>
          <w:rFonts w:hint="eastAsia"/>
          <w:b/>
          <w:bCs/>
        </w:rPr>
        <w:t>二</w:t>
      </w:r>
      <w:r>
        <w:rPr>
          <w:b/>
          <w:bCs/>
        </w:rPr>
        <w:t>）</w:t>
      </w:r>
      <w:r>
        <w:rPr>
          <w:rFonts w:hint="eastAsia"/>
          <w:b/>
          <w:bCs/>
        </w:rPr>
        <w:t>创新水网建设机制</w:t>
      </w:r>
    </w:p>
    <w:p w14:paraId="3290FB6E">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t>创新建管模式</w:t>
      </w:r>
      <w:r>
        <w:rPr>
          <w:rFonts w:hint="eastAsia"/>
          <w:lang w:eastAsia="zh-CN"/>
        </w:rPr>
        <w:t>，</w:t>
      </w:r>
      <w:r>
        <w:t>推行代建制、设计施工总承包、项目管理总承包等模式，培育常设性专业化建设管理机构，促进建设管理专业化、集约化。提升建设质量</w:t>
      </w:r>
      <w:r>
        <w:rPr>
          <w:rFonts w:hint="eastAsia"/>
          <w:lang w:eastAsia="zh-CN"/>
        </w:rPr>
        <w:t>，</w:t>
      </w:r>
      <w:r>
        <w:t>落实水利工程建设质量责任、加强水利工程建设质量全生命周期管理、提高水利工程建设质量政府监管效能、强化水利工程建设质量数字赋能、营造质量为先文化氛围、开展水利工程建设质量普遍性问题专项整治、强化水利工程建设监管等为抓手，全力提升水利工程建设质量。</w:t>
      </w:r>
    </w:p>
    <w:p w14:paraId="468174F2">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b/>
          <w:bCs/>
        </w:rPr>
        <w:t>（</w:t>
      </w:r>
      <w:r>
        <w:rPr>
          <w:rFonts w:hint="eastAsia"/>
          <w:b/>
          <w:bCs/>
        </w:rPr>
        <w:t>三</w:t>
      </w:r>
      <w:r>
        <w:rPr>
          <w:b/>
          <w:bCs/>
        </w:rPr>
        <w:t>）</w:t>
      </w:r>
      <w:r>
        <w:rPr>
          <w:rFonts w:hint="eastAsia"/>
          <w:b/>
          <w:bCs/>
        </w:rPr>
        <w:t>创新水网运行机制</w:t>
      </w:r>
    </w:p>
    <w:p w14:paraId="1D375AA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t>推进存量水利工程产权确权</w:t>
      </w:r>
      <w:r>
        <w:rPr>
          <w:rFonts w:hint="eastAsia"/>
          <w:lang w:eastAsia="zh-CN"/>
        </w:rPr>
        <w:t>，</w:t>
      </w:r>
      <w:r>
        <w:t>分类推进水利工程标准化管理与评价工作，推进存量水利工程产权确权，为盘活存量资产创造有利条件，确保工程运行安全和效益持续发挥。改革节水奖励精准补贴机制</w:t>
      </w:r>
      <w:r>
        <w:rPr>
          <w:rFonts w:hint="eastAsia"/>
          <w:lang w:eastAsia="zh-CN"/>
        </w:rPr>
        <w:t>，</w:t>
      </w:r>
      <w:r>
        <w:t>为保障水利工程良性运行，同时考虑到农户的承受能力，确保总体上不增加农户定额内用水负担，执行运行成本终端水价后，重点对农民用水合作组织、新型农业经营主体、用水户进行精准补贴，充分调动用水户改革的积极性。</w:t>
      </w:r>
    </w:p>
    <w:p w14:paraId="3617730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b/>
          <w:bCs/>
        </w:rPr>
      </w:pPr>
      <w:r>
        <w:rPr>
          <w:b/>
          <w:bCs/>
        </w:rPr>
        <w:t>（</w:t>
      </w:r>
      <w:r>
        <w:rPr>
          <w:rFonts w:hint="eastAsia"/>
          <w:b/>
          <w:bCs/>
        </w:rPr>
        <w:t>四</w:t>
      </w:r>
      <w:r>
        <w:rPr>
          <w:b/>
          <w:bCs/>
        </w:rPr>
        <w:t>）</w:t>
      </w:r>
      <w:r>
        <w:rPr>
          <w:rFonts w:hint="eastAsia"/>
          <w:b/>
          <w:bCs/>
        </w:rPr>
        <w:t>创新水网管理机制</w:t>
      </w:r>
    </w:p>
    <w:p w14:paraId="756D8C84">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eastAsia="仿宋_GB2312"/>
          <w:lang w:eastAsia="zh-CN"/>
        </w:rPr>
      </w:pPr>
      <w:r>
        <w:rPr>
          <w:rFonts w:hint="eastAsia"/>
          <w:lang w:val="en-US" w:eastAsia="zh-CN"/>
        </w:rPr>
        <w:t>强化</w:t>
      </w:r>
      <w:r>
        <w:t>节水制度政策</w:t>
      </w:r>
      <w:r>
        <w:rPr>
          <w:rFonts w:hint="eastAsia"/>
          <w:lang w:eastAsia="zh-CN"/>
        </w:rPr>
        <w:t>，</w:t>
      </w:r>
      <w:r>
        <w:t>深化总量强度双控</w:t>
      </w:r>
      <w:r>
        <w:rPr>
          <w:rFonts w:hint="eastAsia"/>
          <w:lang w:val="en-US" w:eastAsia="zh-CN"/>
        </w:rPr>
        <w:t>指标</w:t>
      </w:r>
      <w:r>
        <w:rPr>
          <w:rFonts w:hint="eastAsia"/>
          <w:lang w:eastAsia="zh-CN"/>
        </w:rPr>
        <w:t>，</w:t>
      </w:r>
      <w:r>
        <w:t>强化用水目标指标约束作用</w:t>
      </w:r>
      <w:r>
        <w:rPr>
          <w:rFonts w:hint="eastAsia"/>
          <w:lang w:eastAsia="zh-CN"/>
        </w:rPr>
        <w:t>，</w:t>
      </w:r>
      <w:r>
        <w:t>健全节水管理体制机制</w:t>
      </w:r>
      <w:r>
        <w:rPr>
          <w:rFonts w:hint="eastAsia"/>
          <w:lang w:eastAsia="zh-CN"/>
        </w:rPr>
        <w:t>，</w:t>
      </w:r>
      <w:r>
        <w:t>建立健全节水指标与标准</w:t>
      </w:r>
      <w:r>
        <w:rPr>
          <w:rFonts w:hint="eastAsia"/>
          <w:lang w:eastAsia="zh-CN"/>
        </w:rPr>
        <w:t>，</w:t>
      </w:r>
      <w:r>
        <w:t>健全部门协调机制，健全节水激励机制，深入推进水价改革与水资源税改革，建立节水奖补机制，推行合同节水管理。 健全水权指标分配与交易制度</w:t>
      </w:r>
      <w:r>
        <w:rPr>
          <w:rFonts w:hint="eastAsia"/>
          <w:lang w:eastAsia="zh-CN"/>
        </w:rPr>
        <w:t>，</w:t>
      </w:r>
      <w:r>
        <w:rPr>
          <w:rFonts w:hint="eastAsia"/>
        </w:rPr>
        <w:t>健全水资源确权和动态管理制度</w:t>
      </w:r>
      <w:r>
        <w:rPr>
          <w:rFonts w:hint="eastAsia"/>
          <w:lang w:eastAsia="zh-CN"/>
        </w:rPr>
        <w:t>。</w:t>
      </w:r>
      <w:r>
        <w:rPr>
          <w:rFonts w:hint="eastAsia"/>
          <w:lang w:val="en-US" w:eastAsia="zh-CN"/>
        </w:rPr>
        <w:t>加强</w:t>
      </w:r>
      <w:r>
        <w:t>水资源管理</w:t>
      </w:r>
      <w:r>
        <w:rPr>
          <w:rFonts w:hint="eastAsia"/>
          <w:lang w:eastAsia="zh-CN"/>
        </w:rPr>
        <w:t>，</w:t>
      </w:r>
      <w:r>
        <w:t>全面开展水资源论证和区域水资源评估制度</w:t>
      </w:r>
      <w:r>
        <w:rPr>
          <w:rFonts w:hint="eastAsia"/>
          <w:lang w:eastAsia="zh-CN"/>
        </w:rPr>
        <w:t>，</w:t>
      </w:r>
      <w:r>
        <w:t>严格建设项目水资源论证和取水许可监管</w:t>
      </w:r>
      <w:r>
        <w:rPr>
          <w:rFonts w:hint="eastAsia"/>
          <w:lang w:eastAsia="zh-CN"/>
        </w:rPr>
        <w:t>。</w:t>
      </w:r>
    </w:p>
    <w:p w14:paraId="005409C4">
      <w:pPr>
        <w:keepNext w:val="0"/>
        <w:keepLines w:val="0"/>
        <w:pageBreakBefore w:val="0"/>
        <w:widowControl w:val="0"/>
        <w:kinsoku/>
        <w:wordWrap/>
        <w:overflowPunct w:val="0"/>
        <w:topLinePunct w:val="0"/>
        <w:autoSpaceDE w:val="0"/>
        <w:autoSpaceDN w:val="0"/>
        <w:bidi w:val="0"/>
        <w:adjustRightInd w:val="0"/>
        <w:snapToGrid w:val="0"/>
        <w:jc w:val="both"/>
        <w:textAlignment w:val="baseline"/>
        <w:sectPr>
          <w:headerReference r:id="rId15" w:type="default"/>
          <w:footerReference r:id="rId16" w:type="default"/>
          <w:pgSz w:w="11907" w:h="16839"/>
          <w:pgMar w:top="1701" w:right="1701" w:bottom="1701" w:left="1701" w:header="1304" w:footer="1304" w:gutter="0"/>
          <w:pgBorders>
            <w:top w:val="none" w:sz="0" w:space="0"/>
            <w:left w:val="none" w:sz="0" w:space="0"/>
            <w:bottom w:val="none" w:sz="0" w:space="0"/>
            <w:right w:val="none" w:sz="0" w:space="0"/>
          </w:pgBorders>
          <w:pgNumType w:fmt="decimal"/>
          <w:cols w:space="720" w:num="1"/>
        </w:sectPr>
      </w:pPr>
    </w:p>
    <w:p w14:paraId="36917A99">
      <w:pPr>
        <w:pStyle w:val="2"/>
        <w:keepNext w:val="0"/>
        <w:keepLines w:val="0"/>
        <w:pageBreakBefore w:val="0"/>
        <w:widowControl w:val="0"/>
        <w:kinsoku/>
        <w:wordWrap/>
        <w:overflowPunct w:val="0"/>
        <w:topLinePunct w:val="0"/>
        <w:autoSpaceDE w:val="0"/>
        <w:autoSpaceDN w:val="0"/>
        <w:bidi w:val="0"/>
        <w:adjustRightInd w:val="0"/>
        <w:snapToGrid w:val="0"/>
        <w:jc w:val="center"/>
        <w:textAlignment w:val="baseline"/>
        <w:rPr>
          <w:rFonts w:hint="eastAsia"/>
          <w:lang w:eastAsia="zh-CN"/>
        </w:rPr>
      </w:pPr>
      <w:bookmarkStart w:id="231" w:name="_Toc19079"/>
      <w:bookmarkStart w:id="232" w:name="_Toc10488"/>
      <w:bookmarkStart w:id="233" w:name="_Toc13086"/>
      <w:bookmarkStart w:id="234" w:name="_Toc6555"/>
      <w:bookmarkStart w:id="235" w:name="_Toc31382"/>
      <w:r>
        <w:rPr>
          <w:rFonts w:hint="eastAsia"/>
          <w:lang w:eastAsia="zh-CN"/>
        </w:rPr>
        <w:t>第</w:t>
      </w:r>
      <w:r>
        <w:rPr>
          <w:rFonts w:hint="eastAsia"/>
          <w:lang w:val="en-US" w:eastAsia="zh-CN"/>
        </w:rPr>
        <w:t>十</w:t>
      </w:r>
      <w:r>
        <w:rPr>
          <w:rFonts w:hint="eastAsia"/>
          <w:lang w:eastAsia="zh-CN"/>
        </w:rPr>
        <w:t>章  投资匡算及工程实施安排</w:t>
      </w:r>
      <w:bookmarkEnd w:id="231"/>
      <w:bookmarkEnd w:id="232"/>
      <w:bookmarkEnd w:id="233"/>
      <w:bookmarkEnd w:id="234"/>
      <w:bookmarkEnd w:id="235"/>
    </w:p>
    <w:p w14:paraId="6E79B40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围绕红寺堡区水网建设规划确定的目标和任务，根据已批准和正在编制的相关规划、重点工程前期工作以及红寺堡区上报投资需求考虑当前需要和今后国家、自治区和地方可能的投入水平，突出重点、统筹兼顾、综合平衡，初步匡算红寺堡区水网建设规划总投资</w:t>
      </w:r>
      <w:r>
        <w:rPr>
          <w:rFonts w:hint="eastAsia"/>
          <w:lang w:val="en-US" w:eastAsia="zh-CN"/>
        </w:rPr>
        <w:t>59.50</w:t>
      </w:r>
      <w:r>
        <w:rPr>
          <w:rFonts w:hint="eastAsia"/>
          <w:lang w:eastAsia="zh-CN"/>
        </w:rPr>
        <w:t>亿元。</w:t>
      </w:r>
    </w:p>
    <w:p w14:paraId="3385890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总投资</w:t>
      </w:r>
      <w:r>
        <w:rPr>
          <w:rFonts w:hint="eastAsia"/>
          <w:lang w:val="en-US" w:eastAsia="zh-CN"/>
        </w:rPr>
        <w:t>59.50</w:t>
      </w:r>
      <w:r>
        <w:rPr>
          <w:rFonts w:hint="eastAsia"/>
          <w:lang w:eastAsia="zh-CN"/>
        </w:rPr>
        <w:t>亿元中，其中构建防洪排涝网工程投资</w:t>
      </w:r>
      <w:r>
        <w:rPr>
          <w:rFonts w:hint="eastAsia"/>
          <w:lang w:val="en-US" w:eastAsia="zh-CN"/>
        </w:rPr>
        <w:t>5.24</w:t>
      </w:r>
      <w:r>
        <w:rPr>
          <w:rFonts w:hint="eastAsia"/>
          <w:lang w:eastAsia="zh-CN"/>
        </w:rPr>
        <w:t>亿元，占</w:t>
      </w:r>
      <w:r>
        <w:rPr>
          <w:rFonts w:hint="eastAsia"/>
          <w:color w:val="auto"/>
          <w:lang w:val="en-US" w:eastAsia="zh-CN"/>
        </w:rPr>
        <w:t>8.81</w:t>
      </w:r>
      <w:r>
        <w:rPr>
          <w:rFonts w:hint="eastAsia"/>
          <w:lang w:eastAsia="zh-CN"/>
        </w:rPr>
        <w:t>%；构建城乡供水网工程投资</w:t>
      </w:r>
      <w:r>
        <w:rPr>
          <w:rFonts w:hint="eastAsia"/>
          <w:lang w:val="en-US" w:eastAsia="zh-CN"/>
        </w:rPr>
        <w:t>26.56</w:t>
      </w:r>
      <w:r>
        <w:rPr>
          <w:rFonts w:hint="eastAsia"/>
          <w:lang w:eastAsia="zh-CN"/>
        </w:rPr>
        <w:t>亿元，占</w:t>
      </w:r>
      <w:r>
        <w:rPr>
          <w:rFonts w:hint="eastAsia"/>
          <w:lang w:val="en-US" w:eastAsia="zh-CN"/>
        </w:rPr>
        <w:t>44.64</w:t>
      </w:r>
      <w:r>
        <w:rPr>
          <w:rFonts w:hint="eastAsia"/>
          <w:lang w:eastAsia="zh-CN"/>
        </w:rPr>
        <w:t>%；构建灌溉排水网工程投资</w:t>
      </w:r>
      <w:r>
        <w:rPr>
          <w:rFonts w:hint="eastAsia"/>
          <w:lang w:val="en-US" w:eastAsia="zh-CN"/>
        </w:rPr>
        <w:t>15.5</w:t>
      </w:r>
      <w:r>
        <w:rPr>
          <w:rFonts w:hint="eastAsia"/>
          <w:lang w:eastAsia="zh-CN"/>
        </w:rPr>
        <w:t>亿元，占</w:t>
      </w:r>
      <w:r>
        <w:rPr>
          <w:rFonts w:hint="eastAsia"/>
          <w:lang w:val="en-US" w:eastAsia="zh-CN"/>
        </w:rPr>
        <w:t>26.05</w:t>
      </w:r>
      <w:r>
        <w:rPr>
          <w:rFonts w:hint="eastAsia"/>
          <w:lang w:eastAsia="zh-CN"/>
        </w:rPr>
        <w:t>%；构建河湖生态保护网工程投资</w:t>
      </w:r>
      <w:r>
        <w:rPr>
          <w:rFonts w:hint="eastAsia"/>
          <w:lang w:val="en-US" w:eastAsia="zh-CN"/>
        </w:rPr>
        <w:t>11.7</w:t>
      </w:r>
      <w:r>
        <w:rPr>
          <w:rFonts w:hint="eastAsia"/>
          <w:lang w:eastAsia="zh-CN"/>
        </w:rPr>
        <w:t>亿元，占</w:t>
      </w:r>
      <w:r>
        <w:rPr>
          <w:rFonts w:hint="eastAsia"/>
          <w:lang w:val="en-US" w:eastAsia="zh-CN"/>
        </w:rPr>
        <w:t>19.66</w:t>
      </w:r>
      <w:r>
        <w:rPr>
          <w:rFonts w:hint="eastAsia"/>
          <w:lang w:eastAsia="zh-CN"/>
        </w:rPr>
        <w:t>%；水网智慧化信息化工程项目投资</w:t>
      </w:r>
      <w:r>
        <w:rPr>
          <w:rFonts w:hint="eastAsia"/>
          <w:lang w:val="en-US" w:eastAsia="zh-CN"/>
        </w:rPr>
        <w:t>0.5</w:t>
      </w:r>
      <w:r>
        <w:rPr>
          <w:rFonts w:hint="eastAsia"/>
          <w:lang w:eastAsia="zh-CN"/>
        </w:rPr>
        <w:t>亿元，占</w:t>
      </w:r>
      <w:r>
        <w:rPr>
          <w:rFonts w:hint="eastAsia"/>
          <w:lang w:val="en-US" w:eastAsia="zh-CN"/>
        </w:rPr>
        <w:t>0.84</w:t>
      </w:r>
      <w:r>
        <w:rPr>
          <w:rFonts w:hint="eastAsia"/>
          <w:lang w:eastAsia="zh-CN"/>
        </w:rPr>
        <w:t>%。</w:t>
      </w:r>
    </w:p>
    <w:p w14:paraId="36A8763B">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lang w:eastAsia="zh-CN"/>
        </w:rPr>
      </w:pPr>
      <w:r>
        <w:rPr>
          <w:rFonts w:hint="eastAsia"/>
          <w:lang w:eastAsia="zh-CN"/>
        </w:rPr>
        <w:t>红寺堡区现代水网建设规划重点工程总投资</w:t>
      </w:r>
      <w:r>
        <w:rPr>
          <w:rFonts w:hint="eastAsia"/>
          <w:lang w:val="en-US" w:eastAsia="zh-CN"/>
        </w:rPr>
        <w:t>59.50</w:t>
      </w:r>
      <w:r>
        <w:rPr>
          <w:rFonts w:hint="eastAsia"/>
          <w:lang w:eastAsia="zh-CN"/>
        </w:rPr>
        <w:t>亿元。其中，近期规划（2024—203</w:t>
      </w:r>
      <w:r>
        <w:rPr>
          <w:rFonts w:hint="eastAsia"/>
          <w:lang w:val="en-US" w:eastAsia="zh-CN"/>
        </w:rPr>
        <w:t>0</w:t>
      </w:r>
      <w:r>
        <w:rPr>
          <w:rFonts w:hint="eastAsia"/>
          <w:lang w:eastAsia="zh-CN"/>
        </w:rPr>
        <w:t>年）投资</w:t>
      </w:r>
      <w:r>
        <w:rPr>
          <w:rFonts w:hint="eastAsia"/>
          <w:lang w:val="en-US" w:eastAsia="zh-CN"/>
        </w:rPr>
        <w:t>51.43</w:t>
      </w:r>
      <w:r>
        <w:rPr>
          <w:rFonts w:hint="eastAsia"/>
          <w:lang w:eastAsia="zh-CN"/>
        </w:rPr>
        <w:t>亿元，远期规划（203</w:t>
      </w:r>
      <w:r>
        <w:rPr>
          <w:rFonts w:hint="eastAsia"/>
          <w:lang w:val="en-US" w:eastAsia="zh-CN"/>
        </w:rPr>
        <w:t>1</w:t>
      </w:r>
      <w:r>
        <w:rPr>
          <w:rFonts w:hint="eastAsia"/>
          <w:lang w:eastAsia="zh-CN"/>
        </w:rPr>
        <w:t>—20</w:t>
      </w:r>
      <w:r>
        <w:rPr>
          <w:rFonts w:hint="eastAsia"/>
          <w:lang w:val="en-US" w:eastAsia="zh-CN"/>
        </w:rPr>
        <w:t>35</w:t>
      </w:r>
      <w:r>
        <w:rPr>
          <w:rFonts w:hint="eastAsia"/>
          <w:lang w:eastAsia="zh-CN"/>
        </w:rPr>
        <w:t>年）投资</w:t>
      </w:r>
      <w:r>
        <w:rPr>
          <w:rFonts w:hint="eastAsia"/>
          <w:lang w:val="en-US" w:eastAsia="zh-CN"/>
        </w:rPr>
        <w:t>8.07</w:t>
      </w:r>
      <w:r>
        <w:rPr>
          <w:rFonts w:hint="eastAsia"/>
          <w:lang w:eastAsia="zh-CN"/>
        </w:rPr>
        <w:t>亿元。红寺堡区现代水网建设规划重点工程投资匡算详见表</w:t>
      </w:r>
      <w:r>
        <w:rPr>
          <w:rFonts w:hint="eastAsia"/>
          <w:lang w:val="en-US" w:eastAsia="zh-CN"/>
        </w:rPr>
        <w:t>10</w:t>
      </w:r>
      <w:r>
        <w:rPr>
          <w:rFonts w:hint="eastAsia"/>
          <w:lang w:eastAsia="zh-CN"/>
        </w:rPr>
        <w:t>-1。</w:t>
      </w:r>
    </w:p>
    <w:p w14:paraId="21183B4A">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606D84FF">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202C6E7D">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403E9D67">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71E798C6">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6841E088">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311B67C4">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5BEC6922">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19BE4161">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p>
    <w:p w14:paraId="5ACE6AC3">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center"/>
        <w:rPr>
          <w:rFonts w:hint="eastAsia"/>
          <w:b/>
          <w:bCs/>
          <w:lang w:eastAsia="zh-CN"/>
        </w:rPr>
      </w:pPr>
      <w:r>
        <w:rPr>
          <w:rFonts w:hint="eastAsia"/>
          <w:b/>
          <w:bCs/>
          <w:lang w:eastAsia="zh-CN"/>
        </w:rPr>
        <w:t>表</w:t>
      </w:r>
      <w:r>
        <w:rPr>
          <w:rFonts w:hint="eastAsia"/>
          <w:b/>
          <w:bCs/>
          <w:lang w:val="en-US" w:eastAsia="zh-CN"/>
        </w:rPr>
        <w:t>10</w:t>
      </w:r>
      <w:r>
        <w:rPr>
          <w:rFonts w:hint="eastAsia"/>
          <w:b/>
          <w:bCs/>
          <w:lang w:eastAsia="zh-CN"/>
        </w:rPr>
        <w:t>-1</w:t>
      </w:r>
      <w:r>
        <w:rPr>
          <w:rFonts w:hint="eastAsia"/>
          <w:b/>
          <w:bCs/>
          <w:lang w:val="en-US" w:eastAsia="zh-CN"/>
        </w:rPr>
        <w:t xml:space="preserve">    </w:t>
      </w:r>
      <w:r>
        <w:rPr>
          <w:rFonts w:hint="eastAsia"/>
          <w:b/>
          <w:bCs/>
          <w:lang w:eastAsia="zh-CN"/>
        </w:rPr>
        <w:t>重点工程投资匡算</w:t>
      </w:r>
    </w:p>
    <w:tbl>
      <w:tblPr>
        <w:tblStyle w:val="1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4"/>
        <w:gridCol w:w="3933"/>
        <w:gridCol w:w="1124"/>
        <w:gridCol w:w="1453"/>
        <w:gridCol w:w="1210"/>
      </w:tblGrid>
      <w:tr w14:paraId="734A3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466" w:type="pct"/>
            <w:tcBorders>
              <w:top w:val="single" w:color="000000" w:sz="12" w:space="0"/>
              <w:left w:val="single" w:color="000000" w:sz="12" w:space="0"/>
              <w:bottom w:val="single" w:color="000000" w:sz="4" w:space="0"/>
              <w:right w:val="single" w:color="000000" w:sz="4" w:space="0"/>
            </w:tcBorders>
            <w:shd w:val="clear" w:color="auto" w:fill="auto"/>
            <w:vAlign w:val="center"/>
          </w:tcPr>
          <w:p w14:paraId="433AF4A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序号</w:t>
            </w:r>
          </w:p>
        </w:tc>
        <w:tc>
          <w:tcPr>
            <w:tcW w:w="2309"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2269D058">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项目名称</w:t>
            </w:r>
          </w:p>
        </w:tc>
        <w:tc>
          <w:tcPr>
            <w:tcW w:w="660"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2F79E54A">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近期投资 （万元）</w:t>
            </w:r>
          </w:p>
        </w:tc>
        <w:tc>
          <w:tcPr>
            <w:tcW w:w="853"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15859A8E">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远期投资     （万元）</w:t>
            </w:r>
          </w:p>
        </w:tc>
        <w:tc>
          <w:tcPr>
            <w:tcW w:w="710" w:type="pct"/>
            <w:tcBorders>
              <w:top w:val="single" w:color="000000" w:sz="12" w:space="0"/>
              <w:left w:val="single" w:color="000000" w:sz="4" w:space="0"/>
              <w:bottom w:val="single" w:color="000000" w:sz="4" w:space="0"/>
              <w:right w:val="single" w:color="000000" w:sz="12" w:space="0"/>
            </w:tcBorders>
            <w:shd w:val="clear" w:color="auto" w:fill="auto"/>
            <w:vAlign w:val="center"/>
          </w:tcPr>
          <w:p w14:paraId="7BAF80FF">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总投资  （万元）</w:t>
            </w:r>
          </w:p>
        </w:tc>
      </w:tr>
      <w:tr w14:paraId="03D4C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3FB014DD">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2A6CE">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合     计</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DFC9">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514300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516A">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80700</w:t>
            </w:r>
          </w:p>
        </w:tc>
        <w:tc>
          <w:tcPr>
            <w:tcW w:w="1210"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5E629BB">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595000</w:t>
            </w:r>
          </w:p>
        </w:tc>
      </w:tr>
      <w:tr w14:paraId="1155D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24B17AC7">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b/>
                <w:bCs/>
                <w:i w:val="0"/>
                <w:iCs w:val="0"/>
                <w:snapToGrid w:val="0"/>
                <w:color w:val="000000"/>
                <w:kern w:val="0"/>
                <w:sz w:val="24"/>
                <w:szCs w:val="24"/>
                <w:u w:val="none"/>
                <w:lang w:val="en-US" w:eastAsia="zh-CN" w:bidi="ar"/>
              </w:rPr>
              <w:t>一</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E815A">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b/>
                <w:bCs/>
                <w:i w:val="0"/>
                <w:iCs w:val="0"/>
                <w:snapToGrid w:val="0"/>
                <w:color w:val="000000"/>
                <w:kern w:val="0"/>
                <w:sz w:val="24"/>
                <w:szCs w:val="24"/>
                <w:u w:val="none"/>
                <w:lang w:val="en-US" w:eastAsia="zh-CN" w:bidi="ar"/>
              </w:rPr>
              <w:t>构建防洪排涝网</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55D1C">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16000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85C90">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36400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A415D48">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52400</w:t>
            </w:r>
          </w:p>
        </w:tc>
      </w:tr>
      <w:tr w14:paraId="37540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720E9E8C">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11A6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红寺堡区山洪沟道治理工程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8C08B">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10000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1E43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36400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ED5C2C4">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46400</w:t>
            </w:r>
          </w:p>
        </w:tc>
      </w:tr>
      <w:tr w14:paraId="574A9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794"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6386352">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color w:val="auto"/>
                <w:spacing w:val="-4"/>
                <w:sz w:val="22"/>
                <w:szCs w:val="22"/>
                <w:lang w:val="en-US" w:eastAsia="zh-CN"/>
              </w:rPr>
              <w:t>2</w:t>
            </w:r>
          </w:p>
        </w:tc>
        <w:tc>
          <w:tcPr>
            <w:tcW w:w="3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5DED">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color w:val="auto"/>
                <w:spacing w:val="-4"/>
                <w:sz w:val="22"/>
                <w:szCs w:val="22"/>
                <w:lang w:val="en-US" w:eastAsia="zh-CN"/>
              </w:rPr>
              <w:t>清水河、苦水河、红柳沟防洪治理工程</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0B1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5000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2D8C">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1210"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EDB44AA">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5000</w:t>
            </w:r>
          </w:p>
        </w:tc>
      </w:tr>
      <w:tr w14:paraId="11989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0C6AF794">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default" w:ascii="仿宋_GB2312" w:hAnsi="仿宋_GB2312" w:eastAsia="仿宋_GB2312" w:cs="仿宋_GB2312"/>
                <w:snapToGrid w:val="0"/>
                <w:color w:val="auto"/>
                <w:spacing w:val="-4"/>
                <w:sz w:val="22"/>
                <w:szCs w:val="22"/>
                <w:lang w:val="en-US" w:eastAsia="zh-CN" w:bidi="ar-SA"/>
              </w:rPr>
            </w:pPr>
            <w:r>
              <w:rPr>
                <w:rFonts w:hint="eastAsia" w:ascii="仿宋_GB2312" w:hAnsi="仿宋_GB2312" w:eastAsia="仿宋_GB2312" w:cs="仿宋_GB2312"/>
                <w:snapToGrid w:val="0"/>
                <w:color w:val="auto"/>
                <w:spacing w:val="-4"/>
                <w:sz w:val="22"/>
                <w:szCs w:val="22"/>
                <w:lang w:val="en-US" w:eastAsia="zh-CN" w:bidi="ar-SA"/>
              </w:rPr>
              <w:t>3</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013E1">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default" w:ascii="仿宋_GB2312" w:hAnsi="仿宋_GB2312" w:eastAsia="仿宋_GB2312" w:cs="仿宋_GB2312"/>
                <w:snapToGrid w:val="0"/>
                <w:color w:val="auto"/>
                <w:spacing w:val="-4"/>
                <w:sz w:val="22"/>
                <w:szCs w:val="22"/>
                <w:lang w:val="en-US" w:eastAsia="zh-CN" w:bidi="ar-SA"/>
              </w:rPr>
            </w:pPr>
            <w:r>
              <w:rPr>
                <w:rFonts w:hint="eastAsia" w:ascii="仿宋_GB2312" w:hAnsi="仿宋_GB2312" w:eastAsia="仿宋_GB2312" w:cs="仿宋_GB2312"/>
                <w:snapToGrid w:val="0"/>
                <w:color w:val="auto"/>
                <w:spacing w:val="-4"/>
                <w:sz w:val="22"/>
                <w:szCs w:val="22"/>
                <w:lang w:val="en-US" w:eastAsia="zh-CN" w:bidi="ar-SA"/>
              </w:rPr>
              <w:t>导洪工程提标改造工程</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3908">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1000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D099">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1210"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F20C7AC">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1000</w:t>
            </w:r>
          </w:p>
        </w:tc>
      </w:tr>
      <w:tr w14:paraId="301CF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65A03ECF">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二</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5651A">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构建城乡供水网</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C9913">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225800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DAEB">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39800</w:t>
            </w:r>
          </w:p>
        </w:tc>
        <w:tc>
          <w:tcPr>
            <w:tcW w:w="1210"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5AEFBA0">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265600</w:t>
            </w:r>
          </w:p>
        </w:tc>
      </w:tr>
      <w:tr w14:paraId="3FBE8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45E297C7">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color w:val="auto"/>
                <w:spacing w:val="-4"/>
                <w:sz w:val="22"/>
                <w:szCs w:val="22"/>
                <w:lang w:val="en-US" w:eastAsia="zh-CN"/>
              </w:rPr>
              <w:t>1</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EDD64">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color w:val="auto"/>
                <w:spacing w:val="-4"/>
                <w:sz w:val="22"/>
                <w:szCs w:val="22"/>
                <w:lang w:val="en-US" w:eastAsia="zh-CN"/>
              </w:rPr>
              <w:t>盐同红革命老区供水工程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02A2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150000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50322">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180755B2">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150000</w:t>
            </w:r>
          </w:p>
        </w:tc>
      </w:tr>
      <w:tr w14:paraId="50C58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588DB82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color w:val="auto"/>
                <w:spacing w:val="-4"/>
                <w:sz w:val="22"/>
                <w:szCs w:val="22"/>
                <w:lang w:val="en-US" w:eastAsia="zh-CN"/>
              </w:rPr>
              <w:t>2</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AB855">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color w:val="auto"/>
                <w:spacing w:val="-4"/>
                <w:sz w:val="22"/>
                <w:szCs w:val="22"/>
                <w:lang w:val="en-US" w:eastAsia="zh-CN"/>
              </w:rPr>
              <w:t>红寺堡区数字化城乡供水安全基础设施工程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976E7">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33000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65A48">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602B6363">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33000</w:t>
            </w:r>
          </w:p>
        </w:tc>
      </w:tr>
      <w:tr w14:paraId="57235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7B0A0A0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color w:val="auto"/>
                <w:spacing w:val="-4"/>
                <w:sz w:val="22"/>
                <w:szCs w:val="22"/>
                <w:lang w:val="en-US" w:eastAsia="zh-CN"/>
              </w:rPr>
              <w:t>3</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219B9">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color w:val="auto"/>
                <w:spacing w:val="-4"/>
                <w:sz w:val="22"/>
                <w:szCs w:val="22"/>
                <w:lang w:val="en-US" w:eastAsia="zh-CN"/>
              </w:rPr>
              <w:t>吴忠市红寺堡区乡镇人饮巩固提升工程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69ECD">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7200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F4F22">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4800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FDEA63C">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12000</w:t>
            </w:r>
          </w:p>
        </w:tc>
      </w:tr>
      <w:tr w14:paraId="62244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008697D4">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color w:val="auto"/>
                <w:spacing w:val="-4"/>
                <w:sz w:val="22"/>
                <w:szCs w:val="22"/>
                <w:lang w:val="en-US" w:eastAsia="zh-CN"/>
              </w:rPr>
              <w:t>4</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A37B8">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i w:val="0"/>
                <w:iCs w:val="0"/>
                <w:snapToGrid w:val="0"/>
                <w:color w:val="000000"/>
                <w:kern w:val="0"/>
                <w:sz w:val="24"/>
                <w:szCs w:val="24"/>
                <w:u w:val="none"/>
                <w:lang w:val="en-US" w:eastAsia="zh-CN" w:bidi="ar"/>
              </w:rPr>
            </w:pPr>
            <w:bookmarkStart w:id="236" w:name="OLE_LINK1"/>
            <w:r>
              <w:rPr>
                <w:rFonts w:hint="eastAsia" w:ascii="仿宋_GB2312" w:hAnsi="仿宋_GB2312" w:eastAsia="仿宋_GB2312" w:cs="仿宋_GB2312"/>
                <w:color w:val="auto"/>
                <w:spacing w:val="-4"/>
                <w:sz w:val="22"/>
                <w:szCs w:val="22"/>
                <w:lang w:val="en-US" w:eastAsia="zh-CN"/>
              </w:rPr>
              <w:t>鲁家窑水库</w:t>
            </w:r>
            <w:bookmarkEnd w:id="236"/>
            <w:r>
              <w:rPr>
                <w:rFonts w:hint="eastAsia" w:ascii="仿宋_GB2312" w:hAnsi="仿宋_GB2312" w:eastAsia="仿宋_GB2312" w:cs="仿宋_GB2312"/>
                <w:color w:val="auto"/>
                <w:spacing w:val="-4"/>
                <w:sz w:val="22"/>
                <w:szCs w:val="22"/>
                <w:lang w:val="en-US" w:eastAsia="zh-CN"/>
              </w:rPr>
              <w:t>的扩容改造工程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B1A6A">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10600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5F50E">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EEA79D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10600</w:t>
            </w:r>
          </w:p>
        </w:tc>
      </w:tr>
      <w:tr w14:paraId="29B95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4CF50E4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2EFBB">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红寺堡区葡萄产业园供水工程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4DAF">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20000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4E204">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30000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9751AB9">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50000</w:t>
            </w:r>
          </w:p>
        </w:tc>
      </w:tr>
      <w:tr w14:paraId="0FD1C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6C08AD87">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6</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625CB">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红寺堡灌域调蓄水池连通工程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ED488">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E8994">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5000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40F6A2C8">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10000</w:t>
            </w:r>
          </w:p>
        </w:tc>
      </w:tr>
      <w:tr w14:paraId="25959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2379E467">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三</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E2B53">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构建灌溉排水网</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905E7">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155000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48360">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34EAED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155000</w:t>
            </w:r>
          </w:p>
        </w:tc>
      </w:tr>
      <w:tr w14:paraId="2275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2DF89520">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1E497">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红寺堡灌区现代化改造工程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4DD0F">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150000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589A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07447CE">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150000</w:t>
            </w:r>
          </w:p>
        </w:tc>
      </w:tr>
      <w:tr w14:paraId="60799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0EB2AD7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2</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79BEF">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红寺堡区再生水资源综合利用工程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DB12">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A4F15">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2E09EB4">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5000</w:t>
            </w:r>
          </w:p>
        </w:tc>
      </w:tr>
      <w:tr w14:paraId="35AE0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18CB6314">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四</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8E768">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构建河湖生态保护网</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650D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112500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585B7">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4500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2491CD4">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bCs/>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117000</w:t>
            </w:r>
          </w:p>
        </w:tc>
      </w:tr>
      <w:tr w14:paraId="2E858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1"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40F1E4A3">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407C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环罗山山水林田湖草沙生态保护修复综合治理项目</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F219E">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6000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D152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7231EEA7">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6000</w:t>
            </w:r>
          </w:p>
        </w:tc>
      </w:tr>
      <w:tr w14:paraId="72F08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0F216FA7">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2</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4D51C">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红寺堡区水土流失治理工程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BF375">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1500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23AE4">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4500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26E6B255">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6000</w:t>
            </w:r>
          </w:p>
        </w:tc>
      </w:tr>
      <w:tr w14:paraId="15CC4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8"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5BFE91CD">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3</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D3B3A">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default"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清水河生态保护修复综合工程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1B31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default"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11000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A5E0B">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5307B73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default"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11000</w:t>
            </w:r>
          </w:p>
        </w:tc>
      </w:tr>
      <w:tr w14:paraId="24B6A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274B3D92">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4</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6F14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default"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苦水河、小甜水河、红柳沟生态修复工程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B8142">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default"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15000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A8DBF">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ACDD86A">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rPr>
                <w:rFonts w:hint="default"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15000</w:t>
            </w:r>
          </w:p>
        </w:tc>
      </w:tr>
      <w:tr w14:paraId="078DC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466" w:type="pct"/>
            <w:tcBorders>
              <w:top w:val="single" w:color="000000" w:sz="4" w:space="0"/>
              <w:left w:val="single" w:color="000000" w:sz="12" w:space="0"/>
              <w:bottom w:val="single" w:color="000000" w:sz="4" w:space="0"/>
              <w:right w:val="single" w:color="000000" w:sz="4" w:space="0"/>
            </w:tcBorders>
            <w:shd w:val="clear" w:color="auto" w:fill="auto"/>
            <w:vAlign w:val="center"/>
          </w:tcPr>
          <w:p w14:paraId="7410255D">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b w:val="0"/>
                <w:bCs w:val="0"/>
                <w:i w:val="0"/>
                <w:iCs w:val="0"/>
                <w:snapToGrid w:val="0"/>
                <w:color w:val="000000"/>
                <w:kern w:val="0"/>
                <w:sz w:val="24"/>
                <w:szCs w:val="24"/>
                <w:u w:val="none"/>
                <w:lang w:val="en-US" w:eastAsia="zh-CN" w:bidi="ar"/>
              </w:rPr>
            </w:pPr>
            <w:r>
              <w:rPr>
                <w:rFonts w:hint="eastAsia" w:ascii="仿宋_GB2312" w:hAnsi="仿宋_GB2312" w:cs="仿宋_GB2312"/>
                <w:b w:val="0"/>
                <w:bCs w:val="0"/>
                <w:i w:val="0"/>
                <w:iCs w:val="0"/>
                <w:snapToGrid w:val="0"/>
                <w:color w:val="000000"/>
                <w:kern w:val="0"/>
                <w:sz w:val="24"/>
                <w:szCs w:val="24"/>
                <w:u w:val="none"/>
                <w:lang w:val="en-US" w:eastAsia="zh-CN" w:bidi="ar"/>
              </w:rPr>
              <w:t>5</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6CB16">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default" w:ascii="仿宋_GB2312" w:hAnsi="仿宋_GB2312" w:eastAsia="仿宋_GB2312" w:cs="仿宋_GB2312"/>
                <w:b w:val="0"/>
                <w:bCs w:val="0"/>
                <w:i w:val="0"/>
                <w:iCs w:val="0"/>
                <w:snapToGrid w:val="0"/>
                <w:color w:val="000000"/>
                <w:kern w:val="0"/>
                <w:sz w:val="24"/>
                <w:szCs w:val="24"/>
                <w:u w:val="none"/>
                <w:lang w:val="en-US" w:eastAsia="zh-CN" w:bidi="ar"/>
              </w:rPr>
            </w:pPr>
            <w:r>
              <w:rPr>
                <w:rFonts w:hint="eastAsia" w:ascii="仿宋_GB2312" w:hAnsi="仿宋_GB2312" w:cs="仿宋_GB2312"/>
                <w:b w:val="0"/>
                <w:bCs w:val="0"/>
                <w:i w:val="0"/>
                <w:iCs w:val="0"/>
                <w:snapToGrid w:val="0"/>
                <w:color w:val="000000"/>
                <w:kern w:val="0"/>
                <w:sz w:val="24"/>
                <w:szCs w:val="24"/>
                <w:u w:val="none"/>
                <w:lang w:val="en-US" w:eastAsia="zh-CN" w:bidi="ar"/>
              </w:rPr>
              <w:t>红寺堡区盐碱地治理工程</w:t>
            </w:r>
          </w:p>
        </w:tc>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DBA11">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val="0"/>
                <w:bCs w:val="0"/>
                <w:color w:val="auto"/>
                <w:spacing w:val="-4"/>
                <w:sz w:val="22"/>
                <w:szCs w:val="22"/>
                <w:lang w:val="en-US" w:eastAsia="zh-CN"/>
              </w:rPr>
            </w:pPr>
            <w:r>
              <w:rPr>
                <w:rFonts w:hint="eastAsia" w:ascii="仿宋_GB2312" w:hAnsi="仿宋_GB2312" w:eastAsia="仿宋_GB2312" w:cs="仿宋_GB2312"/>
                <w:b w:val="0"/>
                <w:bCs w:val="0"/>
                <w:color w:val="auto"/>
                <w:spacing w:val="-4"/>
                <w:sz w:val="22"/>
                <w:szCs w:val="22"/>
                <w:lang w:val="en-US" w:eastAsia="zh-CN"/>
              </w:rPr>
              <w:t>79000</w:t>
            </w:r>
          </w:p>
        </w:tc>
        <w:tc>
          <w:tcPr>
            <w:tcW w:w="8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78FE5">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val="0"/>
                <w:bCs w:val="0"/>
                <w:color w:val="auto"/>
                <w:spacing w:val="-4"/>
                <w:sz w:val="22"/>
                <w:szCs w:val="22"/>
                <w:lang w:val="en-US" w:eastAsia="zh-CN"/>
              </w:rPr>
            </w:pPr>
            <w:r>
              <w:rPr>
                <w:rFonts w:hint="eastAsia" w:ascii="仿宋_GB2312" w:hAnsi="仿宋_GB2312" w:eastAsia="仿宋_GB2312" w:cs="仿宋_GB2312"/>
                <w:b w:val="0"/>
                <w:bCs w:val="0"/>
                <w:color w:val="auto"/>
                <w:spacing w:val="-4"/>
                <w:sz w:val="22"/>
                <w:szCs w:val="22"/>
                <w:lang w:val="en-US" w:eastAsia="zh-CN"/>
              </w:rPr>
              <w:t>0</w:t>
            </w:r>
          </w:p>
        </w:tc>
        <w:tc>
          <w:tcPr>
            <w:tcW w:w="710" w:type="pct"/>
            <w:tcBorders>
              <w:top w:val="single" w:color="000000" w:sz="4" w:space="0"/>
              <w:left w:val="single" w:color="000000" w:sz="4" w:space="0"/>
              <w:bottom w:val="single" w:color="000000" w:sz="4" w:space="0"/>
              <w:right w:val="single" w:color="000000" w:sz="12" w:space="0"/>
            </w:tcBorders>
            <w:shd w:val="clear" w:color="auto" w:fill="auto"/>
            <w:vAlign w:val="center"/>
          </w:tcPr>
          <w:p w14:paraId="06FA5A8C">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default" w:ascii="仿宋_GB2312" w:hAnsi="仿宋_GB2312" w:eastAsia="仿宋_GB2312" w:cs="仿宋_GB2312"/>
                <w:b w:val="0"/>
                <w:bCs w:val="0"/>
                <w:color w:val="auto"/>
                <w:spacing w:val="-4"/>
                <w:sz w:val="22"/>
                <w:szCs w:val="22"/>
                <w:lang w:val="en-US" w:eastAsia="zh-CN"/>
              </w:rPr>
            </w:pPr>
            <w:r>
              <w:rPr>
                <w:rFonts w:hint="eastAsia" w:ascii="仿宋_GB2312" w:hAnsi="仿宋_GB2312" w:eastAsia="仿宋_GB2312" w:cs="仿宋_GB2312"/>
                <w:b w:val="0"/>
                <w:bCs w:val="0"/>
                <w:color w:val="auto"/>
                <w:spacing w:val="-4"/>
                <w:sz w:val="22"/>
                <w:szCs w:val="22"/>
                <w:lang w:val="en-US" w:eastAsia="zh-CN"/>
              </w:rPr>
              <w:t>79000</w:t>
            </w:r>
          </w:p>
        </w:tc>
      </w:tr>
      <w:tr w14:paraId="125F6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794"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3BE8518">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五</w:t>
            </w:r>
          </w:p>
        </w:tc>
        <w:tc>
          <w:tcPr>
            <w:tcW w:w="3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FF36">
            <w:pPr>
              <w:keepNext w:val="0"/>
              <w:keepLines w:val="0"/>
              <w:pageBreakBefore w:val="0"/>
              <w:widowControl w:val="0"/>
              <w:suppressLineNumbers w:val="0"/>
              <w:kinsoku/>
              <w:wordWrap/>
              <w:overflowPunct w:val="0"/>
              <w:topLinePunct w:val="0"/>
              <w:autoSpaceDE w:val="0"/>
              <w:autoSpaceDN w:val="0"/>
              <w:bidi w:val="0"/>
              <w:adjustRightInd w:val="0"/>
              <w:snapToGrid w:val="0"/>
              <w:spacing w:line="240" w:lineRule="auto"/>
              <w:ind w:firstLine="0" w:firstLineChars="0"/>
              <w:jc w:val="center"/>
              <w:textAlignment w:val="center"/>
              <w:rPr>
                <w:rFonts w:hint="eastAsia" w:ascii="仿宋_GB2312" w:hAnsi="仿宋_GB2312" w:eastAsia="仿宋_GB2312" w:cs="仿宋_GB2312"/>
                <w:b/>
                <w:bCs/>
                <w:i w:val="0"/>
                <w:iCs w:val="0"/>
                <w:snapToGrid w:val="0"/>
                <w:color w:val="000000"/>
                <w:kern w:val="0"/>
                <w:sz w:val="24"/>
                <w:szCs w:val="24"/>
                <w:u w:val="none"/>
                <w:lang w:val="en-US"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水网智慧化信息化</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185F">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5000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E2FE">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0</w:t>
            </w:r>
          </w:p>
        </w:tc>
        <w:tc>
          <w:tcPr>
            <w:tcW w:w="1210"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FCC6C47">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b/>
                <w:bCs/>
                <w:color w:val="auto"/>
                <w:spacing w:val="-4"/>
                <w:sz w:val="22"/>
                <w:szCs w:val="22"/>
                <w:lang w:val="en-US" w:eastAsia="zh-CN"/>
              </w:rPr>
              <w:t>5000</w:t>
            </w:r>
          </w:p>
        </w:tc>
      </w:tr>
      <w:tr w14:paraId="71AA7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jc w:val="center"/>
        </w:trPr>
        <w:tc>
          <w:tcPr>
            <w:tcW w:w="794" w:type="dxa"/>
            <w:tcBorders>
              <w:top w:val="single" w:color="000000" w:sz="4" w:space="0"/>
              <w:left w:val="single" w:color="000000" w:sz="12" w:space="0"/>
              <w:bottom w:val="single" w:color="000000" w:sz="12" w:space="0"/>
              <w:right w:val="single" w:color="000000" w:sz="4" w:space="0"/>
            </w:tcBorders>
            <w:shd w:val="clear" w:color="auto" w:fill="auto"/>
            <w:vAlign w:val="center"/>
          </w:tcPr>
          <w:p w14:paraId="0A9A3645">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1</w:t>
            </w:r>
          </w:p>
        </w:tc>
        <w:tc>
          <w:tcPr>
            <w:tcW w:w="393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3D254C2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highlight w:val="none"/>
                <w:lang w:val="en-US" w:eastAsia="zh-CN"/>
              </w:rPr>
            </w:pPr>
            <w:r>
              <w:rPr>
                <w:rFonts w:hint="eastAsia" w:ascii="仿宋_GB2312" w:hAnsi="仿宋_GB2312" w:eastAsia="仿宋_GB2312" w:cs="仿宋_GB2312"/>
                <w:color w:val="auto"/>
                <w:spacing w:val="-4"/>
                <w:sz w:val="22"/>
                <w:szCs w:val="22"/>
                <w:highlight w:val="none"/>
                <w:lang w:val="en-US" w:eastAsia="zh-CN"/>
              </w:rPr>
              <w:t>数字孪生信息网络项目</w:t>
            </w:r>
          </w:p>
        </w:tc>
        <w:tc>
          <w:tcPr>
            <w:tcW w:w="1124"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7A854DA6">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5000</w:t>
            </w:r>
          </w:p>
        </w:tc>
        <w:tc>
          <w:tcPr>
            <w:tcW w:w="145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0B9FCF5D">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0</w:t>
            </w:r>
          </w:p>
        </w:tc>
        <w:tc>
          <w:tcPr>
            <w:tcW w:w="1210"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76E630A5">
            <w:pPr>
              <w:pStyle w:val="22"/>
              <w:keepNext w:val="0"/>
              <w:keepLines w:val="0"/>
              <w:pageBreakBefore w:val="0"/>
              <w:widowControl w:val="0"/>
              <w:kinsoku/>
              <w:wordWrap/>
              <w:overflowPunct w:val="0"/>
              <w:topLinePunct w:val="0"/>
              <w:autoSpaceDE w:val="0"/>
              <w:autoSpaceDN w:val="0"/>
              <w:bidi w:val="0"/>
              <w:adjustRightInd w:val="0"/>
              <w:snapToGrid w:val="0"/>
              <w:spacing w:before="123" w:line="360" w:lineRule="auto"/>
              <w:ind w:firstLine="0" w:firstLineChars="0"/>
              <w:rPr>
                <w:rFonts w:hint="eastAsia" w:ascii="仿宋_GB2312" w:hAnsi="仿宋_GB2312" w:eastAsia="仿宋_GB2312" w:cs="仿宋_GB2312"/>
                <w:color w:val="auto"/>
                <w:spacing w:val="-4"/>
                <w:sz w:val="22"/>
                <w:szCs w:val="22"/>
                <w:lang w:val="en-US" w:eastAsia="zh-CN"/>
              </w:rPr>
            </w:pPr>
            <w:r>
              <w:rPr>
                <w:rFonts w:hint="eastAsia" w:ascii="仿宋_GB2312" w:hAnsi="仿宋_GB2312" w:eastAsia="仿宋_GB2312" w:cs="仿宋_GB2312"/>
                <w:color w:val="auto"/>
                <w:spacing w:val="-4"/>
                <w:sz w:val="22"/>
                <w:szCs w:val="22"/>
                <w:lang w:val="en-US" w:eastAsia="zh-CN"/>
              </w:rPr>
              <w:t>5000</w:t>
            </w:r>
          </w:p>
        </w:tc>
      </w:tr>
    </w:tbl>
    <w:p w14:paraId="636D7F5A">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rPr>
          <w:rFonts w:hint="eastAsia"/>
          <w:lang w:eastAsia="zh-CN"/>
        </w:rPr>
        <w:sectPr>
          <w:headerReference r:id="rId17" w:type="default"/>
          <w:footerReference r:id="rId18" w:type="default"/>
          <w:pgSz w:w="11907" w:h="16839"/>
          <w:pgMar w:top="1440" w:right="1803" w:bottom="1440" w:left="1803" w:header="0" w:footer="986" w:gutter="0"/>
          <w:pgBorders>
            <w:top w:val="none" w:sz="0" w:space="0"/>
            <w:left w:val="none" w:sz="0" w:space="0"/>
            <w:bottom w:val="none" w:sz="0" w:space="0"/>
            <w:right w:val="none" w:sz="0" w:space="0"/>
          </w:pgBorders>
          <w:pgNumType w:fmt="decimal"/>
          <w:cols w:space="0" w:num="1"/>
        </w:sectPr>
      </w:pPr>
    </w:p>
    <w:p w14:paraId="19B9997E">
      <w:pPr>
        <w:pStyle w:val="2"/>
        <w:keepNext w:val="0"/>
        <w:keepLines w:val="0"/>
        <w:pageBreakBefore w:val="0"/>
        <w:widowControl w:val="0"/>
        <w:kinsoku/>
        <w:wordWrap/>
        <w:overflowPunct w:val="0"/>
        <w:topLinePunct w:val="0"/>
        <w:autoSpaceDE w:val="0"/>
        <w:autoSpaceDN w:val="0"/>
        <w:bidi w:val="0"/>
        <w:adjustRightInd w:val="0"/>
        <w:snapToGrid w:val="0"/>
        <w:rPr>
          <w:rFonts w:hint="default" w:eastAsia="黑体"/>
          <w:lang w:val="en-US" w:eastAsia="zh-CN"/>
        </w:rPr>
      </w:pPr>
      <w:bookmarkStart w:id="237" w:name="bookmark49"/>
      <w:bookmarkEnd w:id="237"/>
      <w:bookmarkStart w:id="238" w:name="_Toc183959026"/>
      <w:bookmarkStart w:id="239" w:name="_Toc4080"/>
      <w:r>
        <w:rPr>
          <w:rFonts w:hint="eastAsia"/>
          <w:lang w:val="en-US" w:eastAsia="en-US"/>
        </w:rPr>
        <w:t>第</w:t>
      </w:r>
      <w:r>
        <w:rPr>
          <w:rFonts w:hint="eastAsia"/>
          <w:lang w:val="en-US" w:eastAsia="zh-CN"/>
        </w:rPr>
        <w:t>十一</w:t>
      </w:r>
      <w:r>
        <w:rPr>
          <w:rFonts w:hint="eastAsia"/>
          <w:lang w:val="en-US" w:eastAsia="en-US"/>
        </w:rPr>
        <w:t xml:space="preserve">章 </w:t>
      </w:r>
      <w:r>
        <w:rPr>
          <w:rFonts w:hint="eastAsia"/>
        </w:rPr>
        <w:t>环境影响评价</w:t>
      </w:r>
      <w:bookmarkEnd w:id="238"/>
      <w:r>
        <w:rPr>
          <w:rFonts w:hint="eastAsia"/>
          <w:lang w:val="en-US" w:eastAsia="zh-CN"/>
        </w:rPr>
        <w:t>及社会稳定风险评估</w:t>
      </w:r>
      <w:bookmarkEnd w:id="239"/>
    </w:p>
    <w:p w14:paraId="17479C84">
      <w:pPr>
        <w:keepNext w:val="0"/>
        <w:keepLines w:val="0"/>
        <w:pageBreakBefore w:val="0"/>
        <w:widowControl w:val="0"/>
        <w:kinsoku/>
        <w:wordWrap/>
        <w:overflowPunct w:val="0"/>
        <w:topLinePunct w:val="0"/>
        <w:autoSpaceDE w:val="0"/>
        <w:autoSpaceDN w:val="0"/>
        <w:bidi w:val="0"/>
        <w:adjustRightInd w:val="0"/>
        <w:snapToGrid w:val="0"/>
      </w:pPr>
      <w:r>
        <w:t>本规划是针对</w:t>
      </w:r>
      <w:r>
        <w:rPr>
          <w:rFonts w:hint="eastAsia"/>
          <w:lang w:val="en-US" w:eastAsia="zh-CN"/>
        </w:rPr>
        <w:t>红寺堡区</w:t>
      </w:r>
      <w:r>
        <w:t>水利发展全面系统的规划，将促进</w:t>
      </w:r>
      <w:r>
        <w:rPr>
          <w:rFonts w:hint="eastAsia"/>
          <w:lang w:val="en-US" w:eastAsia="zh-CN"/>
        </w:rPr>
        <w:t>红寺堡区</w:t>
      </w:r>
      <w:r>
        <w:t>经济社会发展的转型升级。规划实施后，可有效缓解</w:t>
      </w:r>
      <w:r>
        <w:rPr>
          <w:rFonts w:hint="eastAsia"/>
          <w:lang w:val="en-US" w:eastAsia="zh-CN"/>
        </w:rPr>
        <w:t>红寺堡区及各乡镇</w:t>
      </w:r>
      <w:r>
        <w:t>的用水紧张问题，切实解决饮水困难，提高城乡安全保障。能提高水资源利用效率，有效改善</w:t>
      </w:r>
      <w:r>
        <w:rPr>
          <w:rFonts w:hint="eastAsia"/>
          <w:lang w:val="en-US" w:eastAsia="zh-CN"/>
        </w:rPr>
        <w:t>红寺堡区</w:t>
      </w:r>
      <w:r>
        <w:t>的生态环境质量，促进美丽</w:t>
      </w:r>
      <w:r>
        <w:rPr>
          <w:rFonts w:hint="eastAsia"/>
          <w:lang w:val="en-US" w:eastAsia="zh-CN"/>
        </w:rPr>
        <w:t>红寺堡</w:t>
      </w:r>
      <w:r>
        <w:t>建设。但规划工程实施会对环境产生一定影响，，一定时期内影响局部地区居民的生活生产环境。</w:t>
      </w:r>
    </w:p>
    <w:p w14:paraId="06057C0C">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40" w:name="_Toc183959027"/>
      <w:bookmarkStart w:id="241" w:name="_Toc23737"/>
      <w:r>
        <w:rPr>
          <w:rFonts w:hint="eastAsia"/>
        </w:rPr>
        <w:t>第一节 环境保护要求</w:t>
      </w:r>
      <w:bookmarkEnd w:id="240"/>
      <w:bookmarkEnd w:id="241"/>
    </w:p>
    <w:p w14:paraId="3BE57E06">
      <w:pPr>
        <w:keepNext w:val="0"/>
        <w:keepLines w:val="0"/>
        <w:pageBreakBefore w:val="0"/>
        <w:widowControl w:val="0"/>
        <w:kinsoku/>
        <w:wordWrap/>
        <w:overflowPunct w:val="0"/>
        <w:topLinePunct w:val="0"/>
        <w:autoSpaceDE w:val="0"/>
        <w:autoSpaceDN w:val="0"/>
        <w:bidi w:val="0"/>
        <w:adjustRightInd w:val="0"/>
        <w:snapToGrid w:val="0"/>
      </w:pPr>
      <w:r>
        <w:t>本次规划范围覆盖</w:t>
      </w:r>
      <w:r>
        <w:rPr>
          <w:rFonts w:hint="eastAsia"/>
          <w:lang w:val="en-US" w:eastAsia="zh-CN"/>
        </w:rPr>
        <w:t>红寺堡区</w:t>
      </w:r>
      <w:r>
        <w:t>全域，规划环境影响评价范围与规划范围一致，评价重点范围为区域内主要河流、重要湿地，以及生态环境保护与修复和经济社会发展的重点地区。</w:t>
      </w:r>
    </w:p>
    <w:p w14:paraId="6D795B87">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（一）</w:t>
      </w:r>
      <w:r>
        <w:rPr>
          <w:rFonts w:hint="eastAsia"/>
          <w:b/>
          <w:bCs/>
        </w:rPr>
        <w:t>水环境保护要求</w:t>
      </w:r>
    </w:p>
    <w:p w14:paraId="0A6B6202">
      <w:pPr>
        <w:keepNext w:val="0"/>
        <w:keepLines w:val="0"/>
        <w:pageBreakBefore w:val="0"/>
        <w:widowControl w:val="0"/>
        <w:kinsoku/>
        <w:wordWrap/>
        <w:overflowPunct w:val="0"/>
        <w:topLinePunct w:val="0"/>
        <w:autoSpaceDE w:val="0"/>
        <w:autoSpaceDN w:val="0"/>
        <w:bidi w:val="0"/>
        <w:adjustRightInd w:val="0"/>
        <w:snapToGrid w:val="0"/>
      </w:pPr>
      <w:r>
        <w:t>维持和河流改善河（湖、库）水环境功能，确保水功能区水质达到功能要求，保护和改善地区水环境，满足水源地水质要求。</w:t>
      </w:r>
    </w:p>
    <w:p w14:paraId="12A6BD00">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w:t>
      </w:r>
      <w:r>
        <w:rPr>
          <w:rFonts w:hint="eastAsia"/>
          <w:b/>
          <w:bCs/>
        </w:rPr>
        <w:t>二</w:t>
      </w:r>
      <w:r>
        <w:rPr>
          <w:b/>
          <w:bCs/>
        </w:rPr>
        <w:t>）</w:t>
      </w:r>
      <w:r>
        <w:rPr>
          <w:rFonts w:hint="eastAsia"/>
          <w:b/>
          <w:bCs/>
        </w:rPr>
        <w:t>生态环境保护要求</w:t>
      </w:r>
    </w:p>
    <w:p w14:paraId="6FD28F11">
      <w:pPr>
        <w:keepNext w:val="0"/>
        <w:keepLines w:val="0"/>
        <w:pageBreakBefore w:val="0"/>
        <w:widowControl w:val="0"/>
        <w:kinsoku/>
        <w:wordWrap/>
        <w:overflowPunct w:val="0"/>
        <w:topLinePunct w:val="0"/>
        <w:autoSpaceDE w:val="0"/>
        <w:autoSpaceDN w:val="0"/>
        <w:bidi w:val="0"/>
        <w:adjustRightInd w:val="0"/>
        <w:snapToGrid w:val="0"/>
      </w:pPr>
      <w:r>
        <w:t>维护与改善辖区内各流域生态功能，保护境内各河流水生态系统稳定性和生态完整性，保护生物多样性；保障重要水库及河道生态水量；珍稀、特有水生生物和重要经济鱼类的生境，鱼类产卵场等；保护流域和区域重要生态敏感区；保护和恢复湿地系统；维护水生态环境功能的适宜与稳定。</w:t>
      </w:r>
    </w:p>
    <w:p w14:paraId="0FEFF78C">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w:t>
      </w:r>
      <w:r>
        <w:rPr>
          <w:rFonts w:hint="eastAsia"/>
          <w:b/>
          <w:bCs/>
        </w:rPr>
        <w:t>三</w:t>
      </w:r>
      <w:r>
        <w:rPr>
          <w:b/>
          <w:bCs/>
        </w:rPr>
        <w:t>）</w:t>
      </w:r>
      <w:r>
        <w:rPr>
          <w:rFonts w:hint="eastAsia"/>
          <w:b/>
          <w:bCs/>
        </w:rPr>
        <w:t>社会环境保护要求</w:t>
      </w:r>
    </w:p>
    <w:p w14:paraId="7C60E4FD">
      <w:pPr>
        <w:keepNext w:val="0"/>
        <w:keepLines w:val="0"/>
        <w:pageBreakBefore w:val="0"/>
        <w:widowControl w:val="0"/>
        <w:kinsoku/>
        <w:wordWrap/>
        <w:overflowPunct w:val="0"/>
        <w:topLinePunct w:val="0"/>
        <w:autoSpaceDE w:val="0"/>
        <w:autoSpaceDN w:val="0"/>
        <w:bidi w:val="0"/>
        <w:adjustRightInd w:val="0"/>
        <w:snapToGrid w:val="0"/>
      </w:pPr>
      <w:r>
        <w:t>提高</w:t>
      </w:r>
      <w:r>
        <w:rPr>
          <w:rFonts w:hint="eastAsia"/>
          <w:lang w:val="en-US" w:eastAsia="zh-CN"/>
        </w:rPr>
        <w:t>红寺堡区</w:t>
      </w:r>
      <w:r>
        <w:t>水旱灾害防御能力；促进区域社会经济高质量发展；保护规划范围内人群健康，改善城市、生活与农业供水条件；保护影响区内重要遗产和风景名胜；改善水质与供水条件。</w:t>
      </w:r>
    </w:p>
    <w:p w14:paraId="3A1A55C0">
      <w:pPr>
        <w:pStyle w:val="3"/>
        <w:keepNext w:val="0"/>
        <w:keepLines w:val="0"/>
        <w:pageBreakBefore w:val="0"/>
        <w:widowControl w:val="0"/>
        <w:kinsoku/>
        <w:wordWrap/>
        <w:overflowPunct w:val="0"/>
        <w:topLinePunct w:val="0"/>
        <w:autoSpaceDE w:val="0"/>
        <w:autoSpaceDN w:val="0"/>
        <w:bidi w:val="0"/>
        <w:adjustRightInd w:val="0"/>
        <w:snapToGrid w:val="0"/>
        <w:rPr>
          <w:rFonts w:hint="eastAsia"/>
        </w:rPr>
      </w:pPr>
      <w:bookmarkStart w:id="242" w:name="_Toc183959028"/>
      <w:bookmarkStart w:id="243" w:name="_Toc22846"/>
      <w:r>
        <w:rPr>
          <w:rFonts w:hint="eastAsia"/>
        </w:rPr>
        <w:t>第二节 规划符合性分析</w:t>
      </w:r>
      <w:bookmarkEnd w:id="242"/>
      <w:bookmarkEnd w:id="243"/>
    </w:p>
    <w:p w14:paraId="346BEBEF">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rPr>
          <w:b/>
          <w:bCs/>
        </w:rPr>
      </w:pPr>
      <w:r>
        <w:rPr>
          <w:b/>
          <w:bCs/>
        </w:rPr>
        <w:t>（一）与法律法规的符合性分析</w:t>
      </w:r>
    </w:p>
    <w:p w14:paraId="301B81B6">
      <w:pPr>
        <w:keepNext w:val="0"/>
        <w:keepLines w:val="0"/>
        <w:pageBreakBefore w:val="0"/>
        <w:widowControl w:val="0"/>
        <w:kinsoku/>
        <w:wordWrap/>
        <w:overflowPunct w:val="0"/>
        <w:topLinePunct w:val="0"/>
        <w:autoSpaceDE w:val="0"/>
        <w:autoSpaceDN w:val="0"/>
        <w:bidi w:val="0"/>
        <w:adjustRightInd w:val="0"/>
        <w:snapToGrid w:val="0"/>
        <w:rPr>
          <w:b/>
          <w:bCs/>
        </w:rPr>
      </w:pPr>
      <w:r>
        <w:rPr>
          <w:b/>
          <w:bCs/>
        </w:rPr>
        <w:t>1</w:t>
      </w:r>
      <w:r>
        <w:rPr>
          <w:rFonts w:hint="eastAsia"/>
          <w:b/>
          <w:bCs/>
          <w:lang w:eastAsia="zh-CN"/>
        </w:rPr>
        <w:t>.</w:t>
      </w:r>
      <w:r>
        <w:rPr>
          <w:b/>
          <w:bCs/>
        </w:rPr>
        <w:t>与《中华人民共和国水法》的协调性分析</w:t>
      </w:r>
    </w:p>
    <w:p w14:paraId="141476C4">
      <w:pPr>
        <w:keepNext w:val="0"/>
        <w:keepLines w:val="0"/>
        <w:pageBreakBefore w:val="0"/>
        <w:widowControl w:val="0"/>
        <w:kinsoku/>
        <w:wordWrap/>
        <w:overflowPunct w:val="0"/>
        <w:topLinePunct w:val="0"/>
        <w:autoSpaceDE w:val="0"/>
        <w:autoSpaceDN w:val="0"/>
        <w:bidi w:val="0"/>
        <w:adjustRightInd w:val="0"/>
        <w:snapToGrid w:val="0"/>
      </w:pPr>
      <w:r>
        <w:t>本规划的实施不仅能从量上满足城乡居民生活用水、农业用水、生态环境用水的量，还能保证用水安全，因此规划和《中华人民共和国水法》是相符的。</w:t>
      </w:r>
    </w:p>
    <w:p w14:paraId="37156C4F">
      <w:pPr>
        <w:keepNext w:val="0"/>
        <w:keepLines w:val="0"/>
        <w:pageBreakBefore w:val="0"/>
        <w:widowControl w:val="0"/>
        <w:kinsoku/>
        <w:wordWrap/>
        <w:overflowPunct w:val="0"/>
        <w:topLinePunct w:val="0"/>
        <w:autoSpaceDE w:val="0"/>
        <w:autoSpaceDN w:val="0"/>
        <w:bidi w:val="0"/>
        <w:adjustRightInd w:val="0"/>
        <w:snapToGrid w:val="0"/>
        <w:rPr>
          <w:b/>
          <w:bCs/>
        </w:rPr>
      </w:pPr>
      <w:r>
        <w:rPr>
          <w:rFonts w:hint="eastAsia"/>
          <w:b/>
          <w:bCs/>
        </w:rPr>
        <w:t>2</w:t>
      </w:r>
      <w:r>
        <w:rPr>
          <w:rFonts w:hint="eastAsia"/>
          <w:b/>
          <w:bCs/>
          <w:lang w:eastAsia="zh-CN"/>
        </w:rPr>
        <w:t>.</w:t>
      </w:r>
      <w:r>
        <w:rPr>
          <w:b/>
          <w:bCs/>
        </w:rPr>
        <w:t>与《中华人民共和国防洪法》协调性分析</w:t>
      </w:r>
    </w:p>
    <w:p w14:paraId="6D2E12F7">
      <w:pPr>
        <w:keepNext w:val="0"/>
        <w:keepLines w:val="0"/>
        <w:pageBreakBefore w:val="0"/>
        <w:widowControl w:val="0"/>
        <w:kinsoku/>
        <w:wordWrap/>
        <w:overflowPunct w:val="0"/>
        <w:topLinePunct w:val="0"/>
        <w:autoSpaceDE w:val="0"/>
        <w:autoSpaceDN w:val="0"/>
        <w:bidi w:val="0"/>
        <w:adjustRightInd w:val="0"/>
        <w:snapToGrid w:val="0"/>
      </w:pPr>
      <w:r>
        <w:t>防洪减灾项目实施后，将显著提高</w:t>
      </w:r>
      <w:r>
        <w:rPr>
          <w:rFonts w:hint="eastAsia"/>
        </w:rPr>
        <w:t>红寺堡区</w:t>
      </w:r>
      <w:r>
        <w:t>抗御洪涝灾害能力，改善区域经济社会发展条件，因此规划和《中华人民共和国防洪法》是相符的。</w:t>
      </w:r>
    </w:p>
    <w:p w14:paraId="277AFB75">
      <w:pPr>
        <w:keepNext w:val="0"/>
        <w:keepLines w:val="0"/>
        <w:pageBreakBefore w:val="0"/>
        <w:widowControl w:val="0"/>
        <w:kinsoku/>
        <w:wordWrap/>
        <w:overflowPunct w:val="0"/>
        <w:topLinePunct w:val="0"/>
        <w:autoSpaceDE w:val="0"/>
        <w:autoSpaceDN w:val="0"/>
        <w:bidi w:val="0"/>
        <w:adjustRightInd w:val="0"/>
        <w:snapToGrid w:val="0"/>
        <w:rPr>
          <w:b/>
          <w:bCs/>
        </w:rPr>
      </w:pPr>
      <w:r>
        <w:rPr>
          <w:b/>
          <w:bCs/>
        </w:rPr>
        <w:t>3</w:t>
      </w:r>
      <w:r>
        <w:rPr>
          <w:rFonts w:hint="eastAsia"/>
          <w:b/>
          <w:bCs/>
          <w:lang w:eastAsia="zh-CN"/>
        </w:rPr>
        <w:t>.</w:t>
      </w:r>
      <w:r>
        <w:rPr>
          <w:b/>
          <w:bCs/>
        </w:rPr>
        <w:t>与《中华人民共和国黄河保护法》协调性分析</w:t>
      </w:r>
    </w:p>
    <w:p w14:paraId="685AC596">
      <w:pPr>
        <w:keepNext w:val="0"/>
        <w:keepLines w:val="0"/>
        <w:pageBreakBefore w:val="0"/>
        <w:widowControl w:val="0"/>
        <w:kinsoku/>
        <w:wordWrap/>
        <w:overflowPunct w:val="0"/>
        <w:topLinePunct w:val="0"/>
        <w:autoSpaceDE w:val="0"/>
        <w:autoSpaceDN w:val="0"/>
        <w:bidi w:val="0"/>
        <w:adjustRightInd w:val="0"/>
        <w:snapToGrid w:val="0"/>
      </w:pPr>
      <w:r>
        <w:rPr>
          <w:rFonts w:hint="eastAsia"/>
        </w:rPr>
        <w:t>本规划着重于优化水资源配置和提高水资源利用效率，这与黄河流域的整体生态保护和水资源管理策略相契合。</w:t>
      </w:r>
      <w:r>
        <w:t>因此规划和《中华人民共和国黄河保护法》是相符的。</w:t>
      </w:r>
    </w:p>
    <w:p w14:paraId="130B3021">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rPr>
          <w:b/>
          <w:bCs/>
        </w:rPr>
      </w:pPr>
      <w:r>
        <w:rPr>
          <w:b/>
          <w:bCs/>
        </w:rPr>
        <w:t>（二）与相关规划的符合性分析</w:t>
      </w:r>
    </w:p>
    <w:p w14:paraId="507ACF0E">
      <w:pPr>
        <w:keepNext w:val="0"/>
        <w:keepLines w:val="0"/>
        <w:pageBreakBefore w:val="0"/>
        <w:widowControl w:val="0"/>
        <w:kinsoku/>
        <w:wordWrap/>
        <w:overflowPunct w:val="0"/>
        <w:topLinePunct w:val="0"/>
        <w:autoSpaceDE w:val="0"/>
        <w:autoSpaceDN w:val="0"/>
        <w:bidi w:val="0"/>
        <w:adjustRightInd w:val="0"/>
        <w:snapToGrid w:val="0"/>
        <w:rPr>
          <w:b/>
          <w:bCs/>
        </w:rPr>
      </w:pPr>
      <w:r>
        <w:rPr>
          <w:b/>
          <w:bCs/>
        </w:rPr>
        <w:t>1</w:t>
      </w:r>
      <w:r>
        <w:rPr>
          <w:rFonts w:hint="eastAsia"/>
          <w:b/>
          <w:bCs/>
          <w:lang w:eastAsia="zh-CN"/>
        </w:rPr>
        <w:t>.</w:t>
      </w:r>
      <w:r>
        <w:rPr>
          <w:b/>
          <w:bCs/>
        </w:rPr>
        <w:t>与《黄河流域生态保护和高质量发展规划纲要》的符合性分析</w:t>
      </w:r>
    </w:p>
    <w:p w14:paraId="0B8C3AEB">
      <w:pPr>
        <w:keepNext w:val="0"/>
        <w:keepLines w:val="0"/>
        <w:pageBreakBefore w:val="0"/>
        <w:widowControl w:val="0"/>
        <w:kinsoku/>
        <w:wordWrap/>
        <w:overflowPunct w:val="0"/>
        <w:topLinePunct w:val="0"/>
        <w:autoSpaceDE w:val="0"/>
        <w:autoSpaceDN w:val="0"/>
        <w:bidi w:val="0"/>
        <w:adjustRightInd w:val="0"/>
        <w:snapToGrid w:val="0"/>
      </w:pPr>
      <w:r>
        <w:rPr>
          <w:rFonts w:hint="eastAsia"/>
        </w:rPr>
        <w:t>本规划的主要目标是解决红寺堡区工程型缺水问题，优化水资源配置格局。任务</w:t>
      </w:r>
      <w:r>
        <w:rPr>
          <w:rFonts w:hint="eastAsia"/>
          <w:lang w:val="en-US" w:eastAsia="zh-CN"/>
        </w:rPr>
        <w:t>有</w:t>
      </w:r>
      <w:r>
        <w:rPr>
          <w:rFonts w:hint="eastAsia"/>
        </w:rPr>
        <w:t>加强水源地保护、推进节水型社会建设、实施河湖生态修复等。《黄河流域生态保护和高质量发展规划纲要》的目标是推动黄河流域生态保护和高质量发展，具体包括加强上游水源涵养能力建设、加强中游水土保持、推进下游湿地保护和生态治理等。同时，纲要还强调了水资源节约集约利用的重要性，提出了强化水资源刚性约束、科学配置全流域水资源等任务。两者在目标与任务上</w:t>
      </w:r>
      <w:r>
        <w:rPr>
          <w:rFonts w:hint="eastAsia"/>
          <w:lang w:val="en-US" w:eastAsia="zh-CN"/>
        </w:rPr>
        <w:t>是相符的</w:t>
      </w:r>
      <w:r>
        <w:rPr>
          <w:rFonts w:hint="eastAsia"/>
        </w:rPr>
        <w:t>。</w:t>
      </w:r>
    </w:p>
    <w:p w14:paraId="2DF4FD62">
      <w:pPr>
        <w:keepNext w:val="0"/>
        <w:keepLines w:val="0"/>
        <w:pageBreakBefore w:val="0"/>
        <w:widowControl w:val="0"/>
        <w:kinsoku/>
        <w:wordWrap/>
        <w:overflowPunct w:val="0"/>
        <w:topLinePunct w:val="0"/>
        <w:autoSpaceDE w:val="0"/>
        <w:autoSpaceDN w:val="0"/>
        <w:bidi w:val="0"/>
        <w:adjustRightInd w:val="0"/>
        <w:snapToGrid w:val="0"/>
        <w:rPr>
          <w:b/>
          <w:bCs/>
        </w:rPr>
      </w:pPr>
      <w:r>
        <w:rPr>
          <w:b/>
          <w:bCs/>
        </w:rPr>
        <w:t>2</w:t>
      </w:r>
      <w:r>
        <w:rPr>
          <w:rFonts w:hint="eastAsia"/>
          <w:b/>
          <w:bCs/>
          <w:lang w:eastAsia="zh-CN"/>
        </w:rPr>
        <w:t>.</w:t>
      </w:r>
      <w:r>
        <w:rPr>
          <w:b/>
          <w:bCs/>
        </w:rPr>
        <w:t>与《</w:t>
      </w:r>
      <w:r>
        <w:rPr>
          <w:rFonts w:hint="eastAsia"/>
          <w:b/>
          <w:bCs/>
          <w:lang w:val="en-US" w:eastAsia="zh-CN"/>
        </w:rPr>
        <w:t>吴忠</w:t>
      </w:r>
      <w:r>
        <w:rPr>
          <w:rFonts w:hint="eastAsia"/>
          <w:b/>
          <w:bCs/>
        </w:rPr>
        <w:t>市</w:t>
      </w:r>
      <w:r>
        <w:rPr>
          <w:b/>
          <w:bCs/>
        </w:rPr>
        <w:t>国土空间总体规划（2021-2035年）》的符合性分析</w:t>
      </w:r>
    </w:p>
    <w:p w14:paraId="42DEE844">
      <w:pPr>
        <w:keepNext w:val="0"/>
        <w:keepLines w:val="0"/>
        <w:pageBreakBefore w:val="0"/>
        <w:widowControl w:val="0"/>
        <w:kinsoku/>
        <w:wordWrap/>
        <w:overflowPunct w:val="0"/>
        <w:topLinePunct w:val="0"/>
        <w:autoSpaceDE w:val="0"/>
        <w:autoSpaceDN w:val="0"/>
        <w:bidi w:val="0"/>
        <w:adjustRightInd w:val="0"/>
        <w:snapToGrid w:val="0"/>
      </w:pPr>
      <w:r>
        <w:t>本规划实施后，可改善河湖水质，恢复水生态系统的完整性，加强水源涵养，可助力</w:t>
      </w:r>
      <w:r>
        <w:rPr>
          <w:rFonts w:hint="eastAsia"/>
          <w:lang w:val="en-US" w:eastAsia="zh-CN"/>
        </w:rPr>
        <w:t>红寺堡</w:t>
      </w:r>
      <w:r>
        <w:t>实现生态可持续性发展。因此本规划与《</w:t>
      </w:r>
      <w:r>
        <w:rPr>
          <w:rFonts w:hint="eastAsia"/>
          <w:lang w:val="en-US" w:eastAsia="zh-CN"/>
        </w:rPr>
        <w:t>吴总</w:t>
      </w:r>
      <w:r>
        <w:rPr>
          <w:rFonts w:hint="eastAsia"/>
        </w:rPr>
        <w:t>市</w:t>
      </w:r>
      <w:r>
        <w:t>国土空间总体规划（2021-2035年）》是相符的。</w:t>
      </w:r>
    </w:p>
    <w:p w14:paraId="0E5CB728">
      <w:pPr>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2" w:firstLineChars="200"/>
        <w:rPr>
          <w:b/>
          <w:bCs/>
        </w:rPr>
      </w:pPr>
      <w:r>
        <w:rPr>
          <w:rFonts w:ascii="Times New Roman" w:hAnsi="Times New Roman" w:eastAsia="仿宋_GB2312" w:cs="Arial"/>
          <w:b/>
          <w:bCs/>
          <w:snapToGrid w:val="0"/>
          <w:color w:val="000000"/>
          <w:sz w:val="30"/>
          <w:szCs w:val="21"/>
          <w:lang w:val="en-US" w:eastAsia="en-US" w:bidi="ar-SA"/>
        </w:rPr>
        <w:t>3</w:t>
      </w:r>
      <w:r>
        <w:rPr>
          <w:rFonts w:hint="eastAsia" w:cs="Arial"/>
          <w:b/>
          <w:bCs/>
          <w:snapToGrid w:val="0"/>
          <w:color w:val="000000"/>
          <w:sz w:val="30"/>
          <w:szCs w:val="21"/>
          <w:lang w:val="en-US" w:eastAsia="zh-CN" w:bidi="ar-SA"/>
        </w:rPr>
        <w:t>.</w:t>
      </w:r>
      <w:r>
        <w:rPr>
          <w:b/>
          <w:bCs/>
        </w:rPr>
        <w:t>与《</w:t>
      </w:r>
      <w:r>
        <w:rPr>
          <w:rFonts w:hint="eastAsia"/>
          <w:b/>
          <w:bCs/>
          <w:lang w:val="en-US" w:eastAsia="zh-CN"/>
        </w:rPr>
        <w:t>吴忠</w:t>
      </w:r>
      <w:r>
        <w:rPr>
          <w:rFonts w:hint="eastAsia"/>
          <w:b/>
          <w:bCs/>
        </w:rPr>
        <w:t>市现代水网建设规划</w:t>
      </w:r>
      <w:r>
        <w:rPr>
          <w:b/>
          <w:bCs/>
        </w:rPr>
        <w:t>》的符合性分析</w:t>
      </w:r>
    </w:p>
    <w:p w14:paraId="27FEAC28">
      <w:pPr>
        <w:keepNext w:val="0"/>
        <w:keepLines w:val="0"/>
        <w:pageBreakBefore w:val="0"/>
        <w:widowControl w:val="0"/>
        <w:kinsoku/>
        <w:wordWrap/>
        <w:overflowPunct w:val="0"/>
        <w:topLinePunct w:val="0"/>
        <w:autoSpaceDE w:val="0"/>
        <w:autoSpaceDN w:val="0"/>
        <w:bidi w:val="0"/>
        <w:adjustRightInd w:val="0"/>
        <w:snapToGrid w:val="0"/>
      </w:pPr>
      <w:r>
        <w:rPr>
          <w:rFonts w:hint="eastAsia"/>
          <w:lang w:val="en-US" w:eastAsia="zh-CN"/>
        </w:rPr>
        <w:t>本规划编制思想、规划的主要指标及规划的项目均与《吴忠市现代水网建设规划》保持一致性，因此本规划与《吴忠市现代水网建设规划》是相符的。</w:t>
      </w:r>
    </w:p>
    <w:p w14:paraId="3071A809">
      <w:pPr>
        <w:pStyle w:val="3"/>
        <w:keepNext w:val="0"/>
        <w:keepLines w:val="0"/>
        <w:pageBreakBefore w:val="0"/>
        <w:widowControl w:val="0"/>
        <w:kinsoku/>
        <w:wordWrap/>
        <w:overflowPunct w:val="0"/>
        <w:topLinePunct w:val="0"/>
        <w:autoSpaceDE w:val="0"/>
        <w:autoSpaceDN w:val="0"/>
        <w:bidi w:val="0"/>
        <w:adjustRightInd w:val="0"/>
        <w:snapToGrid w:val="0"/>
        <w:rPr>
          <w:rFonts w:hint="eastAsia"/>
        </w:rPr>
      </w:pPr>
      <w:bookmarkStart w:id="244" w:name="_Toc19779"/>
      <w:bookmarkStart w:id="245" w:name="_Toc183959029"/>
      <w:r>
        <w:rPr>
          <w:rFonts w:hint="eastAsia"/>
        </w:rPr>
        <w:t>第三节 主要环境影响预测与分析</w:t>
      </w:r>
      <w:bookmarkEnd w:id="244"/>
      <w:bookmarkEnd w:id="245"/>
    </w:p>
    <w:p w14:paraId="47B92980">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w:t>
      </w:r>
      <w:r>
        <w:rPr>
          <w:rFonts w:hint="eastAsia"/>
          <w:b/>
          <w:bCs/>
        </w:rPr>
        <w:t>一</w:t>
      </w:r>
      <w:r>
        <w:rPr>
          <w:b/>
          <w:bCs/>
        </w:rPr>
        <w:t>）</w:t>
      </w:r>
      <w:r>
        <w:rPr>
          <w:rFonts w:hint="eastAsia"/>
          <w:b/>
          <w:bCs/>
        </w:rPr>
        <w:t xml:space="preserve">对水环境影响分析 </w:t>
      </w:r>
    </w:p>
    <w:p w14:paraId="7EB1399A">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本规划提出了饮用水水源地保护与治理措施、农村面源污染防治方案、城镇面源污染防治措施等，并针对河湖和地下水环境建立了监测网络，加强水质监督管理，为改善流域、区域水环境提供了有效保障。</w:t>
      </w:r>
    </w:p>
    <w:p w14:paraId="0BFA989E">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w:t>
      </w:r>
      <w:r>
        <w:rPr>
          <w:rFonts w:hint="eastAsia"/>
          <w:b/>
          <w:bCs/>
        </w:rPr>
        <w:t>二</w:t>
      </w:r>
      <w:r>
        <w:rPr>
          <w:b/>
          <w:bCs/>
        </w:rPr>
        <w:t>）</w:t>
      </w:r>
      <w:r>
        <w:rPr>
          <w:rFonts w:hint="eastAsia"/>
          <w:b/>
          <w:bCs/>
        </w:rPr>
        <w:t>对生态环境影响分析</w:t>
      </w:r>
    </w:p>
    <w:p w14:paraId="05B11107">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本规划提出了加强河湖空间管控的措施和要求，提出了水源涵养和水土保持建设措施、对清水河、</w:t>
      </w:r>
      <w:r>
        <w:rPr>
          <w:rFonts w:hint="eastAsia"/>
          <w:lang w:val="en-US" w:eastAsia="zh-CN"/>
        </w:rPr>
        <w:t>红柳沟及苦水河</w:t>
      </w:r>
      <w:r>
        <w:rPr>
          <w:rFonts w:hint="eastAsia"/>
        </w:rPr>
        <w:t>等提出了水生态修复与治理，提出农村水系综合整治方案，并新增了水土保持监测建设内容。规划实施后，将提高红寺堡区水源涵养能力，减少水土流失，保障了河湖生态需水量，保护并逐步改善河流生态特性，形成绿色健康的河流生态廊道，实现经济社会与生态环境的协同发展。</w:t>
      </w:r>
    </w:p>
    <w:p w14:paraId="11CBAA79">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w:t>
      </w:r>
      <w:r>
        <w:rPr>
          <w:rFonts w:hint="eastAsia"/>
          <w:b/>
          <w:bCs/>
        </w:rPr>
        <w:t>三</w:t>
      </w:r>
      <w:r>
        <w:rPr>
          <w:b/>
          <w:bCs/>
        </w:rPr>
        <w:t>）</w:t>
      </w:r>
      <w:r>
        <w:rPr>
          <w:rFonts w:hint="eastAsia"/>
          <w:b/>
          <w:bCs/>
        </w:rPr>
        <w:t>对社会环境影响分析</w:t>
      </w:r>
    </w:p>
    <w:p w14:paraId="7010E916">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 xml:space="preserve">规划实施将提高区域水资源调配能力，提高区域防洪安全保障能力，保障区域供水安全、防洪安全、生态安全，促进区域水资源与经济社会、生态环境的协调发展。为实现规划目标而建设的各类工程，既是促进区域经济社会、生态环境可持续发展的重要水资源保障工程，也是重要的生态环境保护工程。 </w:t>
      </w:r>
    </w:p>
    <w:p w14:paraId="15EB935E">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w:t>
      </w:r>
      <w:r>
        <w:rPr>
          <w:rFonts w:hint="eastAsia"/>
          <w:b/>
          <w:bCs/>
        </w:rPr>
        <w:t>四</w:t>
      </w:r>
      <w:r>
        <w:rPr>
          <w:b/>
          <w:bCs/>
        </w:rPr>
        <w:t>）</w:t>
      </w:r>
      <w:r>
        <w:rPr>
          <w:rFonts w:hint="eastAsia"/>
          <w:b/>
          <w:bCs/>
        </w:rPr>
        <w:t xml:space="preserve">重点工程影响分析 </w:t>
      </w:r>
    </w:p>
    <w:p w14:paraId="35D1C026">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1</w:t>
      </w:r>
      <w:r>
        <w:rPr>
          <w:rFonts w:hint="eastAsia"/>
          <w:lang w:eastAsia="zh-CN"/>
        </w:rPr>
        <w:t>.</w:t>
      </w:r>
      <w:r>
        <w:rPr>
          <w:rFonts w:hint="eastAsia"/>
        </w:rPr>
        <w:t>水资源配置工程</w:t>
      </w:r>
    </w:p>
    <w:p w14:paraId="4F81E312">
      <w:pPr>
        <w:keepNext w:val="0"/>
        <w:keepLines w:val="0"/>
        <w:pageBreakBefore w:val="0"/>
        <w:widowControl w:val="0"/>
        <w:kinsoku/>
        <w:wordWrap/>
        <w:overflowPunct w:val="0"/>
        <w:topLinePunct w:val="0"/>
        <w:autoSpaceDE w:val="0"/>
        <w:autoSpaceDN w:val="0"/>
        <w:bidi w:val="0"/>
        <w:adjustRightInd w:val="0"/>
        <w:snapToGrid w:val="0"/>
        <w:rPr>
          <w:rFonts w:hint="eastAsia"/>
          <w:lang w:eastAsia="zh-CN"/>
        </w:rPr>
      </w:pPr>
      <w:r>
        <w:rPr>
          <w:rFonts w:hint="eastAsia"/>
        </w:rPr>
        <w:t>完善重大引调水工程建设</w:t>
      </w:r>
      <w:r>
        <w:rPr>
          <w:rFonts w:hint="eastAsia"/>
          <w:lang w:eastAsia="zh-CN"/>
        </w:rPr>
        <w:t>，加快重点水源工程建设，推进灌区续建配套与现代化改造建设，因地制宜完善城乡供水工程网络。健全优化水资源配置的网络体系，全面增强</w:t>
      </w:r>
      <w:r>
        <w:rPr>
          <w:rFonts w:hint="eastAsia"/>
          <w:lang w:val="en-US" w:eastAsia="zh-CN"/>
        </w:rPr>
        <w:t>红寺堡区</w:t>
      </w:r>
      <w:r>
        <w:rPr>
          <w:rFonts w:hint="eastAsia"/>
          <w:lang w:eastAsia="zh-CN"/>
        </w:rPr>
        <w:t>水资源统筹调配能力、供水保障能力、战略储备能力，提升城乡水利基本公共服务水平。</w:t>
      </w:r>
    </w:p>
    <w:p w14:paraId="5F582A5F">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2</w:t>
      </w:r>
      <w:r>
        <w:rPr>
          <w:rFonts w:hint="eastAsia"/>
          <w:lang w:eastAsia="zh-CN"/>
        </w:rPr>
        <w:t>.</w:t>
      </w:r>
      <w:r>
        <w:rPr>
          <w:rFonts w:hint="eastAsia"/>
        </w:rPr>
        <w:t>水生态环境保护与修复工程</w:t>
      </w:r>
    </w:p>
    <w:p w14:paraId="256001C7">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规划以控制污染物入河量，强化水源地保护，加强面源污染防治，控制地下水开采，并加强水源涵养和水土保持，实施水系连通、重点河流、湖泊水环境综合治理与修复等措施。</w:t>
      </w:r>
    </w:p>
    <w:p w14:paraId="0CE5B677">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3</w:t>
      </w:r>
      <w:r>
        <w:rPr>
          <w:rFonts w:hint="eastAsia"/>
          <w:lang w:eastAsia="zh-CN"/>
        </w:rPr>
        <w:t>.</w:t>
      </w:r>
      <w:r>
        <w:rPr>
          <w:rFonts w:hint="eastAsia"/>
        </w:rPr>
        <w:t>防洪排涝工程</w:t>
      </w:r>
    </w:p>
    <w:p w14:paraId="376AF65D">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针对</w:t>
      </w:r>
      <w:r>
        <w:rPr>
          <w:rFonts w:hint="eastAsia"/>
          <w:lang w:val="en-US" w:eastAsia="zh-CN"/>
        </w:rPr>
        <w:t>红寺堡</w:t>
      </w:r>
      <w:r>
        <w:rPr>
          <w:rFonts w:hint="eastAsia"/>
        </w:rPr>
        <w:t>区</w:t>
      </w:r>
      <w:r>
        <w:rPr>
          <w:rFonts w:hint="eastAsia"/>
          <w:lang w:val="en-US" w:eastAsia="zh-CN"/>
        </w:rPr>
        <w:t>环罗山周边乡镇</w:t>
      </w:r>
      <w:r>
        <w:rPr>
          <w:rFonts w:hint="eastAsia"/>
        </w:rPr>
        <w:t>防洪体系薄弱问题，规划实施</w:t>
      </w:r>
      <w:r>
        <w:rPr>
          <w:rFonts w:hint="eastAsia"/>
          <w:lang w:val="en-US" w:eastAsia="zh-CN"/>
        </w:rPr>
        <w:t>沟道及河道</w:t>
      </w:r>
      <w:r>
        <w:rPr>
          <w:rFonts w:hint="eastAsia"/>
        </w:rPr>
        <w:t>等河道整治、堤防提标建设以及重点山洪沟综合治理等，工程的实施可能会改变河道水文泥沙情势，改变目前河床的冲淤特性，可能改变水生动物栖息地特性，影响水生动物产卵、觅食等行为，威胁水生动物生存。此外，堤防工程建设可能改变河道的横向连通性，破坏滨河带生态系统，降低滨河带水污染净化能力。</w:t>
      </w:r>
    </w:p>
    <w:p w14:paraId="356229B8">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46" w:name="_Toc183959030"/>
      <w:bookmarkStart w:id="247" w:name="_Toc15848"/>
      <w:r>
        <w:rPr>
          <w:rFonts w:hint="eastAsia"/>
        </w:rPr>
        <w:t>第四节 规划合理性分析和优化调整建议</w:t>
      </w:r>
      <w:bookmarkEnd w:id="246"/>
      <w:bookmarkEnd w:id="247"/>
    </w:p>
    <w:p w14:paraId="5291D8A4">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本规划包括防洪、</w:t>
      </w:r>
      <w:r>
        <w:rPr>
          <w:rFonts w:hint="eastAsia"/>
          <w:lang w:val="en-US" w:eastAsia="zh-CN"/>
        </w:rPr>
        <w:t>城乡供水</w:t>
      </w:r>
      <w:r>
        <w:rPr>
          <w:rFonts w:hint="eastAsia"/>
        </w:rPr>
        <w:t>、灌溉、水环境水生态、水文化水景观等内容。从长期来看，规划对水环境、生态环境均产生积极影响，不利影响主要集中在规划实施阶段，可通过采取对应措施进行应对，将不利影响降至最低。</w:t>
      </w:r>
    </w:p>
    <w:p w14:paraId="2056E821">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rFonts w:hint="eastAsia"/>
          <w:b/>
          <w:bCs/>
        </w:rPr>
        <w:t>（一）规划布局的环境合理性分析</w:t>
      </w:r>
    </w:p>
    <w:p w14:paraId="73774C80">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本规划从</w:t>
      </w:r>
      <w:r>
        <w:rPr>
          <w:rFonts w:hint="eastAsia"/>
          <w:lang w:val="en-US" w:eastAsia="zh-CN"/>
        </w:rPr>
        <w:t>红寺堡</w:t>
      </w:r>
      <w:r>
        <w:rPr>
          <w:rFonts w:hint="eastAsia"/>
        </w:rPr>
        <w:t>区主体功能定位和国土空间布局要求出发，包含防洪减灾、</w:t>
      </w:r>
      <w:r>
        <w:rPr>
          <w:rFonts w:hint="eastAsia"/>
          <w:lang w:val="en-US" w:eastAsia="zh-CN"/>
        </w:rPr>
        <w:t>城乡供水</w:t>
      </w:r>
      <w:r>
        <w:rPr>
          <w:rFonts w:hint="eastAsia"/>
        </w:rPr>
        <w:t>、水生态治理、水环境治理、数字孪生水网、水网管理等工程。规划总体布局以</w:t>
      </w:r>
      <w:r>
        <w:rPr>
          <w:rFonts w:hint="eastAsia"/>
          <w:color w:val="auto"/>
        </w:rPr>
        <w:t>“一</w:t>
      </w:r>
      <w:r>
        <w:rPr>
          <w:rFonts w:hint="eastAsia"/>
          <w:color w:val="auto"/>
          <w:lang w:val="en-US" w:eastAsia="zh-CN"/>
        </w:rPr>
        <w:t>横</w:t>
      </w:r>
      <w:r>
        <w:rPr>
          <w:rFonts w:hint="eastAsia"/>
          <w:color w:val="auto"/>
        </w:rPr>
        <w:t>、三</w:t>
      </w:r>
      <w:r>
        <w:rPr>
          <w:rFonts w:hint="eastAsia"/>
          <w:color w:val="auto"/>
          <w:lang w:val="en-US" w:eastAsia="zh-CN"/>
        </w:rPr>
        <w:t>纵</w:t>
      </w:r>
      <w:r>
        <w:rPr>
          <w:rFonts w:hint="eastAsia"/>
          <w:color w:val="auto"/>
        </w:rPr>
        <w:t>”</w:t>
      </w:r>
      <w:r>
        <w:rPr>
          <w:rFonts w:hint="eastAsia"/>
          <w:color w:val="auto"/>
          <w:lang w:val="en-US" w:eastAsia="zh-CN"/>
        </w:rPr>
        <w:t>的空间布局</w:t>
      </w:r>
      <w:r>
        <w:rPr>
          <w:rFonts w:hint="eastAsia"/>
        </w:rPr>
        <w:t>布局，布局时充分考虑了</w:t>
      </w:r>
      <w:r>
        <w:rPr>
          <w:rFonts w:hint="eastAsia"/>
          <w:lang w:val="en-US" w:eastAsia="zh-CN"/>
        </w:rPr>
        <w:t>红寺堡区</w:t>
      </w:r>
      <w:r>
        <w:rPr>
          <w:rFonts w:hint="eastAsia"/>
        </w:rPr>
        <w:t>的环境现状问题和经济条件，根据不同分区制定相应的专项规划方案，对改善</w:t>
      </w:r>
      <w:r>
        <w:rPr>
          <w:rFonts w:hint="eastAsia"/>
          <w:lang w:val="en-US" w:eastAsia="zh-CN"/>
        </w:rPr>
        <w:t>红寺堡区</w:t>
      </w:r>
      <w:r>
        <w:rPr>
          <w:rFonts w:hint="eastAsia"/>
        </w:rPr>
        <w:t>水生态环境，提升水环境质量具有积极影响。规划布局基本合理。</w:t>
      </w:r>
    </w:p>
    <w:p w14:paraId="62F76C8A">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rFonts w:hint="eastAsia"/>
          <w:b/>
          <w:bCs/>
        </w:rPr>
        <w:t>（二）规划规模的环境合理性分析</w:t>
      </w:r>
    </w:p>
    <w:p w14:paraId="277779EE">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本规划主要包括水资源配置体系、防洪减灾体系、水生态保护治理与价值转换体系、数字孪生水网体系等内容。基于</w:t>
      </w:r>
      <w:r>
        <w:rPr>
          <w:rFonts w:hint="eastAsia"/>
          <w:lang w:val="en-US" w:eastAsia="zh-CN"/>
        </w:rPr>
        <w:t>红寺堡</w:t>
      </w:r>
      <w:r>
        <w:rPr>
          <w:rFonts w:hint="eastAsia"/>
        </w:rPr>
        <w:t>高度依赖黄河水，市内河湖水动力不足，水质问题较为严重的现状，提出的水生态、水环境治理措施是科学有效的。因此，规划规模基本合理。</w:t>
      </w:r>
    </w:p>
    <w:p w14:paraId="5F35D470">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48" w:name="_Toc183959031"/>
      <w:bookmarkStart w:id="249" w:name="_Toc10634"/>
      <w:r>
        <w:rPr>
          <w:rFonts w:hint="eastAsia"/>
        </w:rPr>
        <w:t>第五节 环境影响减缓对策措施</w:t>
      </w:r>
      <w:bookmarkEnd w:id="248"/>
      <w:bookmarkEnd w:id="249"/>
    </w:p>
    <w:p w14:paraId="5BAF4D49">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本规划事关</w:t>
      </w:r>
      <w:r>
        <w:rPr>
          <w:rFonts w:hint="eastAsia"/>
          <w:lang w:val="en-US" w:eastAsia="zh-CN"/>
        </w:rPr>
        <w:t>红寺堡区</w:t>
      </w:r>
      <w:r>
        <w:rPr>
          <w:rFonts w:hint="eastAsia"/>
        </w:rPr>
        <w:t>供水安全、防洪安全、水生态安全乃至经济社会可持续发展，规划实施将对</w:t>
      </w:r>
      <w:r>
        <w:rPr>
          <w:rFonts w:hint="eastAsia"/>
          <w:lang w:val="en-US" w:eastAsia="zh-CN"/>
        </w:rPr>
        <w:t>红寺堡区</w:t>
      </w:r>
      <w:r>
        <w:rPr>
          <w:rFonts w:hint="eastAsia"/>
        </w:rPr>
        <w:t>的整体发展带来崭新格局。规划实施的不利影响在一定时期内存在，但从长远利益看规划实施后对</w:t>
      </w:r>
      <w:r>
        <w:rPr>
          <w:rFonts w:hint="eastAsia"/>
          <w:lang w:val="en-US" w:eastAsia="zh-CN"/>
        </w:rPr>
        <w:t>红寺堡区</w:t>
      </w:r>
      <w:r>
        <w:rPr>
          <w:rFonts w:hint="eastAsia"/>
        </w:rPr>
        <w:t>的经济、社会、环境协调发展具有巨大的推动作用，促进</w:t>
      </w:r>
      <w:r>
        <w:rPr>
          <w:rFonts w:hint="eastAsia"/>
          <w:lang w:val="en-US" w:eastAsia="zh-CN"/>
        </w:rPr>
        <w:t>红寺堡</w:t>
      </w:r>
      <w:r>
        <w:rPr>
          <w:rFonts w:hint="eastAsia"/>
        </w:rPr>
        <w:t>经济、社会和环境融合发展。</w:t>
      </w:r>
    </w:p>
    <w:p w14:paraId="26733C59">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（一）</w:t>
      </w:r>
      <w:r>
        <w:rPr>
          <w:rFonts w:hint="eastAsia"/>
          <w:b/>
          <w:bCs/>
        </w:rPr>
        <w:t>水环境保护措施</w:t>
      </w:r>
    </w:p>
    <w:p w14:paraId="65F2C148">
      <w:pPr>
        <w:keepNext w:val="0"/>
        <w:keepLines w:val="0"/>
        <w:pageBreakBefore w:val="0"/>
        <w:widowControl w:val="0"/>
        <w:kinsoku/>
        <w:wordWrap/>
        <w:overflowPunct w:val="0"/>
        <w:topLinePunct w:val="0"/>
        <w:autoSpaceDE w:val="0"/>
        <w:autoSpaceDN w:val="0"/>
        <w:bidi w:val="0"/>
        <w:adjustRightInd w:val="0"/>
        <w:snapToGrid w:val="0"/>
      </w:pPr>
      <w:r>
        <w:rPr>
          <w:rFonts w:hint="eastAsia"/>
        </w:rPr>
        <w:t>1</w:t>
      </w:r>
      <w:r>
        <w:rPr>
          <w:rFonts w:hint="eastAsia"/>
          <w:lang w:eastAsia="zh-CN"/>
        </w:rPr>
        <w:t>.</w:t>
      </w:r>
      <w:r>
        <w:t>强化水资源统一管理，合理配置水资源，协调好水资源开发利用与经济社会发展布局的关系，维护河流健康。</w:t>
      </w:r>
    </w:p>
    <w:p w14:paraId="16127F00">
      <w:pPr>
        <w:keepNext w:val="0"/>
        <w:keepLines w:val="0"/>
        <w:pageBreakBefore w:val="0"/>
        <w:widowControl w:val="0"/>
        <w:kinsoku/>
        <w:wordWrap/>
        <w:overflowPunct w:val="0"/>
        <w:topLinePunct w:val="0"/>
        <w:autoSpaceDE w:val="0"/>
        <w:autoSpaceDN w:val="0"/>
        <w:bidi w:val="0"/>
        <w:adjustRightInd w:val="0"/>
        <w:snapToGrid w:val="0"/>
      </w:pPr>
      <w:r>
        <w:rPr>
          <w:rFonts w:hint="eastAsia"/>
        </w:rPr>
        <w:t>2</w:t>
      </w:r>
      <w:r>
        <w:rPr>
          <w:rFonts w:hint="eastAsia"/>
          <w:lang w:eastAsia="zh-CN"/>
        </w:rPr>
        <w:t>.</w:t>
      </w:r>
      <w:r>
        <w:t>加强水资源保护管理，确保污染物入河量控制在各水功能区的纳污能力范围内，实施水污染治理措施，使各水功能区达到水质目标要求，改善流域水环境。</w:t>
      </w:r>
    </w:p>
    <w:p w14:paraId="2200CD56">
      <w:pPr>
        <w:keepNext w:val="0"/>
        <w:keepLines w:val="0"/>
        <w:pageBreakBefore w:val="0"/>
        <w:widowControl w:val="0"/>
        <w:kinsoku/>
        <w:wordWrap/>
        <w:overflowPunct w:val="0"/>
        <w:topLinePunct w:val="0"/>
        <w:autoSpaceDE w:val="0"/>
        <w:autoSpaceDN w:val="0"/>
        <w:bidi w:val="0"/>
        <w:adjustRightInd w:val="0"/>
        <w:snapToGrid w:val="0"/>
      </w:pPr>
      <w:r>
        <w:rPr>
          <w:rFonts w:hint="eastAsia"/>
        </w:rPr>
        <w:t>3</w:t>
      </w:r>
      <w:r>
        <w:rPr>
          <w:rFonts w:hint="eastAsia"/>
          <w:lang w:eastAsia="zh-CN"/>
        </w:rPr>
        <w:t>.</w:t>
      </w:r>
      <w:r>
        <w:t>重点保护供水水源地水质，加强饮用水源保护区管理，控制区内污染源，实施综合整治，保障饮水安全。</w:t>
      </w:r>
    </w:p>
    <w:p w14:paraId="34259AA0">
      <w:pPr>
        <w:keepNext w:val="0"/>
        <w:keepLines w:val="0"/>
        <w:pageBreakBefore w:val="0"/>
        <w:widowControl w:val="0"/>
        <w:kinsoku/>
        <w:wordWrap/>
        <w:overflowPunct w:val="0"/>
        <w:topLinePunct w:val="0"/>
        <w:autoSpaceDE w:val="0"/>
        <w:autoSpaceDN w:val="0"/>
        <w:bidi w:val="0"/>
        <w:adjustRightInd w:val="0"/>
        <w:snapToGrid w:val="0"/>
      </w:pPr>
      <w:r>
        <w:rPr>
          <w:rFonts w:hint="eastAsia"/>
        </w:rPr>
        <w:t>4</w:t>
      </w:r>
      <w:r>
        <w:rPr>
          <w:rFonts w:hint="eastAsia"/>
          <w:lang w:eastAsia="zh-CN"/>
        </w:rPr>
        <w:t>.</w:t>
      </w:r>
      <w:r>
        <w:t>骨干水源工程、堤防工程等规划实施过程中，应注意施工期“三废”对环境造成的不利影响，需要落实环境影响报告中的具体环保措施，确保施工期污染物不对周边环境造成不利影响。</w:t>
      </w:r>
    </w:p>
    <w:p w14:paraId="2CA776F2">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w:t>
      </w:r>
      <w:r>
        <w:rPr>
          <w:rFonts w:hint="eastAsia"/>
          <w:b/>
          <w:bCs/>
        </w:rPr>
        <w:t>二</w:t>
      </w:r>
      <w:r>
        <w:rPr>
          <w:b/>
          <w:bCs/>
        </w:rPr>
        <w:t>）</w:t>
      </w:r>
      <w:r>
        <w:rPr>
          <w:rFonts w:hint="eastAsia"/>
          <w:b/>
          <w:bCs/>
        </w:rPr>
        <w:t>生态环境保护措施</w:t>
      </w:r>
    </w:p>
    <w:p w14:paraId="512823A8">
      <w:pPr>
        <w:keepNext w:val="0"/>
        <w:keepLines w:val="0"/>
        <w:pageBreakBefore w:val="0"/>
        <w:widowControl w:val="0"/>
        <w:kinsoku/>
        <w:wordWrap/>
        <w:overflowPunct w:val="0"/>
        <w:topLinePunct w:val="0"/>
        <w:autoSpaceDE w:val="0"/>
        <w:autoSpaceDN w:val="0"/>
        <w:bidi w:val="0"/>
        <w:adjustRightInd w:val="0"/>
        <w:snapToGrid w:val="0"/>
      </w:pPr>
      <w:r>
        <w:rPr>
          <w:rFonts w:hint="eastAsia"/>
        </w:rPr>
        <w:t>1</w:t>
      </w:r>
      <w:r>
        <w:rPr>
          <w:rFonts w:hint="eastAsia"/>
          <w:lang w:eastAsia="zh-CN"/>
        </w:rPr>
        <w:t>.</w:t>
      </w:r>
      <w:r>
        <w:t>在水利工程选址时，应尽量避开重要的自然保护区、风景名胜区、水源保护区、水产种质资源保护区等。在生态脆弱区应适度开发，避免工程对生态的不利影响。</w:t>
      </w:r>
    </w:p>
    <w:p w14:paraId="005E0120">
      <w:pPr>
        <w:keepNext w:val="0"/>
        <w:keepLines w:val="0"/>
        <w:pageBreakBefore w:val="0"/>
        <w:widowControl w:val="0"/>
        <w:kinsoku/>
        <w:wordWrap/>
        <w:overflowPunct w:val="0"/>
        <w:topLinePunct w:val="0"/>
        <w:autoSpaceDE w:val="0"/>
        <w:autoSpaceDN w:val="0"/>
        <w:bidi w:val="0"/>
        <w:adjustRightInd w:val="0"/>
        <w:snapToGrid w:val="0"/>
      </w:pPr>
      <w:r>
        <w:rPr>
          <w:rFonts w:hint="eastAsia"/>
        </w:rPr>
        <w:t>2</w:t>
      </w:r>
      <w:r>
        <w:rPr>
          <w:rFonts w:hint="eastAsia"/>
          <w:lang w:eastAsia="zh-CN"/>
        </w:rPr>
        <w:t>.</w:t>
      </w:r>
      <w:r>
        <w:t>加强水土保持监督管理工作，积极开展水土流失治理，坚持以小流域为单元进行综合治理，严格水土保持方案报批制度及水土保持“三同时”制度，促进生态恢复。</w:t>
      </w:r>
    </w:p>
    <w:p w14:paraId="7BA51C49">
      <w:pPr>
        <w:keepNext w:val="0"/>
        <w:keepLines w:val="0"/>
        <w:pageBreakBefore w:val="0"/>
        <w:widowControl w:val="0"/>
        <w:kinsoku/>
        <w:wordWrap/>
        <w:overflowPunct w:val="0"/>
        <w:topLinePunct w:val="0"/>
        <w:autoSpaceDE w:val="0"/>
        <w:autoSpaceDN w:val="0"/>
        <w:bidi w:val="0"/>
        <w:adjustRightInd w:val="0"/>
        <w:snapToGrid w:val="0"/>
      </w:pPr>
      <w:r>
        <w:rPr>
          <w:rFonts w:hint="eastAsia"/>
          <w:lang w:val="en-US" w:eastAsia="zh-CN"/>
        </w:rPr>
        <w:t>3</w:t>
      </w:r>
      <w:r>
        <w:rPr>
          <w:rFonts w:hint="eastAsia"/>
          <w:lang w:eastAsia="zh-CN"/>
        </w:rPr>
        <w:t>.</w:t>
      </w:r>
      <w:r>
        <w:t>加强水生生物保护，采取措施保护水生生物生境和生态系统</w:t>
      </w:r>
      <w:r>
        <w:rPr>
          <w:rFonts w:hint="eastAsia"/>
          <w:lang w:eastAsia="zh-CN"/>
        </w:rPr>
        <w:t>；</w:t>
      </w:r>
      <w:r>
        <w:t>恢复和改良已破坏和退化的水生生态环境；建立合理的水利工程调节机制；提出切实有效的鱼类保护措施。</w:t>
      </w:r>
    </w:p>
    <w:p w14:paraId="77F9325B">
      <w:pPr>
        <w:keepNext w:val="0"/>
        <w:keepLines w:val="0"/>
        <w:pageBreakBefore w:val="0"/>
        <w:widowControl w:val="0"/>
        <w:kinsoku/>
        <w:wordWrap/>
        <w:overflowPunct w:val="0"/>
        <w:topLinePunct w:val="0"/>
        <w:autoSpaceDE w:val="0"/>
        <w:autoSpaceDN w:val="0"/>
        <w:bidi w:val="0"/>
        <w:adjustRightInd w:val="0"/>
        <w:snapToGrid w:val="0"/>
      </w:pPr>
      <w:r>
        <w:rPr>
          <w:rFonts w:hint="eastAsia"/>
          <w:lang w:val="en-US" w:eastAsia="zh-CN"/>
        </w:rPr>
        <w:t>4</w:t>
      </w:r>
      <w:r>
        <w:rPr>
          <w:rFonts w:hint="eastAsia"/>
          <w:lang w:eastAsia="zh-CN"/>
        </w:rPr>
        <w:t>.</w:t>
      </w:r>
      <w:r>
        <w:t>重视陆生生物保护，尽可能减少对植被的淹没及占用，迁移保护淹没区的古树名木和保护树种，对淹没、占用损失的植被资源予以异地恢复补偿。</w:t>
      </w:r>
    </w:p>
    <w:p w14:paraId="25D80540">
      <w:pPr>
        <w:keepNext w:val="0"/>
        <w:keepLines w:val="0"/>
        <w:pageBreakBefore w:val="0"/>
        <w:widowControl w:val="0"/>
        <w:kinsoku/>
        <w:wordWrap/>
        <w:overflowPunct w:val="0"/>
        <w:topLinePunct w:val="0"/>
        <w:autoSpaceDE w:val="0"/>
        <w:autoSpaceDN w:val="0"/>
        <w:bidi w:val="0"/>
        <w:adjustRightInd w:val="0"/>
        <w:snapToGrid w:val="0"/>
      </w:pPr>
      <w:r>
        <w:rPr>
          <w:rFonts w:hint="eastAsia"/>
          <w:lang w:val="en-US" w:eastAsia="zh-CN"/>
        </w:rPr>
        <w:t>5</w:t>
      </w:r>
      <w:r>
        <w:rPr>
          <w:rFonts w:hint="eastAsia"/>
          <w:lang w:eastAsia="zh-CN"/>
        </w:rPr>
        <w:t>.</w:t>
      </w:r>
      <w:r>
        <w:t>骨干水源工程建设过程中，应注意保护周边生态环境，尤其是库区陆生生态环境，保护珍稀树木和珍稀野生动物，采取措施减少水土流失。</w:t>
      </w:r>
    </w:p>
    <w:p w14:paraId="0D2741EA">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w:t>
      </w:r>
      <w:r>
        <w:rPr>
          <w:rFonts w:hint="eastAsia"/>
          <w:b/>
          <w:bCs/>
        </w:rPr>
        <w:t>三</w:t>
      </w:r>
      <w:r>
        <w:rPr>
          <w:b/>
          <w:bCs/>
        </w:rPr>
        <w:t>）</w:t>
      </w:r>
      <w:r>
        <w:rPr>
          <w:rFonts w:hint="eastAsia"/>
          <w:b/>
          <w:bCs/>
        </w:rPr>
        <w:t>社会环境保护措施</w:t>
      </w:r>
    </w:p>
    <w:p w14:paraId="43D48B11">
      <w:pPr>
        <w:keepNext w:val="0"/>
        <w:keepLines w:val="0"/>
        <w:pageBreakBefore w:val="0"/>
        <w:widowControl w:val="0"/>
        <w:kinsoku/>
        <w:wordWrap/>
        <w:overflowPunct w:val="0"/>
        <w:topLinePunct w:val="0"/>
        <w:autoSpaceDE w:val="0"/>
        <w:autoSpaceDN w:val="0"/>
        <w:bidi w:val="0"/>
        <w:adjustRightInd w:val="0"/>
        <w:snapToGrid w:val="0"/>
      </w:pPr>
      <w:r>
        <w:rPr>
          <w:rFonts w:hint="eastAsia"/>
        </w:rPr>
        <w:t>1</w:t>
      </w:r>
      <w:r>
        <w:rPr>
          <w:rFonts w:hint="eastAsia"/>
          <w:lang w:eastAsia="zh-CN"/>
        </w:rPr>
        <w:t>.</w:t>
      </w:r>
      <w:r>
        <w:t>强化耕地保护，避免或尽量少占耕地，特别保护基本农田，工程临时占地应及时进行复垦；对可能引起土地潜育化、盐渍化等土地退化问题，应采取工程防护措施防护。</w:t>
      </w:r>
    </w:p>
    <w:p w14:paraId="56528BBB">
      <w:pPr>
        <w:keepNext w:val="0"/>
        <w:keepLines w:val="0"/>
        <w:pageBreakBefore w:val="0"/>
        <w:widowControl w:val="0"/>
        <w:kinsoku/>
        <w:wordWrap/>
        <w:overflowPunct w:val="0"/>
        <w:topLinePunct w:val="0"/>
        <w:autoSpaceDE w:val="0"/>
        <w:autoSpaceDN w:val="0"/>
        <w:bidi w:val="0"/>
        <w:adjustRightInd w:val="0"/>
        <w:snapToGrid w:val="0"/>
      </w:pPr>
      <w:r>
        <w:rPr>
          <w:rFonts w:hint="eastAsia"/>
        </w:rPr>
        <w:t>2</w:t>
      </w:r>
      <w:r>
        <w:rPr>
          <w:rFonts w:hint="eastAsia"/>
          <w:lang w:eastAsia="zh-CN"/>
        </w:rPr>
        <w:t>.</w:t>
      </w:r>
      <w:r>
        <w:t>注重文物、景观、地质遗迹保护。根据文物保护法律、法规的规定，对可能受淹没影响的文物进行易地搬迁或重建。</w:t>
      </w:r>
    </w:p>
    <w:p w14:paraId="7F9F53EE">
      <w:pPr>
        <w:keepNext w:val="0"/>
        <w:keepLines w:val="0"/>
        <w:pageBreakBefore w:val="0"/>
        <w:widowControl w:val="0"/>
        <w:kinsoku/>
        <w:wordWrap/>
        <w:overflowPunct w:val="0"/>
        <w:topLinePunct w:val="0"/>
        <w:autoSpaceDE w:val="0"/>
        <w:autoSpaceDN w:val="0"/>
        <w:bidi w:val="0"/>
        <w:adjustRightInd w:val="0"/>
        <w:snapToGrid w:val="0"/>
      </w:pPr>
      <w:r>
        <w:rPr>
          <w:rFonts w:hint="eastAsia"/>
        </w:rPr>
        <w:t>3</w:t>
      </w:r>
      <w:r>
        <w:rPr>
          <w:rFonts w:hint="eastAsia"/>
          <w:lang w:val="en-US" w:eastAsia="zh-CN"/>
        </w:rPr>
        <w:t>.</w:t>
      </w:r>
      <w:r>
        <w:t>加强移民安置，做好移民安置规划和后期扶持，改善安置区生态环境，保障和改善移民生活，维护库区社会稳定。</w:t>
      </w:r>
    </w:p>
    <w:p w14:paraId="42F740D6">
      <w:pPr>
        <w:keepNext w:val="0"/>
        <w:keepLines w:val="0"/>
        <w:pageBreakBefore w:val="0"/>
        <w:widowControl w:val="0"/>
        <w:kinsoku/>
        <w:wordWrap/>
        <w:overflowPunct w:val="0"/>
        <w:topLinePunct w:val="0"/>
        <w:autoSpaceDE w:val="0"/>
        <w:autoSpaceDN w:val="0"/>
        <w:bidi w:val="0"/>
        <w:adjustRightInd w:val="0"/>
        <w:snapToGrid w:val="0"/>
        <w:rPr>
          <w:rFonts w:hint="eastAsia"/>
          <w:b/>
          <w:bCs/>
        </w:rPr>
      </w:pPr>
      <w:r>
        <w:rPr>
          <w:b/>
          <w:bCs/>
        </w:rPr>
        <w:t>（</w:t>
      </w:r>
      <w:r>
        <w:rPr>
          <w:rFonts w:hint="eastAsia"/>
          <w:b/>
          <w:bCs/>
        </w:rPr>
        <w:t>四</w:t>
      </w:r>
      <w:r>
        <w:rPr>
          <w:b/>
          <w:bCs/>
        </w:rPr>
        <w:t>）</w:t>
      </w:r>
      <w:r>
        <w:rPr>
          <w:rFonts w:hint="eastAsia"/>
          <w:b/>
          <w:bCs/>
        </w:rPr>
        <w:t>环境监测与跟踪评价计划</w:t>
      </w:r>
    </w:p>
    <w:p w14:paraId="65E045E3">
      <w:pPr>
        <w:keepNext w:val="0"/>
        <w:keepLines w:val="0"/>
        <w:pageBreakBefore w:val="0"/>
        <w:widowControl w:val="0"/>
        <w:kinsoku/>
        <w:wordWrap/>
        <w:overflowPunct w:val="0"/>
        <w:topLinePunct w:val="0"/>
        <w:autoSpaceDE w:val="0"/>
        <w:autoSpaceDN w:val="0"/>
        <w:bidi w:val="0"/>
        <w:adjustRightInd w:val="0"/>
        <w:snapToGrid w:val="0"/>
      </w:pPr>
      <w:r>
        <w:t>监测和调查内容主要包括地表水水质监测、水文监测（或收集资料）和陆生、水生生态监测与调查，以及陆生生态、水生生态、人群健康、移民跟踪等调查。通过监测调查，掌握规划工程地区建设前后各主要环境要素的变化情况和规律，并监督、检查具体项目施工过程中各项环境保护措施的实施情况和效果。</w:t>
      </w:r>
    </w:p>
    <w:p w14:paraId="55AB40E6">
      <w:pPr>
        <w:keepNext w:val="0"/>
        <w:keepLines w:val="0"/>
        <w:pageBreakBefore w:val="0"/>
        <w:widowControl w:val="0"/>
        <w:kinsoku/>
        <w:wordWrap/>
        <w:overflowPunct w:val="0"/>
        <w:topLinePunct w:val="0"/>
        <w:autoSpaceDE w:val="0"/>
        <w:autoSpaceDN w:val="0"/>
        <w:bidi w:val="0"/>
        <w:adjustRightInd w:val="0"/>
        <w:snapToGrid w:val="0"/>
      </w:pPr>
      <w:r>
        <w:t>对本规划所含项目的环评工作情况以及后续工作实施情况进行跟踪评价，全面调查分析规划实施采取的环保措施及效果。重点对涉及敏感区的项目进行环境影响跟踪调查，如存在对环境敏感区影响较大的施工活动，应立即停止，并采取相应的环境保护补偿对策措施，将环境损失降至最低。</w:t>
      </w:r>
    </w:p>
    <w:p w14:paraId="7B6D7ED2">
      <w:pPr>
        <w:pStyle w:val="3"/>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0" w:firstLineChars="0"/>
        <w:jc w:val="center"/>
        <w:rPr>
          <w:rFonts w:hint="eastAsia"/>
          <w:lang w:val="en-US" w:eastAsia="zh-CN"/>
        </w:rPr>
      </w:pPr>
      <w:bookmarkStart w:id="250" w:name="_Toc739"/>
      <w:r>
        <w:rPr>
          <w:rFonts w:hint="eastAsia" w:ascii="Times New Roman" w:hAnsi="Times New Roman" w:eastAsia="黑体" w:cs="Arial"/>
          <w:b/>
          <w:snapToGrid w:val="0"/>
          <w:color w:val="000000"/>
          <w:sz w:val="32"/>
          <w:szCs w:val="21"/>
          <w:lang w:val="en-US" w:eastAsia="zh-CN" w:bidi="ar-SA"/>
        </w:rPr>
        <w:t>第六节</w:t>
      </w:r>
      <w:r>
        <w:rPr>
          <w:rFonts w:hint="eastAsia" w:cs="Arial"/>
          <w:b/>
          <w:snapToGrid w:val="0"/>
          <w:color w:val="000000"/>
          <w:sz w:val="32"/>
          <w:szCs w:val="21"/>
          <w:lang w:val="en-US" w:eastAsia="zh-CN" w:bidi="ar-SA"/>
        </w:rPr>
        <w:t xml:space="preserve"> </w:t>
      </w:r>
      <w:r>
        <w:rPr>
          <w:rFonts w:hint="eastAsia"/>
          <w:lang w:val="en-US" w:eastAsia="zh-CN"/>
        </w:rPr>
        <w:t>社会稳定性风险评估</w:t>
      </w:r>
      <w:bookmarkEnd w:id="250"/>
    </w:p>
    <w:p w14:paraId="1C5D1FF3">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r>
        <w:rPr>
          <w:rFonts w:hint="default"/>
          <w:lang w:val="en-US" w:eastAsia="zh-CN"/>
        </w:rPr>
        <w:t>本</w:t>
      </w:r>
      <w:r>
        <w:rPr>
          <w:rFonts w:hint="eastAsia"/>
          <w:lang w:val="en-US" w:eastAsia="zh-CN"/>
        </w:rPr>
        <w:t>水网规划涉及整个红寺堡区的人民群众的生产生活，其社会稳定风险因素影响范围较大，且主要属于社会类风险因素。</w:t>
      </w:r>
    </w:p>
    <w:p w14:paraId="67502C88">
      <w:pPr>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0" w:firstLineChars="200"/>
        <w:rPr>
          <w:rFonts w:hint="default"/>
          <w:lang w:val="en-US" w:eastAsia="zh-CN"/>
        </w:rPr>
      </w:pPr>
      <w:r>
        <w:rPr>
          <w:rFonts w:hint="eastAsia"/>
          <w:lang w:val="en-US" w:eastAsia="zh-CN"/>
        </w:rPr>
        <w:t>一．风险因素及化解措施</w:t>
      </w:r>
    </w:p>
    <w:p w14:paraId="6D5AAB19">
      <w:pPr>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0" w:firstLineChars="200"/>
        <w:rPr>
          <w:rFonts w:hint="eastAsia"/>
          <w:lang w:val="en-US" w:eastAsia="zh-CN"/>
        </w:rPr>
      </w:pPr>
      <w:r>
        <w:rPr>
          <w:rFonts w:hint="eastAsia"/>
          <w:lang w:val="en-US" w:eastAsia="zh-CN"/>
        </w:rPr>
        <w:t>经分析，该项目社会稳定风险主要影响因素有：对水资源分配、计量、确权等环节不合理、不公平担忧问题；对水费收缴使用不透明、收缴标准不一致和新用水方式、缴费方式不习惯担忧问题；社会治安综合治理问题；利益诉求问题；群众支持问题；受损补偿问题、工程建设与当地基础设施建设协调问题、利益诉求问题和社会治安问题以及其他不可预见性问题等。</w:t>
      </w:r>
    </w:p>
    <w:p w14:paraId="13431340">
      <w:pPr>
        <w:keepNext w:val="0"/>
        <w:keepLines w:val="0"/>
        <w:pageBreakBefore w:val="0"/>
        <w:widowControl w:val="0"/>
        <w:kinsoku/>
        <w:wordWrap/>
        <w:overflowPunct w:val="0"/>
        <w:topLinePunct w:val="0"/>
        <w:autoSpaceDE w:val="0"/>
        <w:autoSpaceDN w:val="0"/>
        <w:bidi w:val="0"/>
        <w:adjustRightInd w:val="0"/>
        <w:snapToGrid w:val="0"/>
        <w:rPr>
          <w:rFonts w:hint="default"/>
          <w:lang w:val="en-US" w:eastAsia="zh-CN"/>
        </w:rPr>
      </w:pPr>
      <w:r>
        <w:rPr>
          <w:rFonts w:hint="eastAsia"/>
          <w:lang w:val="en-US" w:eastAsia="zh-CN"/>
        </w:rPr>
        <w:t>根据以上风险因素</w:t>
      </w:r>
      <w:r>
        <w:rPr>
          <w:rFonts w:hint="default"/>
          <w:lang w:val="en-US" w:eastAsia="zh-CN"/>
        </w:rPr>
        <w:t>项目</w:t>
      </w:r>
      <w:r>
        <w:rPr>
          <w:rFonts w:hint="eastAsia"/>
          <w:lang w:val="en-US" w:eastAsia="zh-CN"/>
        </w:rPr>
        <w:t>，可采取宣传政策法规、设立专门部门畅通政府与群众的沟通协调渠道、工程规划设计时考虑与周围环境的协调及与周围现状设施的协调、加强规划方案实施过程中的运行管理等措施解决 ，</w:t>
      </w:r>
      <w:r>
        <w:rPr>
          <w:rFonts w:hint="default"/>
          <w:lang w:val="en-US" w:eastAsia="zh-CN"/>
        </w:rPr>
        <w:t>可行性风险较小。</w:t>
      </w:r>
    </w:p>
    <w:p w14:paraId="27B02F36">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r>
        <w:rPr>
          <w:rFonts w:hint="eastAsia"/>
          <w:lang w:val="en-US" w:eastAsia="zh-CN"/>
        </w:rPr>
        <w:t>二．社会稳定性风险应急措施</w:t>
      </w:r>
    </w:p>
    <w:p w14:paraId="761A12BA">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r>
        <w:rPr>
          <w:rFonts w:hint="eastAsia"/>
          <w:lang w:val="en-US" w:eastAsia="zh-CN"/>
        </w:rPr>
        <w:t>发现重大社会稳定问题苗头或事件时，启动预案，并展开以下工作程序：</w:t>
      </w:r>
    </w:p>
    <w:p w14:paraId="3988010A">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r>
        <w:rPr>
          <w:rFonts w:hint="eastAsia"/>
          <w:lang w:val="en-US" w:eastAsia="zh-CN"/>
        </w:rPr>
        <w:t>1.对已发生的群体性事件，相关部门要认真接待，并根据起因即通知有关人员赶赴现场做好耐心细致的疏导工作，防止矛盾激化，把风险事件的处理控制在当地。</w:t>
      </w:r>
    </w:p>
    <w:p w14:paraId="492FB1CB">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r>
        <w:rPr>
          <w:rFonts w:hint="eastAsia"/>
          <w:lang w:val="en-US" w:eastAsia="zh-CN"/>
        </w:rPr>
        <w:t>2. 第一时间召开维护社会稳定工作会议，通报不稳定情况和处理情况，分析研究可能出现的重大问题及对策。并将不稳定情况向所在地政府等有关部门报告，请求帮助和支持。</w:t>
      </w:r>
    </w:p>
    <w:p w14:paraId="7F142DB9">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r>
        <w:rPr>
          <w:rFonts w:hint="eastAsia"/>
          <w:lang w:val="en-US" w:eastAsia="zh-CN"/>
        </w:rPr>
        <w:t>3. 对问题复杂、规模较大的群体性事件，有关领导要迅速抵达现场，组织工作，及时提出处理意见。</w:t>
      </w:r>
    </w:p>
    <w:p w14:paraId="40AFC242">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r>
        <w:rPr>
          <w:rFonts w:hint="eastAsia"/>
          <w:lang w:val="en-US" w:eastAsia="zh-CN"/>
        </w:rPr>
        <w:t>4. 对有轻生或危害社会倾向的特殊人员要耐心开导，稳定他们的情绪，并联系有关方面解决问题。必要时，报请有关机关采取应急措施。</w:t>
      </w:r>
    </w:p>
    <w:p w14:paraId="3D6EEDD6">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r>
        <w:rPr>
          <w:rFonts w:hint="eastAsia"/>
          <w:lang w:val="en-US" w:eastAsia="zh-CN"/>
        </w:rPr>
        <w:t>5.有关人员在接到重大社会不稳定通报后，移动电话要保证24小时畅通；值班电话24小时值班，随时掌握各方面信息并上传下达。</w:t>
      </w:r>
    </w:p>
    <w:p w14:paraId="6572C285">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r>
        <w:rPr>
          <w:rFonts w:hint="eastAsia"/>
          <w:lang w:val="en-US" w:eastAsia="zh-CN"/>
        </w:rPr>
        <w:t>三．社会稳定性风险评估结论</w:t>
      </w:r>
    </w:p>
    <w:p w14:paraId="106CFC43">
      <w:pPr>
        <w:keepNext w:val="0"/>
        <w:keepLines w:val="0"/>
        <w:pageBreakBefore w:val="0"/>
        <w:widowControl w:val="0"/>
        <w:kinsoku/>
        <w:wordWrap/>
        <w:overflowPunct w:val="0"/>
        <w:topLinePunct w:val="0"/>
        <w:autoSpaceDE w:val="0"/>
        <w:autoSpaceDN w:val="0"/>
        <w:bidi w:val="0"/>
        <w:adjustRightInd w:val="0"/>
        <w:snapToGrid w:val="0"/>
        <w:rPr>
          <w:rFonts w:hint="default"/>
          <w:lang w:val="en-US" w:eastAsia="zh-CN"/>
        </w:rPr>
      </w:pPr>
      <w:r>
        <w:rPr>
          <w:rFonts w:hint="eastAsia"/>
          <w:lang w:val="en-US" w:eastAsia="zh-CN"/>
        </w:rPr>
        <w:t>通过对</w:t>
      </w:r>
      <w:r>
        <w:rPr>
          <w:rFonts w:hint="default"/>
          <w:lang w:val="en-US" w:eastAsia="zh-CN"/>
        </w:rPr>
        <w:t>风险因素</w:t>
      </w:r>
      <w:r>
        <w:rPr>
          <w:rFonts w:hint="eastAsia"/>
          <w:lang w:val="en-US" w:eastAsia="zh-CN"/>
        </w:rPr>
        <w:t>的</w:t>
      </w:r>
      <w:r>
        <w:rPr>
          <w:rFonts w:hint="default"/>
          <w:lang w:val="en-US" w:eastAsia="zh-CN"/>
        </w:rPr>
        <w:t>评价分析判断：本项目社会稳定风险等级为低风险，从社会稳定风险分析结果看规划方案</w:t>
      </w:r>
      <w:r>
        <w:rPr>
          <w:rFonts w:hint="eastAsia"/>
          <w:lang w:val="en-US" w:eastAsia="zh-CN"/>
        </w:rPr>
        <w:t>的</w:t>
      </w:r>
      <w:r>
        <w:rPr>
          <w:rFonts w:hint="default"/>
          <w:lang w:val="en-US" w:eastAsia="zh-CN"/>
        </w:rPr>
        <w:t>全面实施是可行的。</w:t>
      </w:r>
    </w:p>
    <w:p w14:paraId="02646349">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51" w:name="_Toc25421"/>
      <w:bookmarkStart w:id="252" w:name="_Toc183959032"/>
      <w:r>
        <w:rPr>
          <w:rFonts w:hint="eastAsia"/>
        </w:rPr>
        <w:t>第</w:t>
      </w:r>
      <w:r>
        <w:rPr>
          <w:rFonts w:hint="eastAsia"/>
          <w:lang w:val="en-US" w:eastAsia="zh-CN"/>
        </w:rPr>
        <w:t>七</w:t>
      </w:r>
      <w:r>
        <w:rPr>
          <w:rFonts w:hint="eastAsia"/>
        </w:rPr>
        <w:t>节 综合评价结论</w:t>
      </w:r>
      <w:bookmarkEnd w:id="251"/>
      <w:bookmarkEnd w:id="252"/>
    </w:p>
    <w:p w14:paraId="27C8621F">
      <w:pPr>
        <w:keepNext w:val="0"/>
        <w:keepLines w:val="0"/>
        <w:pageBreakBefore w:val="0"/>
        <w:widowControl w:val="0"/>
        <w:kinsoku/>
        <w:wordWrap/>
        <w:overflowPunct w:val="0"/>
        <w:topLinePunct w:val="0"/>
        <w:autoSpaceDE w:val="0"/>
        <w:autoSpaceDN w:val="0"/>
        <w:bidi w:val="0"/>
        <w:adjustRightInd w:val="0"/>
        <w:snapToGrid w:val="0"/>
        <w:jc w:val="both"/>
        <w:textAlignment w:val="baseline"/>
      </w:pPr>
      <w:r>
        <w:rPr>
          <w:rFonts w:hint="eastAsia"/>
          <w:lang w:val="en-US" w:eastAsia="zh-CN"/>
        </w:rPr>
        <w:t>红寺堡区</w:t>
      </w:r>
      <w:r>
        <w:t>水网规划坚持贯彻绿水青山就是金山银山的理念， 坚持山水林田湖草沙一体化保护和系统治理，充分结合</w:t>
      </w:r>
      <w:r>
        <w:rPr>
          <w:rFonts w:hint="eastAsia"/>
          <w:lang w:val="en-US" w:eastAsia="zh-CN"/>
        </w:rPr>
        <w:t>红寺堡区</w:t>
      </w:r>
      <w:r>
        <w:t>自然环境特点、经济社会发展需要和环境保护要求，制定环境保护对策，最大限度降低规划实施对生态环境带来的不利影响。规划实施后，有利于水生态环境质量全面提升；有利于全面提高</w:t>
      </w:r>
      <w:r>
        <w:rPr>
          <w:rFonts w:hint="eastAsia"/>
          <w:lang w:val="en-US" w:eastAsia="zh-CN"/>
        </w:rPr>
        <w:t>红寺堡区</w:t>
      </w:r>
      <w:r>
        <w:t>防洪能力，筑牢防汛安全屏障；有利于饮用水水源地保护，让千家万户喝上放心水；有利于治理和控制水土流失问题，改善水源地生态环境。</w:t>
      </w:r>
    </w:p>
    <w:p w14:paraId="103BE7AD">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ascii="仿宋" w:hAnsi="仿宋" w:eastAsia="仿宋" w:cs="仿宋"/>
          <w:sz w:val="28"/>
          <w:szCs w:val="28"/>
        </w:rPr>
      </w:pPr>
      <w:r>
        <w:t>规划方案的实施不会对环境产生较大不利影响， 不存在明显的环境制约性因素，规划方案基本可行。</w:t>
      </w:r>
    </w:p>
    <w:p w14:paraId="47907383">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sectPr>
          <w:headerReference r:id="rId19" w:type="default"/>
          <w:footerReference r:id="rId20" w:type="default"/>
          <w:pgSz w:w="11906" w:h="16840"/>
          <w:pgMar w:top="1701" w:right="1701" w:bottom="1701" w:left="1701" w:header="1304" w:footer="1304" w:gutter="0"/>
          <w:pgBorders>
            <w:top w:val="none" w:sz="0" w:space="0"/>
            <w:left w:val="none" w:sz="0" w:space="0"/>
            <w:bottom w:val="none" w:sz="0" w:space="0"/>
            <w:right w:val="none" w:sz="0" w:space="0"/>
          </w:pgBorders>
          <w:pgNumType w:fmt="decimal"/>
          <w:cols w:space="720" w:num="1"/>
          <w:docGrid w:linePitch="321" w:charSpace="0"/>
        </w:sectPr>
      </w:pPr>
      <w:r>
        <w:rPr>
          <w:rFonts w:hint="eastAsia"/>
        </w:rPr>
        <w:t>规划方案的社会稳定风险因素发生的机率很小，</w:t>
      </w:r>
      <w:r>
        <w:rPr>
          <w:rFonts w:hint="eastAsia"/>
          <w:lang w:val="en-US" w:eastAsia="zh-CN"/>
        </w:rPr>
        <w:t>且风险因素发生后是可控的，</w:t>
      </w:r>
      <w:r>
        <w:rPr>
          <w:rFonts w:hint="eastAsia"/>
        </w:rPr>
        <w:t>从社会稳定风险分析结果看</w:t>
      </w:r>
      <w:r>
        <w:rPr>
          <w:rFonts w:hint="eastAsia"/>
          <w:lang w:val="en-US" w:eastAsia="zh-CN"/>
        </w:rPr>
        <w:t>规划方案</w:t>
      </w:r>
      <w:r>
        <w:rPr>
          <w:rFonts w:hint="eastAsia"/>
        </w:rPr>
        <w:t>是可行的</w:t>
      </w:r>
      <w:r>
        <w:rPr>
          <w:rFonts w:hint="eastAsia"/>
          <w:lang w:eastAsia="zh-CN"/>
        </w:rPr>
        <w:t>。</w:t>
      </w:r>
    </w:p>
    <w:p w14:paraId="6FCB8F1A">
      <w:pPr>
        <w:pStyle w:val="2"/>
        <w:keepNext w:val="0"/>
        <w:keepLines w:val="0"/>
        <w:pageBreakBefore w:val="0"/>
        <w:widowControl w:val="0"/>
        <w:kinsoku/>
        <w:wordWrap/>
        <w:overflowPunct w:val="0"/>
        <w:topLinePunct w:val="0"/>
        <w:autoSpaceDE w:val="0"/>
        <w:autoSpaceDN w:val="0"/>
        <w:bidi w:val="0"/>
        <w:adjustRightInd w:val="0"/>
        <w:snapToGrid w:val="0"/>
      </w:pPr>
      <w:bookmarkStart w:id="253" w:name="_Toc166493772"/>
      <w:bookmarkStart w:id="254" w:name="_Toc183959033"/>
      <w:bookmarkStart w:id="255" w:name="_Toc152249267"/>
      <w:bookmarkStart w:id="256" w:name="_Toc31008"/>
      <w:r>
        <w:rPr>
          <w:rFonts w:hint="eastAsia"/>
          <w:lang w:val="en-US" w:eastAsia="en-US"/>
        </w:rPr>
        <w:t>第</w:t>
      </w:r>
      <w:r>
        <w:rPr>
          <w:rFonts w:hint="eastAsia"/>
          <w:lang w:val="en-US" w:eastAsia="zh-CN"/>
        </w:rPr>
        <w:t>十二</w:t>
      </w:r>
      <w:r>
        <w:rPr>
          <w:rFonts w:hint="eastAsia"/>
          <w:lang w:val="en-US" w:eastAsia="en-US"/>
        </w:rPr>
        <w:t xml:space="preserve">章 </w:t>
      </w:r>
      <w:r>
        <w:rPr>
          <w:rFonts w:hint="eastAsia"/>
        </w:rPr>
        <w:t>规划</w:t>
      </w:r>
      <w:r>
        <w:t>保障措施</w:t>
      </w:r>
      <w:bookmarkEnd w:id="253"/>
      <w:bookmarkEnd w:id="254"/>
      <w:bookmarkEnd w:id="255"/>
      <w:bookmarkEnd w:id="256"/>
    </w:p>
    <w:p w14:paraId="1F7B0A9A">
      <w:pPr>
        <w:pStyle w:val="3"/>
        <w:keepNext w:val="0"/>
        <w:keepLines w:val="0"/>
        <w:pageBreakBefore w:val="0"/>
        <w:widowControl w:val="0"/>
        <w:kinsoku/>
        <w:wordWrap/>
        <w:overflowPunct w:val="0"/>
        <w:topLinePunct w:val="0"/>
        <w:autoSpaceDE w:val="0"/>
        <w:autoSpaceDN w:val="0"/>
        <w:bidi w:val="0"/>
        <w:adjustRightInd w:val="0"/>
        <w:snapToGrid w:val="0"/>
        <w:rPr>
          <w:rFonts w:hint="eastAsia"/>
        </w:rPr>
      </w:pPr>
      <w:bookmarkStart w:id="257" w:name="_Toc183959034"/>
      <w:bookmarkStart w:id="258" w:name="_Toc23840"/>
      <w:r>
        <w:rPr>
          <w:rFonts w:hint="eastAsia"/>
        </w:rPr>
        <w:t>第一节 加强组织领导</w:t>
      </w:r>
      <w:bookmarkEnd w:id="257"/>
      <w:bookmarkEnd w:id="258"/>
    </w:p>
    <w:p w14:paraId="1C38AFFC">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把水网建设作为各级党委、政府推进水利高质量发展的重要任务，作为市级重点调度内容，积极创造政策和资金保障条件。加强部门协作和统筹推进，坚持问题导向，第一时间协调解决堵点难点问题，全力推进水网建设。</w:t>
      </w:r>
    </w:p>
    <w:p w14:paraId="70766732">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59" w:name="bookmark133"/>
      <w:bookmarkEnd w:id="259"/>
      <w:bookmarkStart w:id="260" w:name="bookmark134"/>
      <w:bookmarkEnd w:id="260"/>
      <w:bookmarkStart w:id="261" w:name="_Toc8360"/>
      <w:bookmarkStart w:id="262" w:name="_Toc183959035"/>
      <w:r>
        <w:rPr>
          <w:rFonts w:hint="eastAsia"/>
        </w:rPr>
        <w:t xml:space="preserve">第二节 </w:t>
      </w:r>
      <w:r>
        <w:rPr>
          <w:rFonts w:hint="eastAsia"/>
          <w:lang w:val="en-US" w:eastAsia="zh-CN"/>
        </w:rPr>
        <w:t>深化</w:t>
      </w:r>
      <w:r>
        <w:rPr>
          <w:rFonts w:hint="eastAsia"/>
        </w:rPr>
        <w:t>前期工作</w:t>
      </w:r>
      <w:bookmarkEnd w:id="261"/>
      <w:bookmarkEnd w:id="262"/>
    </w:p>
    <w:p w14:paraId="60DFA360">
      <w:pPr>
        <w:keepNext w:val="0"/>
        <w:keepLines w:val="0"/>
        <w:pageBreakBefore w:val="0"/>
        <w:widowControl w:val="0"/>
        <w:kinsoku/>
        <w:wordWrap/>
        <w:overflowPunct w:val="0"/>
        <w:topLinePunct w:val="0"/>
        <w:autoSpaceDE w:val="0"/>
        <w:autoSpaceDN w:val="0"/>
        <w:bidi w:val="0"/>
        <w:adjustRightInd w:val="0"/>
        <w:snapToGrid w:val="0"/>
      </w:pPr>
      <w:r>
        <w:rPr>
          <w:rFonts w:hint="eastAsia"/>
        </w:rPr>
        <w:t>建立项目前期工作责任制，认真履行建设程序，加强技术审查，严格执行工程建设有关强制性标准和规程规范，保证水利项目前期工作经费投入。积极推行前期工作市场准入和审查审批终身负责制。妥善解决工程建设中的国土空间调整、生态环境制约、移民征地等重大问题，合理确定建设方案，科学有序实施。</w:t>
      </w:r>
    </w:p>
    <w:p w14:paraId="72FD83DC">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63" w:name="bookmark136"/>
      <w:bookmarkEnd w:id="263"/>
      <w:bookmarkStart w:id="264" w:name="bookmark135"/>
      <w:bookmarkEnd w:id="264"/>
      <w:bookmarkStart w:id="265" w:name="_Toc10146"/>
      <w:bookmarkStart w:id="266" w:name="_Toc183959036"/>
      <w:r>
        <w:rPr>
          <w:rFonts w:hint="eastAsia"/>
        </w:rPr>
        <w:t>第三节 加大资金投入</w:t>
      </w:r>
      <w:bookmarkEnd w:id="265"/>
      <w:bookmarkEnd w:id="266"/>
    </w:p>
    <w:p w14:paraId="14288010">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建立以政府投入为主、金融与社会参与的多元化资金筹措保障机制，鼓励建立多元化、多渠道、多层次的投入机制，扩大资金来源。紧抓国家、自治区加大水利投入的机遇，积极争取国家和自治区项目和专项资金支持，落实地方政府投入。在不新增政府隐性债务的前提下，充分发挥各级投融资平台的投融资作用，有效利用金融政策和资金，构建稳定、多元的水利投融资机制。</w:t>
      </w:r>
    </w:p>
    <w:p w14:paraId="3A10B5F2">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67" w:name="bookmark138"/>
      <w:bookmarkEnd w:id="267"/>
      <w:bookmarkStart w:id="268" w:name="bookmark137"/>
      <w:bookmarkEnd w:id="268"/>
      <w:bookmarkStart w:id="269" w:name="_Toc183959037"/>
      <w:bookmarkStart w:id="270" w:name="_Toc32112"/>
      <w:r>
        <w:rPr>
          <w:rFonts w:hint="eastAsia"/>
        </w:rPr>
        <w:t>第四节 强化科技支撑</w:t>
      </w:r>
      <w:bookmarkEnd w:id="269"/>
      <w:bookmarkEnd w:id="270"/>
    </w:p>
    <w:p w14:paraId="624E3FF2">
      <w:pPr>
        <w:keepNext w:val="0"/>
        <w:keepLines w:val="0"/>
        <w:pageBreakBefore w:val="0"/>
        <w:widowControl w:val="0"/>
        <w:kinsoku/>
        <w:wordWrap/>
        <w:overflowPunct w:val="0"/>
        <w:topLinePunct w:val="0"/>
        <w:autoSpaceDE w:val="0"/>
        <w:autoSpaceDN w:val="0"/>
        <w:bidi w:val="0"/>
        <w:adjustRightInd w:val="0"/>
        <w:snapToGrid w:val="0"/>
        <w:rPr>
          <w:rFonts w:hint="eastAsia"/>
        </w:rPr>
      </w:pPr>
      <w:r>
        <w:rPr>
          <w:rFonts w:hint="eastAsia"/>
        </w:rPr>
        <w:t>以</w:t>
      </w:r>
      <w:r>
        <w:rPr>
          <w:rFonts w:hint="eastAsia"/>
          <w:lang w:val="en-US" w:eastAsia="zh-CN"/>
        </w:rPr>
        <w:t>红寺堡区</w:t>
      </w:r>
      <w:r>
        <w:rPr>
          <w:rFonts w:hint="eastAsia"/>
        </w:rPr>
        <w:t>水网建设需求为导向，围绕再生水河湖补水、雨洪资源利用技术等方面积极开展水网建设重大问题研究和关键技术攻关。加强先进实用技术推广应用，加大建筑信息模型（BIM）技术、遥感技术、人工智能等在水网建管理中的应用力度。探索通过市场机制多渠道筹集水利科技资金，引导企事业单位、社会团体加大对水利科技创新的投入。</w:t>
      </w:r>
    </w:p>
    <w:p w14:paraId="6C16B507">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center"/>
        <w:rPr>
          <w:rFonts w:hint="eastAsia"/>
        </w:rPr>
      </w:pPr>
      <w:bookmarkStart w:id="271" w:name="bookmark140"/>
      <w:bookmarkEnd w:id="271"/>
      <w:bookmarkStart w:id="272" w:name="bookmark139"/>
      <w:bookmarkEnd w:id="272"/>
      <w:bookmarkStart w:id="273" w:name="_Toc23937"/>
      <w:bookmarkStart w:id="274" w:name="_Toc183959038"/>
      <w:r>
        <w:rPr>
          <w:rFonts w:hint="eastAsia"/>
        </w:rPr>
        <w:t>第五节 加强宣传引导</w:t>
      </w:r>
      <w:bookmarkEnd w:id="273"/>
      <w:bookmarkEnd w:id="274"/>
    </w:p>
    <w:p w14:paraId="4AE30006">
      <w:pPr>
        <w:keepNext w:val="0"/>
        <w:keepLines w:val="0"/>
        <w:pageBreakBefore w:val="0"/>
        <w:widowControl w:val="0"/>
        <w:kinsoku/>
        <w:wordWrap/>
        <w:overflowPunct w:val="0"/>
        <w:topLinePunct w:val="0"/>
        <w:autoSpaceDE w:val="0"/>
        <w:autoSpaceDN w:val="0"/>
        <w:bidi w:val="0"/>
        <w:adjustRightInd w:val="0"/>
        <w:snapToGrid w:val="0"/>
        <w:jc w:val="both"/>
        <w:textAlignment w:val="baseline"/>
        <w:rPr>
          <w:rFonts w:hint="eastAsia"/>
        </w:rPr>
      </w:pPr>
      <w:r>
        <w:rPr>
          <w:rFonts w:hint="eastAsia"/>
        </w:rPr>
        <w:t>充分利用网络媒体平台和报刊等媒介，积极宣传</w:t>
      </w:r>
      <w:r>
        <w:rPr>
          <w:rFonts w:hint="eastAsia"/>
          <w:lang w:val="en-US" w:eastAsia="zh-CN"/>
        </w:rPr>
        <w:t>红寺堡区</w:t>
      </w:r>
      <w:r>
        <w:rPr>
          <w:rFonts w:hint="eastAsia"/>
        </w:rPr>
        <w:t>水网建设取得的成效、典型经验、先进事迹，深入讲好水利故事，进一步提升水网建设规划的公众认知度，营造全社会重视、关心、支持水网建设的浓厚氛围，积极推动水网建设规划的全面实施，为</w:t>
      </w:r>
      <w:r>
        <w:rPr>
          <w:rFonts w:hint="eastAsia"/>
          <w:lang w:val="en-US" w:eastAsia="zh-CN"/>
        </w:rPr>
        <w:t>红寺堡区</w:t>
      </w:r>
      <w:r>
        <w:rPr>
          <w:rFonts w:hint="eastAsia"/>
        </w:rPr>
        <w:t>建成黄河流域生态保护和高质量发展先行区示范市提供有力支撑和保障。</w:t>
      </w:r>
    </w:p>
    <w:p w14:paraId="5BF9F197">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498D44A6">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5751B1F6">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699D0F64">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5D298B4B">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460F2ABA">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6FE5AAF0">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3FBA9018">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479ABECE">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3558771B">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52DB9002">
      <w:pPr>
        <w:pStyle w:val="3"/>
        <w:keepNext w:val="0"/>
        <w:keepLines w:val="0"/>
        <w:pageBreakBefore w:val="0"/>
        <w:widowControl w:val="0"/>
        <w:numPr>
          <w:ilvl w:val="1"/>
          <w:numId w:val="0"/>
        </w:numPr>
        <w:kinsoku/>
        <w:wordWrap/>
        <w:overflowPunct w:val="0"/>
        <w:topLinePunct w:val="0"/>
        <w:autoSpaceDE w:val="0"/>
        <w:autoSpaceDN w:val="0"/>
        <w:bidi w:val="0"/>
        <w:adjustRightInd w:val="0"/>
        <w:snapToGrid w:val="0"/>
        <w:jc w:val="left"/>
        <w:rPr>
          <w:rFonts w:hint="eastAsia"/>
        </w:rPr>
      </w:pPr>
      <w:bookmarkStart w:id="275" w:name="_Toc29649"/>
      <w:bookmarkStart w:id="276" w:name="_Toc183959039"/>
      <w:r>
        <w:rPr>
          <w:rFonts w:hint="eastAsia"/>
        </w:rPr>
        <w:t>附图:</w:t>
      </w:r>
      <w:bookmarkEnd w:id="275"/>
      <w:bookmarkEnd w:id="276"/>
    </w:p>
    <w:p w14:paraId="0001B3B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360" w:lineRule="auto"/>
        <w:ind w:firstLine="600" w:firstLineChars="200"/>
        <w:rPr>
          <w:rFonts w:hint="eastAsia" w:ascii="仿宋" w:hAnsi="仿宋" w:eastAsia="仿宋" w:cs="仿宋_GB2312"/>
          <w:bCs/>
          <w:kern w:val="0"/>
          <w:sz w:val="30"/>
          <w:szCs w:val="30"/>
        </w:rPr>
      </w:pPr>
      <w:r>
        <w:rPr>
          <w:rFonts w:hint="eastAsia" w:ascii="仿宋" w:hAnsi="仿宋" w:eastAsia="仿宋" w:cs="仿宋_GB2312"/>
          <w:bCs/>
          <w:kern w:val="0"/>
          <w:sz w:val="30"/>
          <w:szCs w:val="30"/>
          <w:lang w:val="en-US" w:eastAsia="zh-CN"/>
        </w:rPr>
        <w:t>1、红寺堡区在宁夏位置示意图</w:t>
      </w:r>
      <w:r>
        <w:rPr>
          <w:rFonts w:hint="eastAsia" w:ascii="仿宋" w:hAnsi="仿宋" w:eastAsia="仿宋" w:cs="仿宋_GB2312"/>
          <w:bCs/>
          <w:kern w:val="0"/>
          <w:sz w:val="30"/>
          <w:szCs w:val="30"/>
        </w:rPr>
        <w:t>；</w:t>
      </w:r>
    </w:p>
    <w:p w14:paraId="2BF89B0E">
      <w:pPr>
        <w:keepNext w:val="0"/>
        <w:keepLines w:val="0"/>
        <w:pageBreakBefore w:val="0"/>
        <w:widowControl w:val="0"/>
        <w:kinsoku/>
        <w:wordWrap/>
        <w:overflowPunct w:val="0"/>
        <w:topLinePunct w:val="0"/>
        <w:autoSpaceDE w:val="0"/>
        <w:autoSpaceDN w:val="0"/>
        <w:bidi w:val="0"/>
        <w:adjustRightInd w:val="0"/>
        <w:snapToGrid w:val="0"/>
        <w:spacing w:line="360" w:lineRule="auto"/>
        <w:rPr>
          <w:rFonts w:hint="eastAsia" w:ascii="仿宋" w:hAnsi="仿宋" w:eastAsia="仿宋" w:cs="仿宋_GB2312"/>
          <w:bCs/>
          <w:kern w:val="0"/>
          <w:sz w:val="30"/>
          <w:szCs w:val="30"/>
        </w:rPr>
      </w:pPr>
      <w:r>
        <w:rPr>
          <w:rFonts w:hint="eastAsia" w:ascii="仿宋" w:hAnsi="仿宋" w:eastAsia="仿宋" w:cs="仿宋_GB2312"/>
          <w:bCs/>
          <w:kern w:val="0"/>
          <w:sz w:val="30"/>
          <w:szCs w:val="30"/>
          <w:lang w:val="en-US" w:eastAsia="zh-CN"/>
        </w:rPr>
        <w:t>2、红寺堡区区划图</w:t>
      </w:r>
      <w:r>
        <w:rPr>
          <w:rFonts w:hint="eastAsia" w:ascii="仿宋" w:hAnsi="仿宋" w:eastAsia="仿宋" w:cs="仿宋_GB2312"/>
          <w:bCs/>
          <w:kern w:val="0"/>
          <w:sz w:val="30"/>
          <w:szCs w:val="30"/>
        </w:rPr>
        <w:t>；</w:t>
      </w:r>
    </w:p>
    <w:p w14:paraId="6F863A03">
      <w:pPr>
        <w:keepNext w:val="0"/>
        <w:keepLines w:val="0"/>
        <w:pageBreakBefore w:val="0"/>
        <w:widowControl w:val="0"/>
        <w:kinsoku/>
        <w:wordWrap/>
        <w:overflowPunct w:val="0"/>
        <w:topLinePunct w:val="0"/>
        <w:autoSpaceDE w:val="0"/>
        <w:autoSpaceDN w:val="0"/>
        <w:bidi w:val="0"/>
        <w:adjustRightInd w:val="0"/>
        <w:snapToGrid w:val="0"/>
        <w:spacing w:line="360" w:lineRule="auto"/>
        <w:rPr>
          <w:rFonts w:hint="default" w:ascii="仿宋" w:hAnsi="仿宋" w:eastAsia="仿宋" w:cs="仿宋_GB2312"/>
          <w:bCs/>
          <w:kern w:val="0"/>
          <w:sz w:val="30"/>
          <w:szCs w:val="30"/>
          <w:lang w:val="en-US"/>
        </w:rPr>
      </w:pPr>
      <w:r>
        <w:rPr>
          <w:rFonts w:hint="eastAsia" w:ascii="仿宋" w:hAnsi="仿宋" w:eastAsia="仿宋" w:cs="仿宋_GB2312"/>
          <w:bCs/>
          <w:kern w:val="0"/>
          <w:sz w:val="30"/>
          <w:szCs w:val="30"/>
          <w:lang w:val="en-US" w:eastAsia="zh-CN"/>
        </w:rPr>
        <w:t>3、红寺堡区水网空间布局图</w:t>
      </w:r>
    </w:p>
    <w:p w14:paraId="75F9FDA3">
      <w:pPr>
        <w:keepNext w:val="0"/>
        <w:keepLines w:val="0"/>
        <w:pageBreakBefore w:val="0"/>
        <w:widowControl w:val="0"/>
        <w:kinsoku/>
        <w:wordWrap/>
        <w:overflowPunct w:val="0"/>
        <w:topLinePunct w:val="0"/>
        <w:autoSpaceDE w:val="0"/>
        <w:autoSpaceDN w:val="0"/>
        <w:bidi w:val="0"/>
        <w:adjustRightInd w:val="0"/>
        <w:snapToGrid w:val="0"/>
        <w:rPr>
          <w:rFonts w:hint="eastAsia"/>
        </w:rPr>
      </w:pPr>
    </w:p>
    <w:p w14:paraId="342AC0E9">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3D0D22AC">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5A029A88">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2582BA42">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26AD3827">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64414380">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516A8479">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161F14B9">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3D749A27">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5179BCC7">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5DA6D69A">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37A79771">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735EB1E5">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36C7AE81">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72B6C42C">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326CEF8F">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315A54CA">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26EB6CC9">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0CFEAA12">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3E26402D">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49D70963">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596F3AD6">
      <w:pPr>
        <w:keepNext w:val="0"/>
        <w:keepLines w:val="0"/>
        <w:pageBreakBefore w:val="0"/>
        <w:widowControl w:val="0"/>
        <w:kinsoku/>
        <w:wordWrap/>
        <w:overflowPunct w:val="0"/>
        <w:topLinePunct w:val="0"/>
        <w:autoSpaceDE w:val="0"/>
        <w:autoSpaceDN w:val="0"/>
        <w:bidi w:val="0"/>
        <w:adjustRightInd w:val="0"/>
        <w:snapToGrid w:val="0"/>
        <w:rPr>
          <w:rFonts w:hint="eastAsia"/>
          <w:lang w:val="en-US" w:eastAsia="zh-CN"/>
        </w:rPr>
      </w:pPr>
    </w:p>
    <w:p w14:paraId="67BB8DBA">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rPr>
          <w:rFonts w:hint="eastAsia"/>
          <w:lang w:val="en-US" w:eastAsia="zh-CN"/>
        </w:rPr>
        <w:sectPr>
          <w:headerReference r:id="rId21" w:type="default"/>
          <w:footerReference r:id="rId22" w:type="default"/>
          <w:pgSz w:w="11907" w:h="16839"/>
          <w:pgMar w:top="1440" w:right="1803" w:bottom="1440" w:left="1803" w:header="0" w:footer="986" w:gutter="0"/>
          <w:pgBorders>
            <w:top w:val="none" w:sz="0" w:space="0"/>
            <w:left w:val="none" w:sz="0" w:space="0"/>
            <w:bottom w:val="none" w:sz="0" w:space="0"/>
            <w:right w:val="none" w:sz="0" w:space="0"/>
          </w:pgBorders>
          <w:pgNumType w:fmt="decimal"/>
          <w:cols w:space="0" w:num="1"/>
        </w:sectPr>
      </w:pPr>
      <w:r>
        <w:rPr>
          <w:rFonts w:hint="eastAsia"/>
          <w:lang w:val="en-US" w:eastAsia="zh-CN"/>
        </w:rPr>
        <w:drawing>
          <wp:inline distT="0" distB="0" distL="114300" distR="114300">
            <wp:extent cx="5284470" cy="8100060"/>
            <wp:effectExtent l="0" t="0" r="11430" b="15240"/>
            <wp:docPr id="3" name="图片 3" descr="红寺堡区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红寺堡区行政区划图"/>
                    <pic:cNvPicPr>
                      <a:picLocks noChangeAspect="1"/>
                    </pic:cNvPicPr>
                  </pic:nvPicPr>
                  <pic:blipFill>
                    <a:blip r:embed="rId24"/>
                    <a:srcRect l="7655" t="5421" r="7519" b="5093"/>
                    <a:stretch>
                      <a:fillRect/>
                    </a:stretch>
                  </pic:blipFill>
                  <pic:spPr>
                    <a:xfrm>
                      <a:off x="0" y="0"/>
                      <a:ext cx="5284470" cy="8100060"/>
                    </a:xfrm>
                    <a:prstGeom prst="rect">
                      <a:avLst/>
                    </a:prstGeom>
                  </pic:spPr>
                </pic:pic>
              </a:graphicData>
            </a:graphic>
          </wp:inline>
        </w:drawing>
      </w:r>
    </w:p>
    <w:p w14:paraId="2C5C9B48">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center"/>
        <w:rPr>
          <w:rFonts w:hint="eastAsia"/>
          <w:lang w:val="en-US" w:eastAsia="zh-CN"/>
        </w:rPr>
      </w:pPr>
      <w:r>
        <w:rPr>
          <w:rFonts w:hint="eastAsia"/>
          <w:lang w:val="en-US" w:eastAsia="zh-CN"/>
        </w:rPr>
        <w:drawing>
          <wp:inline distT="0" distB="0" distL="114300" distR="114300">
            <wp:extent cx="8413115" cy="5293995"/>
            <wp:effectExtent l="0" t="0" r="6985" b="1905"/>
            <wp:docPr id="13" name="图片 13" descr="红寺堡区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红寺堡区行政区划图"/>
                    <pic:cNvPicPr>
                      <a:picLocks noChangeAspect="1"/>
                    </pic:cNvPicPr>
                  </pic:nvPicPr>
                  <pic:blipFill>
                    <a:blip r:embed="rId25"/>
                    <a:srcRect l="2786" t="4073" r="3067" b="4460"/>
                    <a:stretch>
                      <a:fillRect/>
                    </a:stretch>
                  </pic:blipFill>
                  <pic:spPr>
                    <a:xfrm>
                      <a:off x="0" y="0"/>
                      <a:ext cx="8413115" cy="5293995"/>
                    </a:xfrm>
                    <a:prstGeom prst="rect">
                      <a:avLst/>
                    </a:prstGeom>
                  </pic:spPr>
                </pic:pic>
              </a:graphicData>
            </a:graphic>
          </wp:inline>
        </w:drawing>
      </w:r>
    </w:p>
    <w:p w14:paraId="39703DC4">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center"/>
        <w:rPr>
          <w:rFonts w:hint="eastAsia"/>
          <w:lang w:val="en-US" w:eastAsia="zh-CN"/>
        </w:rPr>
        <w:sectPr>
          <w:pgSz w:w="16839" w:h="11907" w:orient="landscape"/>
          <w:pgMar w:top="1803" w:right="1440" w:bottom="1803" w:left="1440" w:header="0" w:footer="986" w:gutter="0"/>
          <w:pgBorders>
            <w:top w:val="none" w:sz="0" w:space="0"/>
            <w:left w:val="none" w:sz="0" w:space="0"/>
            <w:bottom w:val="none" w:sz="0" w:space="0"/>
            <w:right w:val="none" w:sz="0" w:space="0"/>
          </w:pgBorders>
          <w:pgNumType w:fmt="decimal"/>
          <w:cols w:space="0" w:num="1"/>
        </w:sectPr>
      </w:pPr>
      <w:r>
        <w:rPr>
          <w:rFonts w:hint="eastAsia"/>
          <w:lang w:val="en-US" w:eastAsia="zh-CN"/>
        </w:rPr>
        <w:drawing>
          <wp:inline distT="0" distB="0" distL="114300" distR="114300">
            <wp:extent cx="8807450" cy="5268595"/>
            <wp:effectExtent l="0" t="0" r="12700" b="8255"/>
            <wp:docPr id="15" name="图片 15" descr="红寺堡区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红寺堡区水系图"/>
                    <pic:cNvPicPr>
                      <a:picLocks noChangeAspect="1"/>
                    </pic:cNvPicPr>
                  </pic:nvPicPr>
                  <pic:blipFill>
                    <a:blip r:embed="rId26"/>
                    <a:stretch>
                      <a:fillRect/>
                    </a:stretch>
                  </pic:blipFill>
                  <pic:spPr>
                    <a:xfrm>
                      <a:off x="0" y="0"/>
                      <a:ext cx="8807450" cy="5268595"/>
                    </a:xfrm>
                    <a:prstGeom prst="rect">
                      <a:avLst/>
                    </a:prstGeom>
                  </pic:spPr>
                </pic:pic>
              </a:graphicData>
            </a:graphic>
          </wp:inline>
        </w:drawing>
      </w:r>
    </w:p>
    <w:p w14:paraId="506F318A">
      <w:pPr>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jc w:val="both"/>
        <w:rPr>
          <w:rFonts w:hint="eastAsia"/>
          <w:lang w:val="en-US" w:eastAsia="zh-CN"/>
        </w:rPr>
      </w:pPr>
      <w:r>
        <w:rPr>
          <w:rFonts w:hint="eastAsia"/>
          <w:lang w:val="en-US" w:eastAsia="zh-CN"/>
        </w:rPr>
        <w:drawing>
          <wp:inline distT="0" distB="0" distL="114300" distR="114300">
            <wp:extent cx="5219700" cy="7919720"/>
            <wp:effectExtent l="0" t="0" r="0" b="0"/>
            <wp:docPr id="11" name="图片 11" descr="红寺堡区水网规划专家意见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红寺堡区水网规划专家意见表_01"/>
                    <pic:cNvPicPr>
                      <a:picLocks noChangeAspect="1"/>
                    </pic:cNvPicPr>
                  </pic:nvPicPr>
                  <pic:blipFill>
                    <a:blip r:embed="rId27"/>
                    <a:srcRect l="5855" t="3135" r="6115" b="2462"/>
                    <a:stretch>
                      <a:fillRect/>
                    </a:stretch>
                  </pic:blipFill>
                  <pic:spPr>
                    <a:xfrm>
                      <a:off x="0" y="0"/>
                      <a:ext cx="5219700" cy="7919720"/>
                    </a:xfrm>
                    <a:prstGeom prst="rect">
                      <a:avLst/>
                    </a:prstGeom>
                  </pic:spPr>
                </pic:pic>
              </a:graphicData>
            </a:graphic>
          </wp:inline>
        </w:drawing>
      </w:r>
      <w:r>
        <w:rPr>
          <w:rFonts w:hint="eastAsia"/>
          <w:lang w:val="en-US" w:eastAsia="zh-CN"/>
        </w:rPr>
        <w:drawing>
          <wp:inline distT="0" distB="0" distL="114300" distR="114300">
            <wp:extent cx="5245735" cy="7919720"/>
            <wp:effectExtent l="0" t="0" r="12065" b="5080"/>
            <wp:docPr id="12" name="图片 12" descr="红寺堡区水网规划专家意见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寺堡区水网规划专家意见表_00"/>
                    <pic:cNvPicPr>
                      <a:picLocks noChangeAspect="1"/>
                    </pic:cNvPicPr>
                  </pic:nvPicPr>
                  <pic:blipFill>
                    <a:blip r:embed="rId28"/>
                    <a:srcRect l="2122" r="4200"/>
                    <a:stretch>
                      <a:fillRect/>
                    </a:stretch>
                  </pic:blipFill>
                  <pic:spPr>
                    <a:xfrm>
                      <a:off x="0" y="0"/>
                      <a:ext cx="5245735" cy="7919720"/>
                    </a:xfrm>
                    <a:prstGeom prst="rect">
                      <a:avLst/>
                    </a:prstGeom>
                  </pic:spPr>
                </pic:pic>
              </a:graphicData>
            </a:graphic>
          </wp:inline>
        </w:drawing>
      </w:r>
      <w:r>
        <w:rPr>
          <w:rFonts w:hint="eastAsia"/>
          <w:lang w:val="en-US" w:eastAsia="zh-CN"/>
        </w:rPr>
        <w:drawing>
          <wp:inline distT="0" distB="0" distL="114300" distR="114300">
            <wp:extent cx="5294630" cy="7560310"/>
            <wp:effectExtent l="0" t="0" r="0" b="0"/>
            <wp:docPr id="14" name="图片 14" descr="红寺堡区水网规划专家意见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红寺堡区水网规划专家意见表_02"/>
                    <pic:cNvPicPr>
                      <a:picLocks noChangeAspect="1"/>
                    </pic:cNvPicPr>
                  </pic:nvPicPr>
                  <pic:blipFill>
                    <a:blip r:embed="rId29"/>
                    <a:srcRect l="4657" t="1695" r="3001" b="5112"/>
                    <a:stretch>
                      <a:fillRect/>
                    </a:stretch>
                  </pic:blipFill>
                  <pic:spPr>
                    <a:xfrm>
                      <a:off x="0" y="0"/>
                      <a:ext cx="5294630" cy="7560310"/>
                    </a:xfrm>
                    <a:prstGeom prst="rect">
                      <a:avLst/>
                    </a:prstGeom>
                  </pic:spPr>
                </pic:pic>
              </a:graphicData>
            </a:graphic>
          </wp:inline>
        </w:drawing>
      </w:r>
    </w:p>
    <w:sectPr>
      <w:pgSz w:w="11907" w:h="16839"/>
      <w:pgMar w:top="1440" w:right="1803" w:bottom="1440" w:left="1803" w:header="0" w:footer="986" w:gutter="0"/>
      <w:pgBorders>
        <w:top w:val="none" w:sz="0" w:space="0"/>
        <w:left w:val="none" w:sz="0" w:space="0"/>
        <w:bottom w:val="none" w:sz="0" w:space="0"/>
        <w:right w:val="none" w:sz="0" w:space="0"/>
      </w:pgBorders>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auto"/>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仿宋_GB2312">
    <w:altName w:val="方正仿宋_GBK"/>
    <w:panose1 w:val="02000000000000000000"/>
    <w:charset w:val="86"/>
    <w:family w:val="auto"/>
    <w:pitch w:val="default"/>
    <w:sig w:usb0="00000000" w:usb1="00000000"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华文行楷">
    <w:altName w:val="汉仪行楷简"/>
    <w:panose1 w:val="02010800040101010101"/>
    <w:charset w:val="86"/>
    <w:family w:val="auto"/>
    <w:pitch w:val="default"/>
    <w:sig w:usb0="00000000" w:usb1="00000000" w:usb2="00000000" w:usb3="00000000" w:csb0="00040000" w:csb1="00000000"/>
  </w:font>
  <w:font w:name="汉仪行楷简">
    <w:panose1 w:val="02010600000101010101"/>
    <w:charset w:val="86"/>
    <w:family w:val="auto"/>
    <w:pitch w:val="default"/>
    <w:sig w:usb0="00000001" w:usb1="080E0800" w:usb2="00000002"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FangSong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Arial Unicode MS">
    <w:altName w:val="Times New Roman"/>
    <w:panose1 w:val="020B0604020202020204"/>
    <w:charset w:val="86"/>
    <w:family w:val="auto"/>
    <w:pitch w:val="default"/>
    <w:sig w:usb0="00000000" w:usb1="00000000" w:usb2="0000003F" w:usb3="00000000" w:csb0="603F01FF" w:csb1="FFFF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16608">
    <w:pPr>
      <w:spacing w:line="177" w:lineRule="auto"/>
      <w:ind w:left="4075" w:firstLine="464"/>
      <w:rPr>
        <w:rFonts w:eastAsia="Times New Roman" w:cs="Times New Roman"/>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2509A">
                          <w:pPr>
                            <w:pStyle w:val="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872509A">
                    <w:pPr>
                      <w:pStyle w:val="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B8C93">
    <w:pPr>
      <w:spacing w:line="174" w:lineRule="auto"/>
      <w:ind w:left="4335" w:firstLine="358"/>
      <w:rPr>
        <w:rFonts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07160">
                          <w:pPr>
                            <w:pStyle w:val="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F707160">
                    <w:pPr>
                      <w:pStyle w:val="9"/>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72DD2">
    <w:pPr>
      <w:spacing w:line="177" w:lineRule="auto"/>
      <w:ind w:left="4051" w:firstLine="478"/>
      <w:rPr>
        <w:rFonts w:eastAsia="Times New Roman" w:cs="Times New Roman"/>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EBB54">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76EBB54">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CEDD2">
    <w:pPr>
      <w:spacing w:line="177" w:lineRule="auto"/>
      <w:ind w:left="4057" w:firstLine="474"/>
      <w:rPr>
        <w:rFonts w:eastAsia="Times New Roman" w:cs="Times New Roman"/>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ABAD1">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AABAD1">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D6610">
    <w:pPr>
      <w:spacing w:line="177" w:lineRule="auto"/>
      <w:ind w:left="4058" w:firstLine="474"/>
      <w:rPr>
        <w:rFonts w:eastAsia="Times New Roman" w:cs="Times New Roman"/>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898CA">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D0898CA">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195D7">
    <w:pPr>
      <w:pStyle w:val="9"/>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4DD1F">
                          <w:pPr>
                            <w:pStyle w:val="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274DD1F">
                    <w:pPr>
                      <w:pStyle w:val="9"/>
                    </w:pPr>
                    <w:r>
                      <w:fldChar w:fldCharType="begin"/>
                    </w:r>
                    <w:r>
                      <w:instrText xml:space="preserve"> PAGE  \* MERGEFORMAT </w:instrText>
                    </w:r>
                    <w:r>
                      <w:fldChar w:fldCharType="separate"/>
                    </w:r>
                    <w:r>
                      <w:t>64</w:t>
                    </w:r>
                    <w:r>
                      <w:fldChar w:fldCharType="end"/>
                    </w:r>
                  </w:p>
                </w:txbxContent>
              </v:textbox>
            </v:shape>
          </w:pict>
        </mc:Fallback>
      </mc:AlternateContent>
    </w:r>
  </w:p>
  <w:p w14:paraId="3AE8F886">
    <w:pPr>
      <w:pStyle w:val="9"/>
      <w:rPr>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0FE97">
    <w:pPr>
      <w:spacing w:line="177" w:lineRule="auto"/>
      <w:ind w:left="4062" w:firstLine="472"/>
      <w:rPr>
        <w:rFonts w:eastAsia="Times New Roman" w:cs="Times New Roman"/>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37435">
                          <w:pPr>
                            <w:pStyle w:val="9"/>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6537435">
                    <w:pPr>
                      <w:pStyle w:val="9"/>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5A01">
    <w:pPr>
      <w:spacing w:line="196" w:lineRule="auto"/>
      <w:ind w:left="4259"/>
      <w:rPr>
        <w:rFonts w:hint="eastAsia"/>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B3774">
                          <w:pPr>
                            <w:pStyle w:val="9"/>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53B3774">
                    <w:pPr>
                      <w:pStyle w:val="9"/>
                    </w:pPr>
                    <w:r>
                      <w:fldChar w:fldCharType="begin"/>
                    </w:r>
                    <w:r>
                      <w:instrText xml:space="preserve"> PAGE  \* MERGEFORMAT </w:instrText>
                    </w:r>
                    <w:r>
                      <w:fldChar w:fldCharType="separate"/>
                    </w:r>
                    <w:r>
                      <w:t>89</w:t>
                    </w:r>
                    <w:r>
                      <w:fldChar w:fldCharType="end"/>
                    </w:r>
                  </w:p>
                </w:txbxContent>
              </v:textbox>
            </v:shape>
          </w:pict>
        </mc:Fallback>
      </mc:AlternateContent>
    </w:r>
    <w:r>
      <w:rPr>
        <w:rFonts w:hint="eastAsia"/>
        <w:sz w:val="17"/>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2FA80">
    <w:pPr>
      <w:spacing w:line="177" w:lineRule="auto"/>
      <w:ind w:left="4057" w:firstLine="474"/>
      <w:rPr>
        <w:rFonts w:eastAsia="Times New Roman" w:cs="Times New Roman"/>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419CC">
                          <w:pPr>
                            <w:pStyle w:val="9"/>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AC419CC">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B3392">
    <w:pPr>
      <w:spacing w:line="240" w:lineRule="auto"/>
      <w:ind w:firstLine="0" w:firstLineChars="0"/>
      <w:rPr>
        <w:rFonts w:hint="eastAsia"/>
        <w:sz w:val="2"/>
      </w:rPr>
    </w:pPr>
  </w:p>
  <w:p w14:paraId="307E07D1">
    <w:pPr>
      <w:spacing w:line="240" w:lineRule="auto"/>
      <w:ind w:firstLine="0" w:firstLineChars="0"/>
      <w:rPr>
        <w:rFonts w:hint="eastAsia"/>
        <w:sz w:val="2"/>
      </w:rPr>
    </w:pPr>
  </w:p>
  <w:p w14:paraId="54B42D14">
    <w:pPr>
      <w:keepNext/>
      <w:keepLines/>
      <w:kinsoku w:val="0"/>
      <w:autoSpaceDE w:val="0"/>
      <w:autoSpaceDN w:val="0"/>
      <w:adjustRightInd w:val="0"/>
      <w:snapToGrid w:val="0"/>
      <w:spacing w:before="120" w:after="60" w:line="480" w:lineRule="auto"/>
      <w:ind w:firstLine="0" w:firstLineChars="0"/>
      <w:jc w:val="both"/>
      <w:textAlignment w:val="baseline"/>
      <w:outlineLvl w:val="0"/>
      <w:rPr>
        <w:rFonts w:hint="eastAsia" w:ascii="华文行楷" w:hAnsi="华文行楷" w:eastAsia="华文行楷" w:cs="华文行楷"/>
        <w:b/>
        <w:snapToGrid w:val="0"/>
        <w:color w:val="000000"/>
        <w:kern w:val="44"/>
        <w:sz w:val="21"/>
        <w:szCs w:val="21"/>
        <w:lang w:val="en-US" w:eastAsia="zh-CN" w:bidi="ar-SA"/>
      </w:rPr>
    </w:pPr>
  </w:p>
  <w:p w14:paraId="4F17A15E">
    <w:pPr>
      <w:spacing w:line="240" w:lineRule="auto"/>
      <w:ind w:firstLine="0" w:firstLineChars="0"/>
      <w:rPr>
        <w:rFonts w:hint="eastAsia"/>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192D4">
    <w:pPr>
      <w:spacing w:before="7" w:line="240" w:lineRule="auto"/>
      <w:ind w:firstLine="560"/>
      <w:jc w:val="right"/>
      <w:rPr>
        <w:rFonts w:eastAsia="Times New Roman" w:cs="Times New Roman"/>
        <w:spacing w:val="-7"/>
        <w:sz w:val="21"/>
      </w:rPr>
    </w:pPr>
  </w:p>
  <w:p w14:paraId="23AADA27">
    <w:pPr>
      <w:spacing w:before="7" w:line="240" w:lineRule="auto"/>
      <w:ind w:firstLine="560"/>
      <w:jc w:val="right"/>
      <w:rPr>
        <w:rFonts w:eastAsia="Times New Roman" w:cs="Times New Roman"/>
        <w:spacing w:val="-7"/>
        <w:sz w:val="21"/>
      </w:rPr>
    </w:pPr>
  </w:p>
  <w:p w14:paraId="1DD38F6E">
    <w:pPr>
      <w:spacing w:before="7" w:line="240" w:lineRule="auto"/>
      <w:ind w:firstLine="560"/>
      <w:jc w:val="right"/>
      <w:rPr>
        <w:rFonts w:eastAsia="Times New Roman" w:cs="Times New Roman"/>
        <w:spacing w:val="-7"/>
        <w:sz w:val="21"/>
      </w:rPr>
    </w:pPr>
  </w:p>
  <w:p w14:paraId="4506CA56">
    <w:pPr>
      <w:spacing w:before="7" w:line="240" w:lineRule="auto"/>
      <w:ind w:firstLine="560"/>
      <w:jc w:val="right"/>
      <w:rPr>
        <w:rFonts w:ascii="华文行楷" w:hAnsi="华文行楷" w:eastAsia="华文行楷" w:cs="华文行楷"/>
        <w:sz w:val="21"/>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FD3D9">
    <w:pPr>
      <w:tabs>
        <w:tab w:val="left" w:pos="6817"/>
      </w:tabs>
      <w:spacing w:before="7" w:line="182" w:lineRule="auto"/>
      <w:ind w:left="93" w:firstLine="412"/>
      <w:jc w:val="right"/>
      <w:rPr>
        <w:rFonts w:eastAsia="Times New Roman" w:cs="Times New Roman"/>
        <w:spacing w:val="-4"/>
        <w:sz w:val="21"/>
        <w:u w:val="single"/>
      </w:rPr>
    </w:pPr>
  </w:p>
  <w:p w14:paraId="1BB1A875">
    <w:pPr>
      <w:tabs>
        <w:tab w:val="left" w:pos="6817"/>
      </w:tabs>
      <w:spacing w:before="7" w:line="182" w:lineRule="auto"/>
      <w:ind w:left="93" w:firstLine="412"/>
      <w:jc w:val="right"/>
      <w:rPr>
        <w:rFonts w:eastAsia="Times New Roman" w:cs="Times New Roman"/>
        <w:spacing w:val="-4"/>
        <w:sz w:val="21"/>
        <w:u w:val="single"/>
      </w:rPr>
    </w:pPr>
  </w:p>
  <w:p w14:paraId="15D04FA8">
    <w:pPr>
      <w:tabs>
        <w:tab w:val="left" w:pos="6817"/>
      </w:tabs>
      <w:spacing w:before="7" w:line="182" w:lineRule="auto"/>
      <w:ind w:left="93" w:firstLine="412"/>
      <w:jc w:val="right"/>
      <w:rPr>
        <w:rFonts w:eastAsia="Times New Roman" w:cs="Times New Roman"/>
        <w:spacing w:val="-4"/>
        <w:sz w:val="21"/>
        <w:u w:val="single"/>
      </w:rPr>
    </w:pPr>
  </w:p>
  <w:p w14:paraId="3A891353">
    <w:pPr>
      <w:tabs>
        <w:tab w:val="left" w:pos="6817"/>
      </w:tabs>
      <w:spacing w:before="7" w:line="182" w:lineRule="auto"/>
      <w:ind w:left="93" w:firstLine="412"/>
      <w:jc w:val="right"/>
      <w:rPr>
        <w:rFonts w:hint="eastAsia" w:ascii="方正仿宋_GB2312" w:hAnsi="方正仿宋_GB2312" w:eastAsia="方正仿宋_GB2312" w:cs="方正仿宋_GB2312"/>
        <w:sz w:val="21"/>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FD70">
    <w:pPr>
      <w:tabs>
        <w:tab w:val="left" w:pos="6817"/>
      </w:tabs>
      <w:spacing w:before="7" w:line="182" w:lineRule="auto"/>
      <w:ind w:left="93" w:firstLine="412"/>
      <w:jc w:val="right"/>
      <w:rPr>
        <w:rFonts w:eastAsia="Times New Roman" w:cs="Times New Roman"/>
        <w:spacing w:val="-4"/>
        <w:sz w:val="21"/>
        <w:u w:val="single"/>
      </w:rPr>
    </w:pPr>
  </w:p>
  <w:p w14:paraId="3B6DB6FE">
    <w:pPr>
      <w:tabs>
        <w:tab w:val="left" w:pos="6817"/>
      </w:tabs>
      <w:spacing w:before="7" w:line="182" w:lineRule="auto"/>
      <w:ind w:left="93" w:firstLine="412"/>
      <w:jc w:val="right"/>
      <w:rPr>
        <w:rFonts w:eastAsia="Times New Roman" w:cs="Times New Roman"/>
        <w:spacing w:val="-4"/>
        <w:sz w:val="21"/>
        <w:u w:val="single"/>
      </w:rPr>
    </w:pPr>
  </w:p>
  <w:p w14:paraId="68BC5B03">
    <w:pPr>
      <w:tabs>
        <w:tab w:val="left" w:pos="6817"/>
      </w:tabs>
      <w:spacing w:before="7" w:line="182" w:lineRule="auto"/>
      <w:ind w:left="93" w:firstLine="412"/>
      <w:jc w:val="right"/>
      <w:rPr>
        <w:rFonts w:eastAsia="Times New Roman" w:cs="Times New Roman"/>
        <w:spacing w:val="-4"/>
        <w:sz w:val="21"/>
        <w:u w:val="single"/>
      </w:rPr>
    </w:pPr>
  </w:p>
  <w:p w14:paraId="4486997C">
    <w:pPr>
      <w:tabs>
        <w:tab w:val="left" w:pos="6817"/>
      </w:tabs>
      <w:spacing w:before="7" w:line="182" w:lineRule="auto"/>
      <w:ind w:left="93" w:firstLine="412"/>
      <w:jc w:val="right"/>
      <w:rPr>
        <w:rFonts w:hint="eastAsia" w:ascii="方正仿宋_GB2312" w:hAnsi="方正仿宋_GB2312" w:eastAsia="方正仿宋_GB2312" w:cs="方正仿宋_GB2312"/>
        <w:sz w:val="21"/>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CAF38">
    <w:pPr>
      <w:tabs>
        <w:tab w:val="left" w:pos="6817"/>
      </w:tabs>
      <w:spacing w:before="7" w:line="182" w:lineRule="auto"/>
      <w:ind w:left="93" w:firstLine="412"/>
      <w:jc w:val="right"/>
      <w:rPr>
        <w:rFonts w:eastAsia="Times New Roman" w:cs="Times New Roman"/>
        <w:spacing w:val="-4"/>
        <w:sz w:val="21"/>
        <w:u w:val="single"/>
      </w:rPr>
    </w:pPr>
  </w:p>
  <w:p w14:paraId="1720A87C">
    <w:pPr>
      <w:tabs>
        <w:tab w:val="left" w:pos="6817"/>
      </w:tabs>
      <w:spacing w:before="7" w:line="182" w:lineRule="auto"/>
      <w:ind w:left="93" w:firstLine="412"/>
      <w:jc w:val="right"/>
      <w:rPr>
        <w:rFonts w:eastAsia="Times New Roman" w:cs="Times New Roman"/>
        <w:spacing w:val="-4"/>
        <w:sz w:val="21"/>
        <w:u w:val="single"/>
      </w:rPr>
    </w:pPr>
  </w:p>
  <w:p w14:paraId="55006629">
    <w:pPr>
      <w:tabs>
        <w:tab w:val="left" w:pos="6817"/>
      </w:tabs>
      <w:spacing w:before="7" w:line="182" w:lineRule="auto"/>
      <w:ind w:left="93" w:firstLine="412"/>
      <w:jc w:val="right"/>
      <w:rPr>
        <w:rFonts w:eastAsia="Times New Roman" w:cs="Times New Roman"/>
        <w:spacing w:val="-4"/>
        <w:sz w:val="21"/>
        <w:u w:val="single"/>
      </w:rPr>
    </w:pPr>
  </w:p>
  <w:p w14:paraId="1A0909FB">
    <w:pPr>
      <w:tabs>
        <w:tab w:val="left" w:pos="6817"/>
      </w:tabs>
      <w:spacing w:before="7" w:line="182" w:lineRule="auto"/>
      <w:ind w:left="93" w:firstLine="412"/>
      <w:jc w:val="right"/>
      <w:rPr>
        <w:rFonts w:hint="eastAsia" w:ascii="方正仿宋_GB2312" w:hAnsi="方正仿宋_GB2312" w:eastAsia="方正仿宋_GB2312" w:cs="方正仿宋_GB2312"/>
        <w:sz w:val="21"/>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D9200">
    <w:pPr>
      <w:pStyle w:val="10"/>
      <w:numPr>
        <w:ilvl w:val="0"/>
        <w:numId w:val="0"/>
      </w:numPr>
      <w:ind w:leftChars="200"/>
      <w:jc w:val="both"/>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736B4">
    <w:pPr>
      <w:tabs>
        <w:tab w:val="left" w:pos="6817"/>
      </w:tabs>
      <w:spacing w:before="7" w:line="182" w:lineRule="auto"/>
      <w:ind w:left="93" w:firstLine="412"/>
      <w:jc w:val="right"/>
      <w:rPr>
        <w:rFonts w:eastAsia="Times New Roman" w:cs="Times New Roman"/>
        <w:spacing w:val="-4"/>
        <w:sz w:val="21"/>
        <w:u w:val="single"/>
      </w:rPr>
    </w:pPr>
  </w:p>
  <w:p w14:paraId="6377E25F">
    <w:pPr>
      <w:tabs>
        <w:tab w:val="left" w:pos="6817"/>
      </w:tabs>
      <w:spacing w:before="7" w:line="182" w:lineRule="auto"/>
      <w:ind w:left="93" w:firstLine="412"/>
      <w:jc w:val="right"/>
      <w:rPr>
        <w:rFonts w:eastAsia="Times New Roman" w:cs="Times New Roman"/>
        <w:spacing w:val="-4"/>
        <w:sz w:val="21"/>
        <w:u w:val="single"/>
      </w:rPr>
    </w:pPr>
  </w:p>
  <w:p w14:paraId="7D81B16D">
    <w:pPr>
      <w:tabs>
        <w:tab w:val="left" w:pos="6817"/>
      </w:tabs>
      <w:spacing w:before="7" w:line="182" w:lineRule="auto"/>
      <w:ind w:left="93" w:firstLine="412"/>
      <w:jc w:val="right"/>
      <w:rPr>
        <w:rFonts w:eastAsia="Times New Roman" w:cs="Times New Roman"/>
        <w:spacing w:val="-4"/>
        <w:sz w:val="21"/>
        <w:u w:val="single"/>
      </w:rPr>
    </w:pPr>
  </w:p>
  <w:p w14:paraId="101C79C7">
    <w:pPr>
      <w:tabs>
        <w:tab w:val="left" w:pos="6817"/>
      </w:tabs>
      <w:spacing w:before="7" w:line="182" w:lineRule="auto"/>
      <w:ind w:left="93" w:firstLine="412"/>
      <w:jc w:val="right"/>
      <w:rPr>
        <w:rFonts w:hint="eastAsia" w:ascii="方正仿宋_GB2312" w:hAnsi="方正仿宋_GB2312" w:eastAsia="方正仿宋_GB2312" w:cs="方正仿宋_GB2312"/>
        <w:sz w:val="21"/>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8DDB7">
    <w:pPr>
      <w:pStyle w:val="10"/>
      <w:numPr>
        <w:ilvl w:val="0"/>
        <w:numId w:val="0"/>
      </w:numPr>
      <w:ind w:leftChars="200"/>
      <w:jc w:val="both"/>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D7E5D">
    <w:pPr>
      <w:tabs>
        <w:tab w:val="left" w:pos="6817"/>
      </w:tabs>
      <w:spacing w:before="7" w:line="182" w:lineRule="auto"/>
      <w:ind w:left="93" w:firstLine="412"/>
      <w:jc w:val="right"/>
      <w:rPr>
        <w:rFonts w:eastAsia="Times New Roman" w:cs="Times New Roman"/>
        <w:spacing w:val="-4"/>
        <w:sz w:val="21"/>
        <w:u w:val="single"/>
      </w:rPr>
    </w:pPr>
  </w:p>
  <w:p w14:paraId="78DE49CD">
    <w:pPr>
      <w:tabs>
        <w:tab w:val="left" w:pos="6817"/>
      </w:tabs>
      <w:spacing w:before="7" w:line="182" w:lineRule="auto"/>
      <w:ind w:left="93" w:firstLine="412"/>
      <w:jc w:val="right"/>
      <w:rPr>
        <w:rFonts w:eastAsia="Times New Roman" w:cs="Times New Roman"/>
        <w:spacing w:val="-4"/>
        <w:sz w:val="21"/>
        <w:u w:val="single"/>
      </w:rPr>
    </w:pPr>
  </w:p>
  <w:p w14:paraId="56AC32F9">
    <w:pPr>
      <w:tabs>
        <w:tab w:val="left" w:pos="6817"/>
      </w:tabs>
      <w:spacing w:before="7" w:line="182" w:lineRule="auto"/>
      <w:ind w:left="93" w:firstLine="412"/>
      <w:jc w:val="right"/>
      <w:rPr>
        <w:rFonts w:eastAsia="Times New Roman" w:cs="Times New Roman"/>
        <w:spacing w:val="-4"/>
        <w:sz w:val="21"/>
        <w:u w:val="single"/>
      </w:rPr>
    </w:pPr>
  </w:p>
  <w:p w14:paraId="1436E212">
    <w:pPr>
      <w:tabs>
        <w:tab w:val="left" w:pos="6817"/>
      </w:tabs>
      <w:spacing w:before="7" w:line="182" w:lineRule="auto"/>
      <w:ind w:left="93" w:firstLine="412"/>
      <w:jc w:val="right"/>
      <w:rPr>
        <w:rFonts w:hint="eastAsia" w:ascii="方正仿宋_GB2312" w:hAnsi="方正仿宋_GB2312" w:eastAsia="方正仿宋_GB2312" w:cs="方正仿宋_GB2312"/>
        <w:sz w:val="21"/>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2F6522"/>
    <w:multiLevelType w:val="singleLevel"/>
    <w:tmpl w:val="D62F6522"/>
    <w:lvl w:ilvl="0" w:tentative="0">
      <w:start w:val="1"/>
      <w:numFmt w:val="chineseCounting"/>
      <w:suff w:val="space"/>
      <w:lvlText w:val="第%1节"/>
      <w:lvlJc w:val="left"/>
      <w:rPr>
        <w:rFonts w:hint="eastAsia"/>
      </w:rPr>
    </w:lvl>
  </w:abstractNum>
  <w:abstractNum w:abstractNumId="1">
    <w:nsid w:val="EBA61B07"/>
    <w:multiLevelType w:val="singleLevel"/>
    <w:tmpl w:val="EBA61B07"/>
    <w:lvl w:ilvl="0" w:tentative="0">
      <w:start w:val="1"/>
      <w:numFmt w:val="decimal"/>
      <w:suff w:val="nothing"/>
      <w:lvlText w:val="（%1）"/>
      <w:lvlJc w:val="left"/>
    </w:lvl>
  </w:abstractNum>
  <w:abstractNum w:abstractNumId="2">
    <w:nsid w:val="6C095895"/>
    <w:multiLevelType w:val="multilevel"/>
    <w:tmpl w:val="6C095895"/>
    <w:lvl w:ilvl="0" w:tentative="0">
      <w:start w:val="1"/>
      <w:numFmt w:val="chineseCountingThousand"/>
      <w:suff w:val="space"/>
      <w:lvlText w:val="第%1章 "/>
      <w:lvlJc w:val="left"/>
      <w:pPr>
        <w:ind w:left="0" w:firstLine="0"/>
      </w:pPr>
      <w:rPr>
        <w:rFonts w:hint="eastAsia" w:ascii="Arial Unicode MS" w:eastAsia="Arial Unicode MS"/>
      </w:rPr>
    </w:lvl>
    <w:lvl w:ilvl="1" w:tentative="0">
      <w:start w:val="1"/>
      <w:numFmt w:val="chineseCountingThousand"/>
      <w:lvlText w:val="第%2节 "/>
      <w:lvlJc w:val="left"/>
      <w:pPr>
        <w:ind w:left="710" w:firstLine="0"/>
      </w:pPr>
      <w:rPr>
        <w:rFonts w:hint="eastAsia"/>
        <w:lang w:val="en-US"/>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
      <w:lvlJc w:val="left"/>
      <w:pPr>
        <w:ind w:left="1702" w:firstLine="0"/>
      </w:pPr>
      <w:rPr>
        <w:rFonts w:hint="default" w:ascii="Times New Roman" w:hAnsi="Times New Roman" w:cs="Times New Roman"/>
      </w:rPr>
    </w:lvl>
    <w:lvl w:ilvl="4" w:tentative="0">
      <w:start w:val="1"/>
      <w:numFmt w:val="decimal"/>
      <w:isLgl/>
      <w:suff w:val="space"/>
      <w:lvlText w:val="%1.%2.%3.%4.%5"/>
      <w:lvlJc w:val="left"/>
      <w:pPr>
        <w:ind w:left="0" w:firstLine="0"/>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3">
    <w:nsid w:val="7FDFFCAB"/>
    <w:multiLevelType w:val="singleLevel"/>
    <w:tmpl w:val="7FDFFCAB"/>
    <w:lvl w:ilvl="0" w:tentative="0">
      <w:start w:val="1"/>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巧娟">
    <w15:presenceInfo w15:providerId="None" w15:userId="王巧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NGU4N2ExYmU5MTc3YzU2NzNkODQ5NmRmOGM3YWFhZDEifQ=="/>
  </w:docVars>
  <w:rsids>
    <w:rsidRoot w:val="00A36C02"/>
    <w:rsid w:val="00020731"/>
    <w:rsid w:val="00315FB6"/>
    <w:rsid w:val="004C23D8"/>
    <w:rsid w:val="00522F1C"/>
    <w:rsid w:val="00587F87"/>
    <w:rsid w:val="00692F64"/>
    <w:rsid w:val="006B33F3"/>
    <w:rsid w:val="00801551"/>
    <w:rsid w:val="00851145"/>
    <w:rsid w:val="008F3D7E"/>
    <w:rsid w:val="00A125E5"/>
    <w:rsid w:val="00A36C02"/>
    <w:rsid w:val="00B5091C"/>
    <w:rsid w:val="00BE54E9"/>
    <w:rsid w:val="00C025D1"/>
    <w:rsid w:val="00CB0373"/>
    <w:rsid w:val="00DB1D40"/>
    <w:rsid w:val="00E005DE"/>
    <w:rsid w:val="00E95964"/>
    <w:rsid w:val="013B478C"/>
    <w:rsid w:val="01466841"/>
    <w:rsid w:val="01720C85"/>
    <w:rsid w:val="0191443B"/>
    <w:rsid w:val="019958A4"/>
    <w:rsid w:val="01EE29C1"/>
    <w:rsid w:val="02074349"/>
    <w:rsid w:val="020B348C"/>
    <w:rsid w:val="02111B48"/>
    <w:rsid w:val="021B5C75"/>
    <w:rsid w:val="023E0AE6"/>
    <w:rsid w:val="024C0D28"/>
    <w:rsid w:val="024C2434"/>
    <w:rsid w:val="026F243A"/>
    <w:rsid w:val="026F451C"/>
    <w:rsid w:val="027658D4"/>
    <w:rsid w:val="028102C3"/>
    <w:rsid w:val="028247F4"/>
    <w:rsid w:val="02A50D64"/>
    <w:rsid w:val="02A819D0"/>
    <w:rsid w:val="02D04BC6"/>
    <w:rsid w:val="02E712E7"/>
    <w:rsid w:val="02EF67D4"/>
    <w:rsid w:val="02FB0E77"/>
    <w:rsid w:val="031D165E"/>
    <w:rsid w:val="032F2794"/>
    <w:rsid w:val="034A5164"/>
    <w:rsid w:val="034F152E"/>
    <w:rsid w:val="039B7992"/>
    <w:rsid w:val="03C84F1C"/>
    <w:rsid w:val="03CA6FC1"/>
    <w:rsid w:val="03D174E9"/>
    <w:rsid w:val="03F3483F"/>
    <w:rsid w:val="040F4771"/>
    <w:rsid w:val="041E1629"/>
    <w:rsid w:val="042C2A5A"/>
    <w:rsid w:val="043A7135"/>
    <w:rsid w:val="043D7D33"/>
    <w:rsid w:val="043F474B"/>
    <w:rsid w:val="04556042"/>
    <w:rsid w:val="0458491C"/>
    <w:rsid w:val="04592754"/>
    <w:rsid w:val="04625106"/>
    <w:rsid w:val="04841BB3"/>
    <w:rsid w:val="04A45CB9"/>
    <w:rsid w:val="051D3B52"/>
    <w:rsid w:val="052A1E42"/>
    <w:rsid w:val="05365C08"/>
    <w:rsid w:val="05377B18"/>
    <w:rsid w:val="053945F9"/>
    <w:rsid w:val="057D7B2A"/>
    <w:rsid w:val="058C7E64"/>
    <w:rsid w:val="05E3314D"/>
    <w:rsid w:val="05F01B7D"/>
    <w:rsid w:val="05FA34DE"/>
    <w:rsid w:val="06186D35"/>
    <w:rsid w:val="061F7733"/>
    <w:rsid w:val="0631392D"/>
    <w:rsid w:val="06B817DB"/>
    <w:rsid w:val="06D641B4"/>
    <w:rsid w:val="06D849E3"/>
    <w:rsid w:val="06DC515D"/>
    <w:rsid w:val="06EE4870"/>
    <w:rsid w:val="06FC6E38"/>
    <w:rsid w:val="06FD74A5"/>
    <w:rsid w:val="073D0349"/>
    <w:rsid w:val="077823A1"/>
    <w:rsid w:val="07A461E1"/>
    <w:rsid w:val="07AB20F7"/>
    <w:rsid w:val="080B2B96"/>
    <w:rsid w:val="081A07A6"/>
    <w:rsid w:val="084544F7"/>
    <w:rsid w:val="08556104"/>
    <w:rsid w:val="08882C89"/>
    <w:rsid w:val="08960B50"/>
    <w:rsid w:val="08A44241"/>
    <w:rsid w:val="08A72892"/>
    <w:rsid w:val="08AA0892"/>
    <w:rsid w:val="08B003FA"/>
    <w:rsid w:val="08C31FCC"/>
    <w:rsid w:val="08CF1E16"/>
    <w:rsid w:val="08D12DD6"/>
    <w:rsid w:val="08EB6057"/>
    <w:rsid w:val="09043664"/>
    <w:rsid w:val="093323A4"/>
    <w:rsid w:val="0941479D"/>
    <w:rsid w:val="094B1DE4"/>
    <w:rsid w:val="095E38C5"/>
    <w:rsid w:val="09772BD9"/>
    <w:rsid w:val="099E50DA"/>
    <w:rsid w:val="0A2B532E"/>
    <w:rsid w:val="0A5502C9"/>
    <w:rsid w:val="0A6C0360"/>
    <w:rsid w:val="0A9A2432"/>
    <w:rsid w:val="0ADA51CD"/>
    <w:rsid w:val="0AE0030A"/>
    <w:rsid w:val="0AE4604C"/>
    <w:rsid w:val="0B097727"/>
    <w:rsid w:val="0B12174F"/>
    <w:rsid w:val="0B5925F0"/>
    <w:rsid w:val="0B725D60"/>
    <w:rsid w:val="0B8C2040"/>
    <w:rsid w:val="0B8E6AAF"/>
    <w:rsid w:val="0B9F56CC"/>
    <w:rsid w:val="0BA352FE"/>
    <w:rsid w:val="0BAA1044"/>
    <w:rsid w:val="0BCE1CAE"/>
    <w:rsid w:val="0BDA6C35"/>
    <w:rsid w:val="0C262604"/>
    <w:rsid w:val="0C530A31"/>
    <w:rsid w:val="0C7C28E6"/>
    <w:rsid w:val="0CD40A3E"/>
    <w:rsid w:val="0CDA6F1B"/>
    <w:rsid w:val="0D346F1B"/>
    <w:rsid w:val="0D554FDF"/>
    <w:rsid w:val="0D701E19"/>
    <w:rsid w:val="0DCA7816"/>
    <w:rsid w:val="0DD511C7"/>
    <w:rsid w:val="0DDD2A82"/>
    <w:rsid w:val="0DE87F20"/>
    <w:rsid w:val="0DF65C55"/>
    <w:rsid w:val="0E00366A"/>
    <w:rsid w:val="0E076A11"/>
    <w:rsid w:val="0E0C3C55"/>
    <w:rsid w:val="0E1B0181"/>
    <w:rsid w:val="0E4F469C"/>
    <w:rsid w:val="0E5D21F1"/>
    <w:rsid w:val="0E6354DA"/>
    <w:rsid w:val="0E69560B"/>
    <w:rsid w:val="0E9B2AA4"/>
    <w:rsid w:val="0EB0510E"/>
    <w:rsid w:val="0ECD5BFE"/>
    <w:rsid w:val="0EDA702A"/>
    <w:rsid w:val="0F107F03"/>
    <w:rsid w:val="0F1539F2"/>
    <w:rsid w:val="0F2B7FD8"/>
    <w:rsid w:val="0F396EE7"/>
    <w:rsid w:val="0F4157E3"/>
    <w:rsid w:val="0F5E1473"/>
    <w:rsid w:val="0F815EC3"/>
    <w:rsid w:val="0F857177"/>
    <w:rsid w:val="0F876A86"/>
    <w:rsid w:val="0FC64EF0"/>
    <w:rsid w:val="0FC95811"/>
    <w:rsid w:val="0FC97E76"/>
    <w:rsid w:val="0FE6553D"/>
    <w:rsid w:val="100502FE"/>
    <w:rsid w:val="100625C1"/>
    <w:rsid w:val="10280686"/>
    <w:rsid w:val="10284DB5"/>
    <w:rsid w:val="10641B89"/>
    <w:rsid w:val="10C5422A"/>
    <w:rsid w:val="10F84A40"/>
    <w:rsid w:val="10FF6039"/>
    <w:rsid w:val="112A2839"/>
    <w:rsid w:val="113978AB"/>
    <w:rsid w:val="11703823"/>
    <w:rsid w:val="11B96E35"/>
    <w:rsid w:val="11CC560A"/>
    <w:rsid w:val="11D63CE6"/>
    <w:rsid w:val="11EC3A38"/>
    <w:rsid w:val="11ED4CAA"/>
    <w:rsid w:val="11F6004D"/>
    <w:rsid w:val="12126D48"/>
    <w:rsid w:val="1216546D"/>
    <w:rsid w:val="121A2FA0"/>
    <w:rsid w:val="121C7A3E"/>
    <w:rsid w:val="12293C4E"/>
    <w:rsid w:val="123510EB"/>
    <w:rsid w:val="124C5627"/>
    <w:rsid w:val="1251013F"/>
    <w:rsid w:val="12CC4946"/>
    <w:rsid w:val="12D20E80"/>
    <w:rsid w:val="12EC0194"/>
    <w:rsid w:val="130C324B"/>
    <w:rsid w:val="13135720"/>
    <w:rsid w:val="13390EFF"/>
    <w:rsid w:val="137D0777"/>
    <w:rsid w:val="13D072B9"/>
    <w:rsid w:val="14346F69"/>
    <w:rsid w:val="144B5D58"/>
    <w:rsid w:val="147B2414"/>
    <w:rsid w:val="147C72F5"/>
    <w:rsid w:val="14820D2D"/>
    <w:rsid w:val="149A5376"/>
    <w:rsid w:val="149F4D92"/>
    <w:rsid w:val="14A000CF"/>
    <w:rsid w:val="14E76722"/>
    <w:rsid w:val="15390558"/>
    <w:rsid w:val="157E31E0"/>
    <w:rsid w:val="159607FA"/>
    <w:rsid w:val="15B22887"/>
    <w:rsid w:val="15F87D8E"/>
    <w:rsid w:val="16082BA3"/>
    <w:rsid w:val="163D2AB4"/>
    <w:rsid w:val="167166D4"/>
    <w:rsid w:val="16775A39"/>
    <w:rsid w:val="169721C5"/>
    <w:rsid w:val="1759079E"/>
    <w:rsid w:val="1780277E"/>
    <w:rsid w:val="17E41EF3"/>
    <w:rsid w:val="18042EDA"/>
    <w:rsid w:val="183507FC"/>
    <w:rsid w:val="183E0B01"/>
    <w:rsid w:val="18552018"/>
    <w:rsid w:val="185A5BA0"/>
    <w:rsid w:val="185D7475"/>
    <w:rsid w:val="18792215"/>
    <w:rsid w:val="18801F9C"/>
    <w:rsid w:val="18CA65D7"/>
    <w:rsid w:val="18D32E1E"/>
    <w:rsid w:val="18EC196C"/>
    <w:rsid w:val="18EE14F0"/>
    <w:rsid w:val="18EF49B2"/>
    <w:rsid w:val="18F30B2C"/>
    <w:rsid w:val="18F94EA4"/>
    <w:rsid w:val="192909A3"/>
    <w:rsid w:val="19334BB4"/>
    <w:rsid w:val="194A1A8A"/>
    <w:rsid w:val="195425EF"/>
    <w:rsid w:val="195B3662"/>
    <w:rsid w:val="19640E83"/>
    <w:rsid w:val="196F55CC"/>
    <w:rsid w:val="198F631F"/>
    <w:rsid w:val="19A30727"/>
    <w:rsid w:val="19A54822"/>
    <w:rsid w:val="19AC359C"/>
    <w:rsid w:val="19AD1CFF"/>
    <w:rsid w:val="19BE2D7F"/>
    <w:rsid w:val="1A123CCF"/>
    <w:rsid w:val="1A2515FE"/>
    <w:rsid w:val="1A324E27"/>
    <w:rsid w:val="1A6670E8"/>
    <w:rsid w:val="1A973991"/>
    <w:rsid w:val="1AAD7FE4"/>
    <w:rsid w:val="1ACB5282"/>
    <w:rsid w:val="1AE856E5"/>
    <w:rsid w:val="1AFC04CB"/>
    <w:rsid w:val="1B293607"/>
    <w:rsid w:val="1B32543F"/>
    <w:rsid w:val="1B3733DF"/>
    <w:rsid w:val="1B917B2A"/>
    <w:rsid w:val="1BBC08B6"/>
    <w:rsid w:val="1BE8531B"/>
    <w:rsid w:val="1BF576D2"/>
    <w:rsid w:val="1C025D24"/>
    <w:rsid w:val="1C0A2FC4"/>
    <w:rsid w:val="1C114E27"/>
    <w:rsid w:val="1C4D741F"/>
    <w:rsid w:val="1C8431EB"/>
    <w:rsid w:val="1C906470"/>
    <w:rsid w:val="1CAC2742"/>
    <w:rsid w:val="1CD21A07"/>
    <w:rsid w:val="1CED3FDA"/>
    <w:rsid w:val="1D0D65B1"/>
    <w:rsid w:val="1D3D6432"/>
    <w:rsid w:val="1D7E63B6"/>
    <w:rsid w:val="1DC87A09"/>
    <w:rsid w:val="1E047AB8"/>
    <w:rsid w:val="1E4D53D6"/>
    <w:rsid w:val="1E531637"/>
    <w:rsid w:val="1E76328A"/>
    <w:rsid w:val="1E801F28"/>
    <w:rsid w:val="1EAD34D2"/>
    <w:rsid w:val="1ECE699F"/>
    <w:rsid w:val="1EDF4A37"/>
    <w:rsid w:val="1F30529C"/>
    <w:rsid w:val="1F33315C"/>
    <w:rsid w:val="1F471E65"/>
    <w:rsid w:val="1F740569"/>
    <w:rsid w:val="1F8F4E81"/>
    <w:rsid w:val="1F9D4819"/>
    <w:rsid w:val="1F9D71B2"/>
    <w:rsid w:val="1FC66391"/>
    <w:rsid w:val="1FCF567D"/>
    <w:rsid w:val="1FDB7FB7"/>
    <w:rsid w:val="1FE63DD9"/>
    <w:rsid w:val="1FF163E5"/>
    <w:rsid w:val="20106B9E"/>
    <w:rsid w:val="207B750D"/>
    <w:rsid w:val="20950504"/>
    <w:rsid w:val="20A62622"/>
    <w:rsid w:val="20FC7BE0"/>
    <w:rsid w:val="212F4FD8"/>
    <w:rsid w:val="2160385E"/>
    <w:rsid w:val="2174607E"/>
    <w:rsid w:val="21894E00"/>
    <w:rsid w:val="218A7B2C"/>
    <w:rsid w:val="218C7E30"/>
    <w:rsid w:val="219854AE"/>
    <w:rsid w:val="219E407F"/>
    <w:rsid w:val="21C76A2D"/>
    <w:rsid w:val="21C80E78"/>
    <w:rsid w:val="21CD4909"/>
    <w:rsid w:val="21ED3F17"/>
    <w:rsid w:val="21FA1CE0"/>
    <w:rsid w:val="22370618"/>
    <w:rsid w:val="22441767"/>
    <w:rsid w:val="2284239F"/>
    <w:rsid w:val="22B45EAC"/>
    <w:rsid w:val="22DB78DD"/>
    <w:rsid w:val="22FF35CB"/>
    <w:rsid w:val="231D6147"/>
    <w:rsid w:val="23396C99"/>
    <w:rsid w:val="233A56FA"/>
    <w:rsid w:val="233E4E94"/>
    <w:rsid w:val="2375388E"/>
    <w:rsid w:val="239739D4"/>
    <w:rsid w:val="2397497E"/>
    <w:rsid w:val="239A463C"/>
    <w:rsid w:val="23C248AC"/>
    <w:rsid w:val="23D11F07"/>
    <w:rsid w:val="23E426C3"/>
    <w:rsid w:val="240739AA"/>
    <w:rsid w:val="241D1D94"/>
    <w:rsid w:val="242F0100"/>
    <w:rsid w:val="2435301D"/>
    <w:rsid w:val="24783A57"/>
    <w:rsid w:val="248F4E23"/>
    <w:rsid w:val="24E87793"/>
    <w:rsid w:val="25065E8B"/>
    <w:rsid w:val="250C2FA6"/>
    <w:rsid w:val="25117F72"/>
    <w:rsid w:val="254E78FC"/>
    <w:rsid w:val="25605C27"/>
    <w:rsid w:val="2567094E"/>
    <w:rsid w:val="25713996"/>
    <w:rsid w:val="25916F00"/>
    <w:rsid w:val="25AA086D"/>
    <w:rsid w:val="25AA1E93"/>
    <w:rsid w:val="25B21E5E"/>
    <w:rsid w:val="25E8603E"/>
    <w:rsid w:val="25E92311"/>
    <w:rsid w:val="25F05A93"/>
    <w:rsid w:val="25F4432F"/>
    <w:rsid w:val="25F97070"/>
    <w:rsid w:val="261767AC"/>
    <w:rsid w:val="264811CF"/>
    <w:rsid w:val="26691309"/>
    <w:rsid w:val="26A21268"/>
    <w:rsid w:val="26A33EAA"/>
    <w:rsid w:val="26E250FB"/>
    <w:rsid w:val="26FF0A4E"/>
    <w:rsid w:val="27392E24"/>
    <w:rsid w:val="27545AF9"/>
    <w:rsid w:val="277025E4"/>
    <w:rsid w:val="278D1D8D"/>
    <w:rsid w:val="27931E30"/>
    <w:rsid w:val="27A04C51"/>
    <w:rsid w:val="27A42993"/>
    <w:rsid w:val="27A7E342"/>
    <w:rsid w:val="27A961FC"/>
    <w:rsid w:val="27D47232"/>
    <w:rsid w:val="27E3389B"/>
    <w:rsid w:val="2800144D"/>
    <w:rsid w:val="285B476E"/>
    <w:rsid w:val="28683E25"/>
    <w:rsid w:val="289230B7"/>
    <w:rsid w:val="28924EE2"/>
    <w:rsid w:val="28976582"/>
    <w:rsid w:val="28B87173"/>
    <w:rsid w:val="28BB5D28"/>
    <w:rsid w:val="28C6325B"/>
    <w:rsid w:val="28E44A5A"/>
    <w:rsid w:val="290C77FF"/>
    <w:rsid w:val="294847D6"/>
    <w:rsid w:val="295B46E2"/>
    <w:rsid w:val="297351B8"/>
    <w:rsid w:val="29952B9E"/>
    <w:rsid w:val="29A706EE"/>
    <w:rsid w:val="29A841FB"/>
    <w:rsid w:val="29B547FE"/>
    <w:rsid w:val="29C8521C"/>
    <w:rsid w:val="29E75B69"/>
    <w:rsid w:val="2A1536D4"/>
    <w:rsid w:val="2A3235C6"/>
    <w:rsid w:val="2A472716"/>
    <w:rsid w:val="2A5A29F3"/>
    <w:rsid w:val="2A8E5248"/>
    <w:rsid w:val="2AB43DB6"/>
    <w:rsid w:val="2AB70587"/>
    <w:rsid w:val="2AC0035F"/>
    <w:rsid w:val="2B0D4CF3"/>
    <w:rsid w:val="2B126E71"/>
    <w:rsid w:val="2B8534D0"/>
    <w:rsid w:val="2B8A5F7A"/>
    <w:rsid w:val="2BEB27D1"/>
    <w:rsid w:val="2BFB06F3"/>
    <w:rsid w:val="2C156012"/>
    <w:rsid w:val="2C183FE4"/>
    <w:rsid w:val="2C434D97"/>
    <w:rsid w:val="2C532BDA"/>
    <w:rsid w:val="2C6D5A4A"/>
    <w:rsid w:val="2C78619D"/>
    <w:rsid w:val="2C8478A6"/>
    <w:rsid w:val="2CA82E7E"/>
    <w:rsid w:val="2CCB47A8"/>
    <w:rsid w:val="2CD41A9F"/>
    <w:rsid w:val="2CD86F32"/>
    <w:rsid w:val="2CEB0E7D"/>
    <w:rsid w:val="2CF640E0"/>
    <w:rsid w:val="2D197980"/>
    <w:rsid w:val="2D24017E"/>
    <w:rsid w:val="2D251040"/>
    <w:rsid w:val="2D4B5584"/>
    <w:rsid w:val="2D6A01DB"/>
    <w:rsid w:val="2DA2111B"/>
    <w:rsid w:val="2DF87AD5"/>
    <w:rsid w:val="2E366C04"/>
    <w:rsid w:val="2E4C78E1"/>
    <w:rsid w:val="2E813A2E"/>
    <w:rsid w:val="2E884DBD"/>
    <w:rsid w:val="2EA150AF"/>
    <w:rsid w:val="2EB04F1C"/>
    <w:rsid w:val="2EB96346"/>
    <w:rsid w:val="2EBC0FFC"/>
    <w:rsid w:val="2EC456C9"/>
    <w:rsid w:val="2ECD0A22"/>
    <w:rsid w:val="2EDA6D6C"/>
    <w:rsid w:val="2EDE24AE"/>
    <w:rsid w:val="2F0B154A"/>
    <w:rsid w:val="2F3F3E77"/>
    <w:rsid w:val="2F6F3B11"/>
    <w:rsid w:val="2F6F4897"/>
    <w:rsid w:val="2FBD4B93"/>
    <w:rsid w:val="2FD61727"/>
    <w:rsid w:val="2FE15D9B"/>
    <w:rsid w:val="2FF660BF"/>
    <w:rsid w:val="2FFE2E5D"/>
    <w:rsid w:val="304D7528"/>
    <w:rsid w:val="305F0BD5"/>
    <w:rsid w:val="307B7469"/>
    <w:rsid w:val="311E37B6"/>
    <w:rsid w:val="31281E11"/>
    <w:rsid w:val="314D7BF8"/>
    <w:rsid w:val="31572824"/>
    <w:rsid w:val="315A57EF"/>
    <w:rsid w:val="31682034"/>
    <w:rsid w:val="316A4243"/>
    <w:rsid w:val="318D26EA"/>
    <w:rsid w:val="31B163D9"/>
    <w:rsid w:val="31B236B6"/>
    <w:rsid w:val="31BA5351"/>
    <w:rsid w:val="3207249C"/>
    <w:rsid w:val="320A5FAD"/>
    <w:rsid w:val="325D030E"/>
    <w:rsid w:val="327534AD"/>
    <w:rsid w:val="32913F27"/>
    <w:rsid w:val="32A2046C"/>
    <w:rsid w:val="32AD2039"/>
    <w:rsid w:val="32DA5598"/>
    <w:rsid w:val="33310971"/>
    <w:rsid w:val="334A643A"/>
    <w:rsid w:val="336C7D25"/>
    <w:rsid w:val="33F73409"/>
    <w:rsid w:val="342E2857"/>
    <w:rsid w:val="343B537F"/>
    <w:rsid w:val="34C21B98"/>
    <w:rsid w:val="34CA2E55"/>
    <w:rsid w:val="35232EDA"/>
    <w:rsid w:val="35A74BF1"/>
    <w:rsid w:val="35B563E8"/>
    <w:rsid w:val="35C574A5"/>
    <w:rsid w:val="35D75851"/>
    <w:rsid w:val="35D874E7"/>
    <w:rsid w:val="35E44AFF"/>
    <w:rsid w:val="35FB10A9"/>
    <w:rsid w:val="36156BBB"/>
    <w:rsid w:val="36274EBB"/>
    <w:rsid w:val="368F480F"/>
    <w:rsid w:val="369F4A2C"/>
    <w:rsid w:val="36A93724"/>
    <w:rsid w:val="36DA5D02"/>
    <w:rsid w:val="3725333C"/>
    <w:rsid w:val="372E7B0F"/>
    <w:rsid w:val="3748380E"/>
    <w:rsid w:val="374E4B29"/>
    <w:rsid w:val="3759265A"/>
    <w:rsid w:val="376D2DA2"/>
    <w:rsid w:val="37763FB2"/>
    <w:rsid w:val="37834838"/>
    <w:rsid w:val="37BC3912"/>
    <w:rsid w:val="37DA39E3"/>
    <w:rsid w:val="37FE7E43"/>
    <w:rsid w:val="38021904"/>
    <w:rsid w:val="38255260"/>
    <w:rsid w:val="384229DF"/>
    <w:rsid w:val="38430C96"/>
    <w:rsid w:val="3875362B"/>
    <w:rsid w:val="38874DF5"/>
    <w:rsid w:val="389D140D"/>
    <w:rsid w:val="38B467AE"/>
    <w:rsid w:val="38C904AC"/>
    <w:rsid w:val="38F459AD"/>
    <w:rsid w:val="390A1896"/>
    <w:rsid w:val="3930278C"/>
    <w:rsid w:val="395A55A8"/>
    <w:rsid w:val="39AF3CC9"/>
    <w:rsid w:val="39B94171"/>
    <w:rsid w:val="39D6269F"/>
    <w:rsid w:val="3A4702A5"/>
    <w:rsid w:val="3A4C12C9"/>
    <w:rsid w:val="3A6D2C1F"/>
    <w:rsid w:val="3A830C4D"/>
    <w:rsid w:val="3AB1520D"/>
    <w:rsid w:val="3B587E07"/>
    <w:rsid w:val="3BC92571"/>
    <w:rsid w:val="3BF82C28"/>
    <w:rsid w:val="3C223358"/>
    <w:rsid w:val="3C2400BB"/>
    <w:rsid w:val="3C4772E8"/>
    <w:rsid w:val="3C4816E7"/>
    <w:rsid w:val="3C8234BA"/>
    <w:rsid w:val="3C897280"/>
    <w:rsid w:val="3C8B50E0"/>
    <w:rsid w:val="3C9E1C4F"/>
    <w:rsid w:val="3CAE5253"/>
    <w:rsid w:val="3CB953C3"/>
    <w:rsid w:val="3CEB1163"/>
    <w:rsid w:val="3D15351D"/>
    <w:rsid w:val="3D3768F8"/>
    <w:rsid w:val="3D5167FA"/>
    <w:rsid w:val="3D695F62"/>
    <w:rsid w:val="3D88331D"/>
    <w:rsid w:val="3D973AD4"/>
    <w:rsid w:val="3DCE40B9"/>
    <w:rsid w:val="3DE84B0E"/>
    <w:rsid w:val="3DF222DA"/>
    <w:rsid w:val="3DF71617"/>
    <w:rsid w:val="3E594080"/>
    <w:rsid w:val="3E6447D3"/>
    <w:rsid w:val="3E7423E9"/>
    <w:rsid w:val="3E7D2CEB"/>
    <w:rsid w:val="3E84008B"/>
    <w:rsid w:val="3EAC198D"/>
    <w:rsid w:val="3ED3612A"/>
    <w:rsid w:val="3EEA55E0"/>
    <w:rsid w:val="3EF92BB5"/>
    <w:rsid w:val="3F0537F8"/>
    <w:rsid w:val="3F2E70A0"/>
    <w:rsid w:val="3F45518E"/>
    <w:rsid w:val="3F764C4D"/>
    <w:rsid w:val="3FBF12EC"/>
    <w:rsid w:val="3FBF6595"/>
    <w:rsid w:val="3FFE199C"/>
    <w:rsid w:val="40010891"/>
    <w:rsid w:val="40241693"/>
    <w:rsid w:val="403221B3"/>
    <w:rsid w:val="40494B17"/>
    <w:rsid w:val="40725A48"/>
    <w:rsid w:val="40A03D0A"/>
    <w:rsid w:val="40AD6415"/>
    <w:rsid w:val="40B91724"/>
    <w:rsid w:val="40C1524C"/>
    <w:rsid w:val="40CF52AE"/>
    <w:rsid w:val="412A3AB2"/>
    <w:rsid w:val="412F3B29"/>
    <w:rsid w:val="416F5968"/>
    <w:rsid w:val="417D782B"/>
    <w:rsid w:val="41B25855"/>
    <w:rsid w:val="41DE52B6"/>
    <w:rsid w:val="41E512CD"/>
    <w:rsid w:val="41FD3881"/>
    <w:rsid w:val="423224F1"/>
    <w:rsid w:val="4235270E"/>
    <w:rsid w:val="42643EB7"/>
    <w:rsid w:val="428D254A"/>
    <w:rsid w:val="429E6280"/>
    <w:rsid w:val="42AA3451"/>
    <w:rsid w:val="42AD4CAF"/>
    <w:rsid w:val="42B41088"/>
    <w:rsid w:val="42FA0543"/>
    <w:rsid w:val="434846C3"/>
    <w:rsid w:val="435412BA"/>
    <w:rsid w:val="435B6205"/>
    <w:rsid w:val="43D94396"/>
    <w:rsid w:val="43E6146C"/>
    <w:rsid w:val="43FE4B60"/>
    <w:rsid w:val="443B26D3"/>
    <w:rsid w:val="443C4CD9"/>
    <w:rsid w:val="443D2E7F"/>
    <w:rsid w:val="44627A06"/>
    <w:rsid w:val="446F50E5"/>
    <w:rsid w:val="44723FAF"/>
    <w:rsid w:val="448C30DD"/>
    <w:rsid w:val="44AF5283"/>
    <w:rsid w:val="44BE0CE4"/>
    <w:rsid w:val="45162963"/>
    <w:rsid w:val="453738F5"/>
    <w:rsid w:val="459B067C"/>
    <w:rsid w:val="45B24076"/>
    <w:rsid w:val="45CD504C"/>
    <w:rsid w:val="466F2016"/>
    <w:rsid w:val="46F60217"/>
    <w:rsid w:val="4703183E"/>
    <w:rsid w:val="47037DE1"/>
    <w:rsid w:val="470F792C"/>
    <w:rsid w:val="473E2175"/>
    <w:rsid w:val="47631ACB"/>
    <w:rsid w:val="47766090"/>
    <w:rsid w:val="477B5DBF"/>
    <w:rsid w:val="47AB730D"/>
    <w:rsid w:val="47B63B46"/>
    <w:rsid w:val="47DB74B6"/>
    <w:rsid w:val="48003B20"/>
    <w:rsid w:val="480D7C89"/>
    <w:rsid w:val="48277C9B"/>
    <w:rsid w:val="482A4397"/>
    <w:rsid w:val="483557C6"/>
    <w:rsid w:val="484509D5"/>
    <w:rsid w:val="489108BA"/>
    <w:rsid w:val="489F2FD7"/>
    <w:rsid w:val="48BC5533"/>
    <w:rsid w:val="49196E42"/>
    <w:rsid w:val="491F3F01"/>
    <w:rsid w:val="494A71CD"/>
    <w:rsid w:val="495F198F"/>
    <w:rsid w:val="495F62C2"/>
    <w:rsid w:val="499E328F"/>
    <w:rsid w:val="49B73013"/>
    <w:rsid w:val="49C0532A"/>
    <w:rsid w:val="49CE0847"/>
    <w:rsid w:val="49EA2030"/>
    <w:rsid w:val="4A2D016F"/>
    <w:rsid w:val="4A4271CF"/>
    <w:rsid w:val="4A6D1D82"/>
    <w:rsid w:val="4B5A1437"/>
    <w:rsid w:val="4B634413"/>
    <w:rsid w:val="4B893C0F"/>
    <w:rsid w:val="4BE1232F"/>
    <w:rsid w:val="4BFA3664"/>
    <w:rsid w:val="4C536560"/>
    <w:rsid w:val="4C72623C"/>
    <w:rsid w:val="4C8E26E9"/>
    <w:rsid w:val="4CAC1AB9"/>
    <w:rsid w:val="4CEF09AC"/>
    <w:rsid w:val="4CF6702F"/>
    <w:rsid w:val="4D381304"/>
    <w:rsid w:val="4D422AA3"/>
    <w:rsid w:val="4D701027"/>
    <w:rsid w:val="4D877CE7"/>
    <w:rsid w:val="4DF821CE"/>
    <w:rsid w:val="4E066C4A"/>
    <w:rsid w:val="4E4479B0"/>
    <w:rsid w:val="4E813C07"/>
    <w:rsid w:val="4E8E0135"/>
    <w:rsid w:val="4E9155DE"/>
    <w:rsid w:val="4E923703"/>
    <w:rsid w:val="4EB3158A"/>
    <w:rsid w:val="4EBB043F"/>
    <w:rsid w:val="4EBD411A"/>
    <w:rsid w:val="4EC1086C"/>
    <w:rsid w:val="4F132DB9"/>
    <w:rsid w:val="4F2D23C0"/>
    <w:rsid w:val="4F2E6E63"/>
    <w:rsid w:val="4F4E12B3"/>
    <w:rsid w:val="4F63377A"/>
    <w:rsid w:val="4F6935D1"/>
    <w:rsid w:val="4F6D6EBA"/>
    <w:rsid w:val="4F846A83"/>
    <w:rsid w:val="4FC23166"/>
    <w:rsid w:val="4FCC04E6"/>
    <w:rsid w:val="502D71CA"/>
    <w:rsid w:val="50586F25"/>
    <w:rsid w:val="506A5E72"/>
    <w:rsid w:val="50B35B5B"/>
    <w:rsid w:val="50BE1B60"/>
    <w:rsid w:val="50C8299F"/>
    <w:rsid w:val="50DF62FA"/>
    <w:rsid w:val="50EF2822"/>
    <w:rsid w:val="51005B01"/>
    <w:rsid w:val="51250998"/>
    <w:rsid w:val="512A306B"/>
    <w:rsid w:val="51361F95"/>
    <w:rsid w:val="51721E6B"/>
    <w:rsid w:val="5180327A"/>
    <w:rsid w:val="51870AAC"/>
    <w:rsid w:val="518D2746"/>
    <w:rsid w:val="519E24DF"/>
    <w:rsid w:val="52060E87"/>
    <w:rsid w:val="5206287C"/>
    <w:rsid w:val="52073CB9"/>
    <w:rsid w:val="5208536C"/>
    <w:rsid w:val="52097DBF"/>
    <w:rsid w:val="52302A24"/>
    <w:rsid w:val="526317C6"/>
    <w:rsid w:val="52731AB6"/>
    <w:rsid w:val="527662B5"/>
    <w:rsid w:val="52AB0A97"/>
    <w:rsid w:val="52B05486"/>
    <w:rsid w:val="52BD44E5"/>
    <w:rsid w:val="52F43F1F"/>
    <w:rsid w:val="53AA59B2"/>
    <w:rsid w:val="53F1A1F7"/>
    <w:rsid w:val="53F32429"/>
    <w:rsid w:val="53FD4338"/>
    <w:rsid w:val="544E1C6C"/>
    <w:rsid w:val="5466661C"/>
    <w:rsid w:val="54E3421C"/>
    <w:rsid w:val="55020864"/>
    <w:rsid w:val="55674E7D"/>
    <w:rsid w:val="5583225F"/>
    <w:rsid w:val="558C544E"/>
    <w:rsid w:val="55A53521"/>
    <w:rsid w:val="55AD3988"/>
    <w:rsid w:val="55B40674"/>
    <w:rsid w:val="55B67390"/>
    <w:rsid w:val="55CA21A0"/>
    <w:rsid w:val="56182E03"/>
    <w:rsid w:val="561D19DF"/>
    <w:rsid w:val="563346CC"/>
    <w:rsid w:val="56CD51B3"/>
    <w:rsid w:val="571C17C4"/>
    <w:rsid w:val="572C2AAF"/>
    <w:rsid w:val="574D553F"/>
    <w:rsid w:val="575136EE"/>
    <w:rsid w:val="57525E07"/>
    <w:rsid w:val="577A5F9C"/>
    <w:rsid w:val="57C22474"/>
    <w:rsid w:val="57C2639A"/>
    <w:rsid w:val="58190F13"/>
    <w:rsid w:val="586236D9"/>
    <w:rsid w:val="58AB7195"/>
    <w:rsid w:val="58D740C7"/>
    <w:rsid w:val="58D97522"/>
    <w:rsid w:val="59113D03"/>
    <w:rsid w:val="59386B1A"/>
    <w:rsid w:val="59404518"/>
    <w:rsid w:val="594548FF"/>
    <w:rsid w:val="59590EF0"/>
    <w:rsid w:val="5974396A"/>
    <w:rsid w:val="59A33FA9"/>
    <w:rsid w:val="59A86D05"/>
    <w:rsid w:val="59BE7D27"/>
    <w:rsid w:val="59C030BE"/>
    <w:rsid w:val="59F95110"/>
    <w:rsid w:val="5A0634E5"/>
    <w:rsid w:val="5A277B39"/>
    <w:rsid w:val="5A382944"/>
    <w:rsid w:val="5A5B2A18"/>
    <w:rsid w:val="5A772A9A"/>
    <w:rsid w:val="5AA85035"/>
    <w:rsid w:val="5AD74EFD"/>
    <w:rsid w:val="5B0647F0"/>
    <w:rsid w:val="5BAD1D3E"/>
    <w:rsid w:val="5BF64864"/>
    <w:rsid w:val="5BFD401E"/>
    <w:rsid w:val="5C0815FA"/>
    <w:rsid w:val="5C202F74"/>
    <w:rsid w:val="5C40699F"/>
    <w:rsid w:val="5C5C1B9E"/>
    <w:rsid w:val="5CBB471A"/>
    <w:rsid w:val="5CC44887"/>
    <w:rsid w:val="5CEC2483"/>
    <w:rsid w:val="5D070C1B"/>
    <w:rsid w:val="5D102FB6"/>
    <w:rsid w:val="5D8A7C61"/>
    <w:rsid w:val="5D8E0DCF"/>
    <w:rsid w:val="5D91680F"/>
    <w:rsid w:val="5DB701BC"/>
    <w:rsid w:val="5DC973B7"/>
    <w:rsid w:val="5DDB5AD4"/>
    <w:rsid w:val="5DDF716D"/>
    <w:rsid w:val="5E073D5C"/>
    <w:rsid w:val="5E252A66"/>
    <w:rsid w:val="5E2C3AA7"/>
    <w:rsid w:val="5E4075ED"/>
    <w:rsid w:val="5E5C48A6"/>
    <w:rsid w:val="5E656205"/>
    <w:rsid w:val="5E8F6B1C"/>
    <w:rsid w:val="5E9163FD"/>
    <w:rsid w:val="5EA91241"/>
    <w:rsid w:val="5EB1333F"/>
    <w:rsid w:val="5EBB1D95"/>
    <w:rsid w:val="5ED4549B"/>
    <w:rsid w:val="5EF26FBB"/>
    <w:rsid w:val="5F026E06"/>
    <w:rsid w:val="5F221E14"/>
    <w:rsid w:val="5F336F29"/>
    <w:rsid w:val="5F5F54F2"/>
    <w:rsid w:val="5F6D5BB2"/>
    <w:rsid w:val="5FBD7C61"/>
    <w:rsid w:val="5FD356F5"/>
    <w:rsid w:val="5FE16D53"/>
    <w:rsid w:val="5FEB2206"/>
    <w:rsid w:val="60253C70"/>
    <w:rsid w:val="605A4E05"/>
    <w:rsid w:val="60A42440"/>
    <w:rsid w:val="60D77629"/>
    <w:rsid w:val="60DA09A8"/>
    <w:rsid w:val="60F81736"/>
    <w:rsid w:val="61174601"/>
    <w:rsid w:val="611F236E"/>
    <w:rsid w:val="615B78AE"/>
    <w:rsid w:val="618359FE"/>
    <w:rsid w:val="618C1736"/>
    <w:rsid w:val="61B512D2"/>
    <w:rsid w:val="61C73C02"/>
    <w:rsid w:val="61FB2088"/>
    <w:rsid w:val="61FC0601"/>
    <w:rsid w:val="621F60F6"/>
    <w:rsid w:val="62246A3D"/>
    <w:rsid w:val="624927F0"/>
    <w:rsid w:val="628B269C"/>
    <w:rsid w:val="62DC7711"/>
    <w:rsid w:val="62EB1054"/>
    <w:rsid w:val="62F14109"/>
    <w:rsid w:val="62FE1C44"/>
    <w:rsid w:val="633503B9"/>
    <w:rsid w:val="6341074A"/>
    <w:rsid w:val="63492E93"/>
    <w:rsid w:val="634F39D2"/>
    <w:rsid w:val="63556314"/>
    <w:rsid w:val="63A21674"/>
    <w:rsid w:val="63C31893"/>
    <w:rsid w:val="63F024E1"/>
    <w:rsid w:val="63F164D0"/>
    <w:rsid w:val="644670B8"/>
    <w:rsid w:val="646F5E46"/>
    <w:rsid w:val="64A7466C"/>
    <w:rsid w:val="64AF7CA6"/>
    <w:rsid w:val="64EE70EA"/>
    <w:rsid w:val="650753E9"/>
    <w:rsid w:val="65621259"/>
    <w:rsid w:val="65765597"/>
    <w:rsid w:val="658B1677"/>
    <w:rsid w:val="659772AC"/>
    <w:rsid w:val="659821B0"/>
    <w:rsid w:val="65F938CF"/>
    <w:rsid w:val="66003226"/>
    <w:rsid w:val="660725FF"/>
    <w:rsid w:val="661F0E5C"/>
    <w:rsid w:val="6657265B"/>
    <w:rsid w:val="6663001D"/>
    <w:rsid w:val="66846F11"/>
    <w:rsid w:val="6692787F"/>
    <w:rsid w:val="669C425A"/>
    <w:rsid w:val="66B16398"/>
    <w:rsid w:val="66F7587B"/>
    <w:rsid w:val="67112E9A"/>
    <w:rsid w:val="67395E78"/>
    <w:rsid w:val="675547CB"/>
    <w:rsid w:val="676236F6"/>
    <w:rsid w:val="67914BD5"/>
    <w:rsid w:val="67961CC6"/>
    <w:rsid w:val="679E5F20"/>
    <w:rsid w:val="67AA1E93"/>
    <w:rsid w:val="67CE08D9"/>
    <w:rsid w:val="68003D04"/>
    <w:rsid w:val="68100534"/>
    <w:rsid w:val="68196C03"/>
    <w:rsid w:val="6836072C"/>
    <w:rsid w:val="683B74A5"/>
    <w:rsid w:val="68405363"/>
    <w:rsid w:val="686B2F4B"/>
    <w:rsid w:val="68726BD3"/>
    <w:rsid w:val="68A004D4"/>
    <w:rsid w:val="68B168FF"/>
    <w:rsid w:val="68DD3EA5"/>
    <w:rsid w:val="69076303"/>
    <w:rsid w:val="69176363"/>
    <w:rsid w:val="69494488"/>
    <w:rsid w:val="698F2B94"/>
    <w:rsid w:val="69A754E9"/>
    <w:rsid w:val="69B060AD"/>
    <w:rsid w:val="69D45BDC"/>
    <w:rsid w:val="69D86E96"/>
    <w:rsid w:val="6A117C87"/>
    <w:rsid w:val="6A137F77"/>
    <w:rsid w:val="6A171CD2"/>
    <w:rsid w:val="6A2318D2"/>
    <w:rsid w:val="6A465C3A"/>
    <w:rsid w:val="6A5A4E31"/>
    <w:rsid w:val="6A6634FD"/>
    <w:rsid w:val="6A6969AE"/>
    <w:rsid w:val="6A7A6FA8"/>
    <w:rsid w:val="6ABC0E26"/>
    <w:rsid w:val="6ADF7BD4"/>
    <w:rsid w:val="6B623CC4"/>
    <w:rsid w:val="6B7D277F"/>
    <w:rsid w:val="6B7E40A5"/>
    <w:rsid w:val="6BA040BB"/>
    <w:rsid w:val="6BB12556"/>
    <w:rsid w:val="6BC46C6F"/>
    <w:rsid w:val="6BC524A5"/>
    <w:rsid w:val="6BFC15A4"/>
    <w:rsid w:val="6C0D3D97"/>
    <w:rsid w:val="6C2C3AF8"/>
    <w:rsid w:val="6C4F27DD"/>
    <w:rsid w:val="6C593996"/>
    <w:rsid w:val="6C7052FA"/>
    <w:rsid w:val="6C9A123C"/>
    <w:rsid w:val="6CA45DFD"/>
    <w:rsid w:val="6CAF5764"/>
    <w:rsid w:val="6CD81209"/>
    <w:rsid w:val="6D0B605A"/>
    <w:rsid w:val="6D164B1C"/>
    <w:rsid w:val="6D7D4DE5"/>
    <w:rsid w:val="6DA57E98"/>
    <w:rsid w:val="6DE309C1"/>
    <w:rsid w:val="6E2F0AA0"/>
    <w:rsid w:val="6E3B07FD"/>
    <w:rsid w:val="6E6164B5"/>
    <w:rsid w:val="6EF5262D"/>
    <w:rsid w:val="6F2F4C17"/>
    <w:rsid w:val="6F3E6A2D"/>
    <w:rsid w:val="6F405329"/>
    <w:rsid w:val="6F4436E1"/>
    <w:rsid w:val="6F617D49"/>
    <w:rsid w:val="6F990593"/>
    <w:rsid w:val="6FD40E16"/>
    <w:rsid w:val="70381498"/>
    <w:rsid w:val="705C458D"/>
    <w:rsid w:val="70902D7F"/>
    <w:rsid w:val="70A637DA"/>
    <w:rsid w:val="70E73080"/>
    <w:rsid w:val="71090084"/>
    <w:rsid w:val="710A5E78"/>
    <w:rsid w:val="711B76F1"/>
    <w:rsid w:val="7147416B"/>
    <w:rsid w:val="71B344C7"/>
    <w:rsid w:val="71B62725"/>
    <w:rsid w:val="71CB1E97"/>
    <w:rsid w:val="71EE37B1"/>
    <w:rsid w:val="72092DD4"/>
    <w:rsid w:val="721671B9"/>
    <w:rsid w:val="7228497F"/>
    <w:rsid w:val="724A7260"/>
    <w:rsid w:val="726C7228"/>
    <w:rsid w:val="72A35226"/>
    <w:rsid w:val="72AB0930"/>
    <w:rsid w:val="72D00747"/>
    <w:rsid w:val="73446D02"/>
    <w:rsid w:val="734D57B5"/>
    <w:rsid w:val="7353177A"/>
    <w:rsid w:val="73651F1C"/>
    <w:rsid w:val="736E6B3D"/>
    <w:rsid w:val="736F66B5"/>
    <w:rsid w:val="73C51E11"/>
    <w:rsid w:val="73C848E1"/>
    <w:rsid w:val="73CCB8FF"/>
    <w:rsid w:val="73EE3117"/>
    <w:rsid w:val="73FA37EA"/>
    <w:rsid w:val="74302E6F"/>
    <w:rsid w:val="74D153F4"/>
    <w:rsid w:val="750A0501"/>
    <w:rsid w:val="7521074C"/>
    <w:rsid w:val="75524DAA"/>
    <w:rsid w:val="7566709E"/>
    <w:rsid w:val="756760E3"/>
    <w:rsid w:val="757071E8"/>
    <w:rsid w:val="75830BC8"/>
    <w:rsid w:val="75E34384"/>
    <w:rsid w:val="760A31E2"/>
    <w:rsid w:val="760C0F69"/>
    <w:rsid w:val="764D4466"/>
    <w:rsid w:val="7650620D"/>
    <w:rsid w:val="76893B88"/>
    <w:rsid w:val="76B318E5"/>
    <w:rsid w:val="76D65566"/>
    <w:rsid w:val="76E049E3"/>
    <w:rsid w:val="76E83094"/>
    <w:rsid w:val="76EA34A0"/>
    <w:rsid w:val="76F24798"/>
    <w:rsid w:val="771A124B"/>
    <w:rsid w:val="7758279B"/>
    <w:rsid w:val="77725C03"/>
    <w:rsid w:val="77A07D45"/>
    <w:rsid w:val="77AE203F"/>
    <w:rsid w:val="77F560EC"/>
    <w:rsid w:val="78153A5F"/>
    <w:rsid w:val="78212811"/>
    <w:rsid w:val="783D525A"/>
    <w:rsid w:val="784B5148"/>
    <w:rsid w:val="78CF131B"/>
    <w:rsid w:val="78D7484A"/>
    <w:rsid w:val="78DE5E8E"/>
    <w:rsid w:val="793178B3"/>
    <w:rsid w:val="79852A60"/>
    <w:rsid w:val="79B16F2D"/>
    <w:rsid w:val="79DA3D19"/>
    <w:rsid w:val="79DE6C0E"/>
    <w:rsid w:val="79E04DE8"/>
    <w:rsid w:val="79F857F4"/>
    <w:rsid w:val="7A034BBA"/>
    <w:rsid w:val="7A14322F"/>
    <w:rsid w:val="7A896248"/>
    <w:rsid w:val="7ACE2C0A"/>
    <w:rsid w:val="7B0C0CAC"/>
    <w:rsid w:val="7BD302C6"/>
    <w:rsid w:val="7BF12950"/>
    <w:rsid w:val="7C311375"/>
    <w:rsid w:val="7C526FC9"/>
    <w:rsid w:val="7CAB1522"/>
    <w:rsid w:val="7CAD5672"/>
    <w:rsid w:val="7CB478F7"/>
    <w:rsid w:val="7CD66992"/>
    <w:rsid w:val="7CEA6FFD"/>
    <w:rsid w:val="7CFD3C68"/>
    <w:rsid w:val="7DB24F18"/>
    <w:rsid w:val="7DB979D8"/>
    <w:rsid w:val="7DCA6284"/>
    <w:rsid w:val="7DD949C8"/>
    <w:rsid w:val="7DDF3C99"/>
    <w:rsid w:val="7E6E3239"/>
    <w:rsid w:val="7E7756F5"/>
    <w:rsid w:val="7E9344FA"/>
    <w:rsid w:val="7ED24865"/>
    <w:rsid w:val="7F2F7835"/>
    <w:rsid w:val="7F662AB7"/>
    <w:rsid w:val="7F812796"/>
    <w:rsid w:val="7F875650"/>
    <w:rsid w:val="7FB57F9C"/>
    <w:rsid w:val="7FCA378E"/>
    <w:rsid w:val="7FDF92DF"/>
    <w:rsid w:val="B26FF29B"/>
    <w:rsid w:val="B9BF0DB6"/>
    <w:rsid w:val="BD9FB7D5"/>
    <w:rsid w:val="FBEFD6B2"/>
    <w:rsid w:val="FDE90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360" w:lineRule="auto"/>
      <w:ind w:firstLine="420" w:firstLineChars="200"/>
      <w:textAlignment w:val="baseline"/>
    </w:pPr>
    <w:rPr>
      <w:rFonts w:ascii="Times New Roman" w:hAnsi="Times New Roman" w:eastAsia="仿宋_GB2312" w:cs="Arial"/>
      <w:snapToGrid w:val="0"/>
      <w:color w:val="000000"/>
      <w:sz w:val="30"/>
      <w:szCs w:val="21"/>
      <w:lang w:val="en-US" w:eastAsia="en-US" w:bidi="ar-SA"/>
    </w:rPr>
  </w:style>
  <w:style w:type="paragraph" w:styleId="2">
    <w:name w:val="heading 1"/>
    <w:basedOn w:val="1"/>
    <w:next w:val="1"/>
    <w:qFormat/>
    <w:uiPriority w:val="0"/>
    <w:pPr>
      <w:keepNext/>
      <w:keepLines/>
      <w:spacing w:before="120" w:after="60" w:line="420" w:lineRule="auto"/>
      <w:ind w:firstLine="0" w:firstLineChars="0"/>
      <w:jc w:val="center"/>
      <w:outlineLvl w:val="0"/>
    </w:pPr>
    <w:rPr>
      <w:rFonts w:eastAsia="黑体"/>
      <w:b/>
      <w:kern w:val="44"/>
      <w:sz w:val="36"/>
    </w:rPr>
  </w:style>
  <w:style w:type="paragraph" w:styleId="3">
    <w:name w:val="heading 2"/>
    <w:basedOn w:val="1"/>
    <w:next w:val="1"/>
    <w:link w:val="35"/>
    <w:unhideWhenUsed/>
    <w:qFormat/>
    <w:uiPriority w:val="0"/>
    <w:pPr>
      <w:keepNext/>
      <w:keepLines/>
      <w:spacing w:before="120" w:after="120" w:line="413" w:lineRule="auto"/>
      <w:ind w:firstLine="0" w:firstLineChars="0"/>
      <w:jc w:val="center"/>
      <w:outlineLvl w:val="1"/>
    </w:pPr>
    <w:rPr>
      <w:rFonts w:eastAsia="黑体"/>
      <w:b/>
      <w:sz w:val="32"/>
    </w:rPr>
  </w:style>
  <w:style w:type="paragraph" w:styleId="4">
    <w:name w:val="heading 3"/>
    <w:basedOn w:val="1"/>
    <w:next w:val="1"/>
    <w:link w:val="24"/>
    <w:unhideWhenUsed/>
    <w:qFormat/>
    <w:uiPriority w:val="0"/>
    <w:pPr>
      <w:keepNext/>
      <w:keepLines/>
      <w:spacing w:line="413" w:lineRule="auto"/>
      <w:outlineLvl w:val="2"/>
    </w:pPr>
    <w:rPr>
      <w:b/>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rFonts w:eastAsia="黑体"/>
      <w:b/>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0"/>
    <w:rPr>
      <w:rFonts w:ascii="Arial" w:hAnsi="Arial" w:eastAsia="Arial"/>
      <w:sz w:val="21"/>
    </w:rPr>
  </w:style>
  <w:style w:type="paragraph" w:styleId="8">
    <w:name w:val="Body Text Indent"/>
    <w:basedOn w:val="1"/>
    <w:semiHidden/>
    <w:unhideWhenUsed/>
    <w:qFormat/>
    <w:uiPriority w:val="99"/>
    <w:pPr>
      <w:spacing w:after="120"/>
      <w:ind w:left="420" w:leftChars="200"/>
    </w:pPr>
  </w:style>
  <w:style w:type="paragraph" w:styleId="9">
    <w:name w:val="footer"/>
    <w:basedOn w:val="1"/>
    <w:qFormat/>
    <w:uiPriority w:val="0"/>
    <w:pPr>
      <w:tabs>
        <w:tab w:val="center" w:pos="4153"/>
        <w:tab w:val="right" w:pos="8306"/>
      </w:tabs>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jc w:val="both"/>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rPr>
  </w:style>
  <w:style w:type="paragraph" w:styleId="14">
    <w:name w:val="Normal (Web)"/>
    <w:basedOn w:val="1"/>
    <w:qFormat/>
    <w:uiPriority w:val="0"/>
    <w:pPr>
      <w:spacing w:before="100" w:beforeAutospacing="1" w:after="100" w:afterAutospacing="1"/>
    </w:pPr>
    <w:rPr>
      <w:rFonts w:cs="Times New Roman"/>
      <w:sz w:val="24"/>
      <w:lang w:eastAsia="zh-CN"/>
    </w:rPr>
  </w:style>
  <w:style w:type="paragraph" w:styleId="15">
    <w:name w:val="Title"/>
    <w:basedOn w:val="1"/>
    <w:next w:val="1"/>
    <w:qFormat/>
    <w:uiPriority w:val="0"/>
    <w:pPr>
      <w:spacing w:before="240" w:after="60"/>
      <w:jc w:val="center"/>
      <w:outlineLvl w:val="0"/>
    </w:pPr>
    <w:rPr>
      <w:rFonts w:ascii="Cambria" w:hAnsi="Cambria"/>
      <w:b/>
      <w:bCs/>
      <w:sz w:val="32"/>
      <w:szCs w:val="32"/>
    </w:rPr>
  </w:style>
  <w:style w:type="paragraph" w:styleId="16">
    <w:name w:val="Body Text First Indent 2"/>
    <w:basedOn w:val="8"/>
    <w:semiHidden/>
    <w:unhideWhenUsed/>
    <w:qFormat/>
    <w:uiPriority w:val="99"/>
  </w:style>
  <w:style w:type="table" w:styleId="18">
    <w:name w:val="Table Grid"/>
    <w:basedOn w:val="17"/>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link w:val="23"/>
    <w:semiHidden/>
    <w:qFormat/>
    <w:uiPriority w:val="0"/>
    <w:pPr>
      <w:spacing w:line="240" w:lineRule="auto"/>
      <w:ind w:firstLine="0" w:firstLineChars="0"/>
      <w:jc w:val="center"/>
    </w:pPr>
    <w:rPr>
      <w:rFonts w:eastAsia="方正仿宋_GB2312" w:cs="Times New Roman"/>
      <w:sz w:val="24"/>
      <w:szCs w:val="24"/>
    </w:rPr>
  </w:style>
  <w:style w:type="character" w:customStyle="1" w:styleId="23">
    <w:name w:val="Table Text Char"/>
    <w:link w:val="22"/>
    <w:qFormat/>
    <w:uiPriority w:val="0"/>
    <w:rPr>
      <w:rFonts w:eastAsia="方正仿宋_GB2312" w:cs="Times New Roman"/>
      <w:sz w:val="24"/>
      <w:szCs w:val="24"/>
    </w:rPr>
  </w:style>
  <w:style w:type="character" w:customStyle="1" w:styleId="24">
    <w:name w:val="标题 3 字符"/>
    <w:link w:val="4"/>
    <w:qFormat/>
    <w:uiPriority w:val="0"/>
    <w:rPr>
      <w:rFonts w:ascii="Times New Roman" w:hAnsi="Times New Roman"/>
      <w:b/>
    </w:rPr>
  </w:style>
  <w:style w:type="character" w:customStyle="1" w:styleId="25">
    <w:name w:val="font8e"/>
    <w:qFormat/>
    <w:uiPriority w:val="99"/>
  </w:style>
  <w:style w:type="character" w:customStyle="1" w:styleId="26">
    <w:name w:val="Char Char9"/>
    <w:qFormat/>
    <w:uiPriority w:val="99"/>
    <w:rPr>
      <w:rFonts w:eastAsia="宋体"/>
      <w:b/>
      <w:bCs/>
      <w:kern w:val="2"/>
      <w:sz w:val="32"/>
      <w:szCs w:val="32"/>
      <w:lang w:val="en-US" w:eastAsia="zh-CN" w:bidi="ar-SA"/>
    </w:rPr>
  </w:style>
  <w:style w:type="character" w:customStyle="1" w:styleId="27">
    <w:name w:val="lv3"/>
    <w:qFormat/>
    <w:uiPriority w:val="99"/>
    <w:rPr>
      <w:rFonts w:hint="default"/>
      <w:color w:val="2E7713"/>
      <w:sz w:val="20"/>
      <w:szCs w:val="20"/>
      <w:u w:val="none"/>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1">
    <w:name w:val="正文--规划"/>
    <w:basedOn w:val="1"/>
    <w:qFormat/>
    <w:uiPriority w:val="0"/>
    <w:pPr>
      <w:widowControl w:val="0"/>
      <w:spacing w:line="360" w:lineRule="auto"/>
      <w:ind w:firstLine="200" w:firstLineChars="200"/>
    </w:pPr>
    <w:rPr>
      <w:szCs w:val="28"/>
    </w:rPr>
  </w:style>
  <w:style w:type="character" w:customStyle="1" w:styleId="32">
    <w:name w:val="page number"/>
    <w:basedOn w:val="19"/>
    <w:qFormat/>
    <w:uiPriority w:val="0"/>
  </w:style>
  <w:style w:type="paragraph" w:customStyle="1" w:styleId="33">
    <w:name w:val="表名"/>
    <w:basedOn w:val="1"/>
    <w:next w:val="34"/>
    <w:qFormat/>
    <w:uiPriority w:val="0"/>
    <w:pPr>
      <w:adjustRightInd w:val="0"/>
      <w:snapToGrid w:val="0"/>
      <w:jc w:val="left"/>
    </w:pPr>
    <w:rPr>
      <w:rFonts w:eastAsia="黑体"/>
      <w:kern w:val="0"/>
    </w:rPr>
  </w:style>
  <w:style w:type="paragraph" w:customStyle="1" w:styleId="34">
    <w:name w:val="表格正文"/>
    <w:basedOn w:val="1"/>
    <w:qFormat/>
    <w:uiPriority w:val="0"/>
    <w:pPr>
      <w:adjustRightInd w:val="0"/>
      <w:snapToGrid w:val="0"/>
      <w:spacing w:line="240" w:lineRule="auto"/>
      <w:ind w:firstLine="0" w:firstLineChars="0"/>
      <w:jc w:val="center"/>
    </w:pPr>
    <w:rPr>
      <w:sz w:val="18"/>
      <w:shd w:val="clear" w:color="auto" w:fill="FFFFFF"/>
    </w:rPr>
  </w:style>
  <w:style w:type="character" w:customStyle="1" w:styleId="35">
    <w:name w:val="标题 2 Char"/>
    <w:link w:val="3"/>
    <w:qFormat/>
    <w:uiPriority w:val="0"/>
    <w:rPr>
      <w:rFonts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41160</Words>
  <Characters>43790</Characters>
  <Lines>546</Lines>
  <Paragraphs>153</Paragraphs>
  <TotalTime>47</TotalTime>
  <ScaleCrop>false</ScaleCrop>
  <LinksUpToDate>false</LinksUpToDate>
  <CharactersWithSpaces>45594</CharactersWithSpaces>
  <Application>WPS Office_12.8.2.1116_F1E327BC-269C-435d-A152-05C5408002CA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2024-01-27T09:02:00Z</dcterms:created>
  <dc:creator>Microsoft 帐户</dc:creator>
  <cp:lastModifiedBy>LENOVO</cp:lastModifiedBy>
  <cp:lastPrinted>2024-07-10T02:37:00Z</cp:lastPrinted>
  <dcterms:modified xsi:type="dcterms:W3CDTF">2025-10-24T11:01:37Z</dcterms:modified>
  <dc:title>宁夏回族自治区现代水网建设规划</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2024-05-16T17:16:10Z</vt:filetime>
  </property>
  <property fmtid="{D5CDD505-2E9C-101B-9397-08002B2CF9AE}" pid="4" name="KSOProductBuildVer">
    <vt:lpwstr>2052-12.8.2.1116</vt:lpwstr>
  </property>
  <property fmtid="{D5CDD505-2E9C-101B-9397-08002B2CF9AE}" pid="5" name="ICV">
    <vt:lpwstr>536E55C55BB143778C1858207FBA18C6_13</vt:lpwstr>
  </property>
  <property fmtid="{D5CDD505-2E9C-101B-9397-08002B2CF9AE}" pid="6" name="KSOTemplateDocerSaveRecord">
    <vt:lpwstr>eyJoZGlkIjoiN2RiYmY5NjdjNGMzODYzNmRhMTE0MmMwNmI5MTZhMDAiLCJ1c2VySWQiOiI0MzQ0NzE3NDIifQ==</vt:lpwstr>
  </property>
</Properties>
</file>