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</w:p>
    <w:p w:rsidR="00C639CB" w:rsidRDefault="00C639CB" w:rsidP="00C639CB">
      <w:pPr>
        <w:widowControl/>
        <w:shd w:val="clear" w:color="auto" w:fill="FFFFFF"/>
        <w:spacing w:line="390" w:lineRule="atLeas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红寺堡区领导干部离任经济事项交接</w:t>
      </w:r>
    </w:p>
    <w:p w:rsidR="00C639CB" w:rsidRDefault="00C639CB" w:rsidP="00C639CB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通知书</w:t>
      </w:r>
    </w:p>
    <w:p w:rsidR="00C639CB" w:rsidRDefault="00C639CB" w:rsidP="00C639CB">
      <w:pPr>
        <w:widowControl/>
        <w:shd w:val="clear" w:color="auto" w:fill="FFFFFF"/>
        <w:spacing w:line="390" w:lineRule="atLeast"/>
        <w:jc w:val="center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红组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[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]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第 </w:t>
      </w:r>
      <w:r>
        <w:rPr>
          <w:rFonts w:ascii="微软雅黑" w:eastAsia="仿宋_GB2312" w:hAnsi="微软雅黑" w:cs="宋体" w:hint="eastAsia"/>
          <w:color w:val="333333"/>
          <w:kern w:val="0"/>
          <w:sz w:val="24"/>
          <w:szCs w:val="24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号</w:t>
      </w:r>
    </w:p>
    <w:p w:rsidR="00C639CB" w:rsidRDefault="00C639CB" w:rsidP="00C639CB">
      <w:pPr>
        <w:widowControl/>
        <w:shd w:val="clear" w:color="auto" w:fill="FFFFFF"/>
        <w:spacing w:line="390" w:lineRule="atLeast"/>
        <w:ind w:firstLineChars="350" w:firstLine="112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.55pt;margin-top:25.1pt;width:54.75pt;height:0;z-index:251660288" o:connectortype="straight"/>
        </w:pic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同志</w:t>
      </w:r>
      <w:r>
        <w:rPr>
          <w:rFonts w:ascii="微软雅黑" w:eastAsia="仿宋_GB2312" w:hAnsi="微软雅黑" w:cs="宋体" w:hint="eastAsia"/>
          <w:color w:val="333333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</w:t>
      </w:r>
    </w:p>
    <w:p w:rsidR="00C639CB" w:rsidRDefault="00C639CB" w:rsidP="00C639CB">
      <w:pPr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根据《红寺堡区党政领导干部离任经济责任事项交接暂行办法》的规定，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请做好经济责任事项清理工作，按规定填写《红寺堡区领导干部离任经济责任事项交接表》，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提供书面经济事项交接材料，并对所提供资料的真实性、完整性进行承诺。</w:t>
      </w:r>
    </w:p>
    <w:p w:rsidR="00C639CB" w:rsidRDefault="00C639CB" w:rsidP="00C639CB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>
        <w:rPr>
          <w:rFonts w:ascii="Times New Roman" w:eastAsia="微软雅黑" w:hAnsi="Times New Roman"/>
          <w:color w:val="000000"/>
          <w:kern w:val="0"/>
          <w:sz w:val="32"/>
          <w:szCs w:val="32"/>
        </w:rPr>
        <w:t> </w:t>
      </w:r>
    </w:p>
    <w:p w:rsidR="00C639CB" w:rsidRDefault="00C639CB" w:rsidP="00C639CB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>
        <w:rPr>
          <w:rFonts w:ascii="Times New Roman" w:eastAsia="微软雅黑" w:hAnsi="Times New Roman"/>
          <w:color w:val="000000"/>
          <w:kern w:val="0"/>
          <w:sz w:val="32"/>
          <w:szCs w:val="32"/>
        </w:rPr>
        <w:t> </w:t>
      </w:r>
    </w:p>
    <w:p w:rsidR="00C639CB" w:rsidRDefault="00C639CB" w:rsidP="00C639CB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>
        <w:rPr>
          <w:rFonts w:ascii="Times New Roman" w:eastAsia="微软雅黑" w:hAnsi="Times New Roman"/>
          <w:color w:val="000000"/>
          <w:kern w:val="0"/>
          <w:sz w:val="32"/>
          <w:szCs w:val="32"/>
        </w:rPr>
        <w:t> </w:t>
      </w:r>
    </w:p>
    <w:p w:rsidR="00C639CB" w:rsidRDefault="00C639CB" w:rsidP="00C639CB">
      <w:pPr>
        <w:widowControl/>
        <w:shd w:val="clear" w:color="auto" w:fill="FFFFFF"/>
        <w:spacing w:line="555" w:lineRule="atLeast"/>
        <w:ind w:firstLineChars="1250" w:firstLine="400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中共吴忠市红寺堡区委组织部</w:t>
      </w:r>
    </w:p>
    <w:p w:rsidR="00C639CB" w:rsidRDefault="00C639CB" w:rsidP="00C639CB">
      <w:pPr>
        <w:widowControl/>
        <w:shd w:val="clear" w:color="auto" w:fill="FFFFFF"/>
        <w:spacing w:line="555" w:lineRule="atLeast"/>
        <w:ind w:firstLineChars="1700" w:firstLine="54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    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    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C639CB" w:rsidRDefault="00C639CB" w:rsidP="00C639CB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（抄送：原任职单位，接任领导干部，审计局）</w:t>
      </w: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</w:p>
    <w:p w:rsidR="00C639CB" w:rsidRPr="00B51E05" w:rsidRDefault="00C639CB" w:rsidP="00C639CB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 w:rsidRPr="00B51E05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红寺堡区领导干部离任经济事项交接表（一）</w:t>
      </w:r>
    </w:p>
    <w:p w:rsidR="00C639CB" w:rsidRDefault="00C639CB" w:rsidP="00C639CB">
      <w:pPr>
        <w:widowControl/>
        <w:shd w:val="clear" w:color="auto" w:fill="FFFFFF"/>
        <w:spacing w:line="390" w:lineRule="atLeast"/>
        <w:jc w:val="righ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金额单位：万元</w:t>
      </w:r>
    </w:p>
    <w:p w:rsidR="00C639CB" w:rsidRDefault="00C639CB" w:rsidP="00C639CB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单位：                                      时间：</w:t>
      </w:r>
    </w:p>
    <w:tbl>
      <w:tblPr>
        <w:tblpPr w:leftFromText="180" w:rightFromText="180" w:vertAnchor="text" w:tblpXSpec="center" w:tblpY="1"/>
        <w:tblOverlap w:val="never"/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70"/>
        <w:gridCol w:w="5040"/>
      </w:tblGrid>
      <w:tr w:rsidR="00C639CB" w:rsidTr="009C6D38">
        <w:trPr>
          <w:trHeight w:val="90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一、单位基本情况</w:t>
            </w:r>
          </w:p>
        </w:tc>
        <w:tc>
          <w:tcPr>
            <w:tcW w:w="504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㈠单位人员情况</w:t>
            </w:r>
          </w:p>
        </w:tc>
        <w:tc>
          <w:tcPr>
            <w:tcW w:w="504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1.在职干部职工人数</w:t>
            </w:r>
          </w:p>
        </w:tc>
        <w:tc>
          <w:tcPr>
            <w:tcW w:w="504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2.离退休人数</w:t>
            </w:r>
          </w:p>
        </w:tc>
        <w:tc>
          <w:tcPr>
            <w:tcW w:w="504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㈡主要经济指标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所在单位可列附表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1.目标任务</w:t>
            </w:r>
          </w:p>
        </w:tc>
        <w:tc>
          <w:tcPr>
            <w:tcW w:w="504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2.完成情况</w:t>
            </w:r>
          </w:p>
        </w:tc>
        <w:tc>
          <w:tcPr>
            <w:tcW w:w="504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二、资产、负债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㈠账面资产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按离任时的会计报表填列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㈡未入账资产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按离任时的未入账资产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㈢账面负债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按离任时的会计报表填列</w:t>
            </w:r>
          </w:p>
        </w:tc>
      </w:tr>
      <w:tr w:rsidR="00C639CB" w:rsidTr="009C6D38">
        <w:trPr>
          <w:trHeight w:val="844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㈣未入账负债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按离任时的未入账负债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㈤其他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1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三、重要经济事项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㈠重要经济合同签订和履行情况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㈡资产重组、出借等情况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㈢其他经济事项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1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四、未处理完毕的经济纠纷和诉讼事项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㈠未处理完毕的经济纠纷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㈡未处理完毕的经济诉讼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1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五、个人保管、使用和借用的公款公物、档案资料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㈠使用的公款公物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㈡保管的公款公物、档案资料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㈢借用的公款公物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390" w:lineRule="atLeast"/>
              <w:ind w:firstLineChars="100" w:firstLine="241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六、其他需要交接经济事项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02"/>
        </w:trPr>
        <w:tc>
          <w:tcPr>
            <w:tcW w:w="4170" w:type="dxa"/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39CB" w:rsidTr="009C6D38">
        <w:trPr>
          <w:trHeight w:val="924"/>
        </w:trPr>
        <w:tc>
          <w:tcPr>
            <w:tcW w:w="417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before="300"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移交人：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             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接交人：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         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监交单位及人员：</w:t>
      </w:r>
    </w:p>
    <w:p w:rsidR="00C639CB" w:rsidRDefault="00C639CB" w:rsidP="00C639CB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lastRenderedPageBreak/>
        <w:t>红寺堡区领导干部离任经济事项交接表（二）</w:t>
      </w:r>
    </w:p>
    <w:p w:rsidR="00C639CB" w:rsidRDefault="00C639CB" w:rsidP="00C639CB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单位名称：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                                             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金额单位：元</w:t>
      </w:r>
    </w:p>
    <w:tbl>
      <w:tblPr>
        <w:tblW w:w="951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49"/>
        <w:gridCol w:w="1271"/>
        <w:gridCol w:w="945"/>
        <w:gridCol w:w="1080"/>
        <w:gridCol w:w="945"/>
        <w:gridCol w:w="1320"/>
      </w:tblGrid>
      <w:tr w:rsidR="00C639CB" w:rsidTr="009C6D38">
        <w:trPr>
          <w:trHeight w:val="975"/>
          <w:tblHeader/>
          <w:jc w:val="center"/>
        </w:trPr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交接事项</w:t>
            </w: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移交时点经济事项汇总金额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移交人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监交人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移交</w:t>
            </w:r>
          </w:p>
          <w:p w:rsidR="00C639CB" w:rsidRDefault="00C639CB" w:rsidP="009C6D3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（一）任期末账面资产情况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595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1.货币资金：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547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①现金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②银行存款（按银行账户列明细）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2.各种债权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①应收账款（按欠款单位列明细）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②其他应收款（按欠款单位列明细）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3.对外投资（按项目名称列明细）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4.固定资产（按资产管理台账列明细）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（二）任期末账面负债情况：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3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1.借款及利息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(按银行账户列明细)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114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2.各种应付未付款项（按费用名称和收款单位、个人列明细表，包括招待费、会议费、基建维修费等）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675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3.有关税费（按税费名称列明细）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174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（三）任期末正在或将要履行的有关承包、租赁、合作、担保、投资、集资、抵押等合同、协议、可行性报告及其变更等重大经济事项（按项目和资金往来单位列明细）。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216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（四）任期末尚未了结的政府投资项目的可行性报告、招投标文件、工程概算、项目调整和变更、工程决算、工程竣工验收、工程款结算、大型设备采购等相关材料（按项目和资金往来单位列明细）。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1245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（五）任期末已发生但尚未处理，或正在处理但尚未了结的经济纠纷或诉讼事项（按项目和资金往来单位列明细）。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96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（六）学会、协会、工会等各种社会团体或其他经济组织的财务和资产状况。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1590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（七）离任领导干部个人保管和使用、借用的公共财物，包括：办公设备、交通工具、文件、票据、计算机和数据软盘等物品或资料。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749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（八）未在单位账上反映的各种债权债务。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39CB" w:rsidTr="009C6D38">
        <w:trPr>
          <w:trHeight w:val="945"/>
          <w:jc w:val="center"/>
        </w:trPr>
        <w:tc>
          <w:tcPr>
            <w:tcW w:w="3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5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（九）其他需要说明和交接的经济责任事项。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9CB" w:rsidRDefault="00C639CB" w:rsidP="009C6D38">
            <w:pPr>
              <w:widowControl/>
              <w:spacing w:line="5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5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5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5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39CB" w:rsidRDefault="00C639CB" w:rsidP="009C6D38">
            <w:pPr>
              <w:widowControl/>
              <w:spacing w:line="5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C639CB" w:rsidRDefault="00C639CB" w:rsidP="00C639CB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备注：</w:t>
      </w:r>
    </w:p>
    <w:p w:rsidR="00C639CB" w:rsidRDefault="00C639CB" w:rsidP="00C639CB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1.本表账面汇总金额与移交时单位会计、重点工程项目账册等做到账账相符、账表相符、账册相符、账实相符；</w:t>
      </w:r>
    </w:p>
    <w:p w:rsidR="00C639CB" w:rsidRDefault="00C639CB" w:rsidP="00C639CB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2.各项目附表与本表汇总数一致；</w:t>
      </w:r>
    </w:p>
    <w:p w:rsidR="00C639CB" w:rsidRDefault="00C639CB" w:rsidP="00C639CB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3.总表和附表同时签字生效。</w:t>
      </w:r>
    </w:p>
    <w:p w:rsidR="00C639CB" w:rsidRDefault="00C639CB" w:rsidP="00C639C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A4735" w:rsidRPr="00C639CB" w:rsidRDefault="00AA4735"/>
    <w:sectPr w:rsidR="00AA4735" w:rsidRPr="00C639CB" w:rsidSect="00911A7B">
      <w:footerReference w:type="even" r:id="rId6"/>
      <w:footerReference w:type="default" r:id="rId7"/>
      <w:pgSz w:w="11906" w:h="16838"/>
      <w:pgMar w:top="1440" w:right="1588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35" w:rsidRDefault="00AA4735" w:rsidP="00C639CB">
      <w:r>
        <w:separator/>
      </w:r>
    </w:p>
  </w:endnote>
  <w:endnote w:type="continuationSeparator" w:id="1">
    <w:p w:rsidR="00AA4735" w:rsidRDefault="00AA4735" w:rsidP="00C6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0568"/>
      <w:showingPlcHdr/>
    </w:sdtPr>
    <w:sdtEndPr/>
    <w:sdtContent>
      <w:p w:rsidR="00121BDF" w:rsidRDefault="00AA4735">
        <w:pPr>
          <w:pStyle w:val="a4"/>
        </w:pPr>
        <w:r>
          <w:t xml:space="preserve">     </w:t>
        </w:r>
      </w:p>
    </w:sdtContent>
  </w:sdt>
  <w:p w:rsidR="00121BDF" w:rsidRDefault="00AA47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956"/>
      <w:docPartObj>
        <w:docPartGallery w:val="Page Numbers (Bottom of Page)"/>
        <w:docPartUnique/>
      </w:docPartObj>
    </w:sdtPr>
    <w:sdtEndPr/>
    <w:sdtContent>
      <w:p w:rsidR="00911A7B" w:rsidRDefault="00AA47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9CB" w:rsidRPr="00C639CB">
          <w:rPr>
            <w:noProof/>
            <w:lang w:val="zh-CN"/>
          </w:rPr>
          <w:t>-</w:t>
        </w:r>
        <w:r w:rsidR="00C639CB">
          <w:rPr>
            <w:noProof/>
          </w:rPr>
          <w:t xml:space="preserve"> </w:t>
        </w:r>
        <w:r w:rsidR="00C639CB" w:rsidRPr="00C639CB">
          <w:rPr>
            <w:noProof/>
            <w:sz w:val="24"/>
            <w:szCs w:val="24"/>
          </w:rPr>
          <w:t>5</w:t>
        </w:r>
        <w:r w:rsidR="00C639CB">
          <w:rPr>
            <w:noProof/>
          </w:rPr>
          <w:t xml:space="preserve"> -</w:t>
        </w:r>
        <w:r>
          <w:fldChar w:fldCharType="end"/>
        </w:r>
      </w:p>
    </w:sdtContent>
  </w:sdt>
  <w:p w:rsidR="00121BDF" w:rsidRDefault="00AA47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35" w:rsidRDefault="00AA4735" w:rsidP="00C639CB">
      <w:r>
        <w:separator/>
      </w:r>
    </w:p>
  </w:footnote>
  <w:footnote w:type="continuationSeparator" w:id="1">
    <w:p w:rsidR="00AA4735" w:rsidRDefault="00AA4735" w:rsidP="00C63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9CB"/>
    <w:rsid w:val="00AA4735"/>
    <w:rsid w:val="00C6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1395</Characters>
  <Application>Microsoft Office Word</Application>
  <DocSecurity>0</DocSecurity>
  <Lines>11</Lines>
  <Paragraphs>3</Paragraphs>
  <ScaleCrop>false</ScaleCrop>
  <Company>china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红寺堡区审计局收文员</dc:creator>
  <cp:keywords/>
  <dc:description/>
  <cp:lastModifiedBy>红寺堡区审计局收文员</cp:lastModifiedBy>
  <cp:revision>2</cp:revision>
  <dcterms:created xsi:type="dcterms:W3CDTF">2019-06-23T09:34:00Z</dcterms:created>
  <dcterms:modified xsi:type="dcterms:W3CDTF">2019-06-23T09:34:00Z</dcterms:modified>
</cp:coreProperties>
</file>