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方正小标宋简体" w:cs="Times New Roman"/>
          <w:b/>
          <w:spacing w:val="-20"/>
          <w:kern w:val="0"/>
          <w:sz w:val="44"/>
          <w:szCs w:val="44"/>
        </w:rPr>
      </w:pPr>
    </w:p>
    <w:p>
      <w:pPr>
        <w:spacing w:line="360" w:lineRule="auto"/>
        <w:jc w:val="center"/>
        <w:rPr>
          <w:rFonts w:hint="default" w:ascii="Times New Roman" w:hAnsi="Times New Roman" w:eastAsia="方正小标宋简体" w:cs="Times New Roman"/>
          <w:b/>
          <w:spacing w:val="-20"/>
          <w:kern w:val="0"/>
          <w:sz w:val="44"/>
          <w:szCs w:val="44"/>
        </w:rPr>
      </w:pPr>
    </w:p>
    <w:p>
      <w:pPr>
        <w:spacing w:line="360" w:lineRule="auto"/>
        <w:jc w:val="center"/>
        <w:rPr>
          <w:rFonts w:hint="default" w:ascii="Times New Roman" w:hAnsi="Times New Roman" w:eastAsia="方正小标宋简体" w:cs="Times New Roman"/>
          <w:b/>
          <w:spacing w:val="-20"/>
          <w:kern w:val="0"/>
          <w:sz w:val="44"/>
          <w:szCs w:val="44"/>
        </w:rPr>
      </w:pPr>
    </w:p>
    <w:p>
      <w:pPr>
        <w:spacing w:line="360" w:lineRule="auto"/>
        <w:jc w:val="center"/>
        <w:rPr>
          <w:rFonts w:hint="default" w:ascii="Times New Roman" w:hAnsi="Times New Roman" w:eastAsia="方正小标宋简体" w:cs="Times New Roman"/>
          <w:b/>
          <w:spacing w:val="-20"/>
          <w:kern w:val="0"/>
          <w:sz w:val="44"/>
          <w:szCs w:val="44"/>
        </w:rPr>
      </w:pPr>
      <w:r>
        <w:rPr>
          <w:rFonts w:hint="default" w:ascii="Times New Roman" w:hAnsi="Times New Roman" w:eastAsia="方正小标宋简体" w:cs="Times New Roman"/>
          <w:b/>
          <w:spacing w:val="-20"/>
          <w:kern w:val="0"/>
          <w:sz w:val="44"/>
          <w:szCs w:val="44"/>
        </w:rPr>
        <w:t>红寺堡区历史遗留</w:t>
      </w:r>
      <w:r>
        <w:rPr>
          <w:rFonts w:hint="eastAsia" w:eastAsia="方正小标宋简体" w:cs="Times New Roman"/>
          <w:b/>
          <w:spacing w:val="-20"/>
          <w:kern w:val="0"/>
          <w:sz w:val="44"/>
          <w:szCs w:val="44"/>
          <w:lang w:eastAsia="zh-CN"/>
        </w:rPr>
        <w:t>废弃</w:t>
      </w:r>
      <w:r>
        <w:rPr>
          <w:rFonts w:hint="default" w:ascii="Times New Roman" w:hAnsi="Times New Roman" w:eastAsia="方正小标宋简体" w:cs="Times New Roman"/>
          <w:b/>
          <w:spacing w:val="-20"/>
          <w:kern w:val="0"/>
          <w:sz w:val="44"/>
          <w:szCs w:val="44"/>
        </w:rPr>
        <w:t>矿山</w:t>
      </w:r>
      <w:r>
        <w:rPr>
          <w:rFonts w:hint="eastAsia" w:eastAsia="方正小标宋简体" w:cs="Times New Roman"/>
          <w:b/>
          <w:spacing w:val="-20"/>
          <w:kern w:val="0"/>
          <w:sz w:val="44"/>
          <w:szCs w:val="44"/>
          <w:lang w:eastAsia="zh-CN"/>
        </w:rPr>
        <w:t>生态修复</w:t>
      </w:r>
      <w:r>
        <w:rPr>
          <w:rFonts w:hint="default" w:ascii="Times New Roman" w:hAnsi="Times New Roman" w:eastAsia="方正小标宋简体" w:cs="Times New Roman"/>
          <w:b/>
          <w:spacing w:val="-20"/>
          <w:kern w:val="0"/>
          <w:sz w:val="44"/>
          <w:szCs w:val="44"/>
        </w:rPr>
        <w:t>治理项目</w:t>
      </w:r>
    </w:p>
    <w:p>
      <w:pPr>
        <w:spacing w:line="360" w:lineRule="auto"/>
        <w:jc w:val="center"/>
        <w:rPr>
          <w:rFonts w:hint="default" w:ascii="Times New Roman" w:hAnsi="Times New Roman" w:eastAsia="方正小标宋简体" w:cs="Times New Roman"/>
          <w:b/>
          <w:spacing w:val="-20"/>
          <w:kern w:val="0"/>
          <w:sz w:val="72"/>
          <w:szCs w:val="72"/>
        </w:rPr>
      </w:pPr>
      <w:r>
        <w:rPr>
          <w:rFonts w:hint="default" w:ascii="Times New Roman" w:hAnsi="Times New Roman" w:eastAsia="方正小标宋简体" w:cs="Times New Roman"/>
          <w:b/>
          <w:spacing w:val="-20"/>
          <w:kern w:val="0"/>
          <w:sz w:val="72"/>
          <w:szCs w:val="72"/>
        </w:rPr>
        <w:t>建设项目环境影响报告表</w:t>
      </w:r>
    </w:p>
    <w:p>
      <w:pPr>
        <w:snapToGrid w:val="0"/>
        <w:jc w:val="center"/>
        <w:rPr>
          <w:rFonts w:ascii="宋体" w:hAnsi="宋体"/>
          <w:b/>
          <w:bCs/>
          <w:sz w:val="28"/>
          <w:szCs w:val="28"/>
        </w:rPr>
      </w:pPr>
      <w:r>
        <w:rPr>
          <w:rFonts w:hint="eastAsia" w:ascii="宋体" w:hAnsi="宋体"/>
          <w:b/>
          <w:bCs/>
          <w:sz w:val="28"/>
          <w:szCs w:val="28"/>
        </w:rPr>
        <w:t>(</w:t>
      </w:r>
      <w:r>
        <w:rPr>
          <w:rFonts w:hint="eastAsia" w:ascii="宋体" w:hAnsi="宋体"/>
          <w:b/>
          <w:bCs/>
          <w:sz w:val="28"/>
          <w:szCs w:val="28"/>
          <w:lang w:val="en-US" w:eastAsia="zh-CN"/>
        </w:rPr>
        <w:t>送审稿</w:t>
      </w:r>
      <w:r>
        <w:rPr>
          <w:rFonts w:ascii="宋体" w:hAnsi="宋体"/>
          <w:b/>
          <w:bCs/>
          <w:sz w:val="28"/>
          <w:szCs w:val="28"/>
        </w:rPr>
        <w:t>)</w:t>
      </w:r>
    </w:p>
    <w:p>
      <w:pPr>
        <w:snapToGrid w:val="0"/>
        <w:rPr>
          <w:rFonts w:ascii="宋体" w:hAnsi="宋体"/>
          <w:b/>
          <w:sz w:val="52"/>
          <w:szCs w:val="52"/>
        </w:rPr>
      </w:pPr>
    </w:p>
    <w:p>
      <w:pPr>
        <w:snapToGrid w:val="0"/>
        <w:rPr>
          <w:rFonts w:ascii="宋体" w:hAnsi="宋体"/>
          <w:b/>
          <w:sz w:val="52"/>
          <w:szCs w:val="52"/>
        </w:rPr>
      </w:pPr>
    </w:p>
    <w:p>
      <w:pPr>
        <w:snapToGrid w:val="0"/>
        <w:rPr>
          <w:rFonts w:ascii="宋体" w:hAnsi="宋体"/>
        </w:rPr>
      </w:pPr>
    </w:p>
    <w:p>
      <w:pPr>
        <w:snapToGrid w:val="0"/>
        <w:rPr>
          <w:rFonts w:ascii="宋体" w:hAnsi="宋体"/>
        </w:rPr>
      </w:pPr>
    </w:p>
    <w:p>
      <w:pPr>
        <w:snapToGrid w:val="0"/>
        <w:rPr>
          <w:rFonts w:ascii="宋体" w:hAnsi="宋体"/>
        </w:rPr>
      </w:pPr>
    </w:p>
    <w:p>
      <w:pPr>
        <w:snapToGrid w:val="0"/>
        <w:rPr>
          <w:rFonts w:ascii="宋体" w:hAnsi="宋体"/>
        </w:rPr>
      </w:pPr>
    </w:p>
    <w:p>
      <w:pPr>
        <w:snapToGrid w:val="0"/>
        <w:rPr>
          <w:rFonts w:ascii="宋体" w:hAnsi="宋体"/>
        </w:rPr>
      </w:pPr>
    </w:p>
    <w:p>
      <w:pPr>
        <w:snapToGrid w:val="0"/>
        <w:rPr>
          <w:rFonts w:ascii="宋体" w:hAnsi="宋体"/>
        </w:rPr>
      </w:pPr>
    </w:p>
    <w:p>
      <w:pPr>
        <w:snapToGrid w:val="0"/>
        <w:rPr>
          <w:rFonts w:ascii="宋体" w:hAnsi="宋体"/>
        </w:rPr>
      </w:pPr>
    </w:p>
    <w:p>
      <w:pPr>
        <w:snapToGrid w:val="0"/>
        <w:rPr>
          <w:rFonts w:hint="eastAsia" w:ascii="宋体" w:hAnsi="宋体"/>
        </w:rPr>
      </w:pPr>
    </w:p>
    <w:p>
      <w:pPr>
        <w:snapToGrid w:val="0"/>
        <w:rPr>
          <w:rFonts w:ascii="宋体" w:hAnsi="宋体"/>
        </w:rPr>
      </w:pPr>
    </w:p>
    <w:p>
      <w:pPr>
        <w:snapToGrid w:val="0"/>
        <w:rPr>
          <w:rFonts w:ascii="宋体" w:hAnsi="宋体"/>
        </w:rPr>
      </w:pPr>
    </w:p>
    <w:p>
      <w:pPr>
        <w:snapToGrid w:val="0"/>
        <w:rPr>
          <w:rFonts w:ascii="宋体" w:hAnsi="宋体"/>
        </w:rPr>
      </w:pPr>
    </w:p>
    <w:p>
      <w:pPr>
        <w:spacing w:line="360" w:lineRule="auto"/>
        <w:jc w:val="both"/>
        <w:rPr>
          <w:rFonts w:hint="default" w:ascii="Times New Roman" w:hAnsi="Times New Roman" w:eastAsia="黑体" w:cs="Times New Roman"/>
          <w:sz w:val="28"/>
          <w:szCs w:val="28"/>
          <w:highlight w:val="none"/>
        </w:rPr>
      </w:pPr>
    </w:p>
    <w:p>
      <w:pPr>
        <w:spacing w:line="360" w:lineRule="auto"/>
        <w:jc w:val="both"/>
        <w:rPr>
          <w:rFonts w:hint="default" w:ascii="Times New Roman" w:hAnsi="Times New Roman" w:eastAsia="黑体" w:cs="Times New Roman"/>
          <w:strike w:val="0"/>
          <w:dstrike w:val="0"/>
          <w:sz w:val="28"/>
          <w:szCs w:val="28"/>
          <w:highlight w:val="none"/>
          <w:u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eastAsia="黑体" w:cs="Times New Roman"/>
          <w:strike w:val="0"/>
          <w:dstrike w:val="0"/>
          <w:sz w:val="28"/>
          <w:szCs w:val="28"/>
          <w:highlight w:val="none"/>
          <w:u w:val="none"/>
          <w:lang w:val="en-US" w:eastAsia="zh-CN"/>
        </w:rPr>
      </w:pPr>
      <w:r>
        <w:rPr>
          <w:rFonts w:hint="eastAsia" w:ascii="Times New Roman" w:hAnsi="Times New Roman" w:eastAsia="黑体" w:cs="Times New Roman"/>
          <w:strike w:val="0"/>
          <w:dstrike w:val="0"/>
          <w:sz w:val="28"/>
          <w:szCs w:val="28"/>
          <w:highlight w:val="none"/>
          <w:u w:val="none"/>
          <w:lang w:val="en-US" w:eastAsia="zh-CN"/>
        </w:rPr>
        <w:t>建设单位</w:t>
      </w:r>
      <w:r>
        <w:rPr>
          <w:rFonts w:hint="default" w:ascii="Times New Roman" w:hAnsi="Times New Roman" w:eastAsia="黑体" w:cs="Times New Roman"/>
          <w:strike w:val="0"/>
          <w:dstrike w:val="0"/>
          <w:sz w:val="28"/>
          <w:szCs w:val="28"/>
          <w:highlight w:val="none"/>
          <w:u w:val="none"/>
        </w:rPr>
        <w:t>：吴忠市红寺堡区自然资源局</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eastAsia="黑体"/>
          <w:sz w:val="28"/>
          <w:szCs w:val="28"/>
        </w:rPr>
      </w:pPr>
      <w:r>
        <w:rPr>
          <w:rFonts w:hint="eastAsia" w:eastAsia="黑体" w:cs="Times New Roman"/>
          <w:strike w:val="0"/>
          <w:dstrike w:val="0"/>
          <w:sz w:val="28"/>
          <w:szCs w:val="28"/>
          <w:highlight w:val="none"/>
          <w:u w:val="none"/>
          <w:lang w:val="en-US" w:eastAsia="zh-CN"/>
        </w:rPr>
        <w:t>评价单位</w:t>
      </w:r>
      <w:r>
        <w:rPr>
          <w:rFonts w:hint="default" w:ascii="Times New Roman" w:hAnsi="Times New Roman" w:eastAsia="黑体" w:cs="Times New Roman"/>
          <w:strike w:val="0"/>
          <w:dstrike w:val="0"/>
          <w:sz w:val="28"/>
          <w:szCs w:val="28"/>
          <w:highlight w:val="none"/>
          <w:u w:val="none"/>
        </w:rPr>
        <w:t>：</w:t>
      </w:r>
      <w:r>
        <w:rPr>
          <w:rFonts w:hint="eastAsia" w:eastAsia="黑体" w:cs="Times New Roman"/>
          <w:strike w:val="0"/>
          <w:dstrike w:val="0"/>
          <w:sz w:val="28"/>
          <w:szCs w:val="28"/>
          <w:highlight w:val="none"/>
          <w:u w:val="none"/>
          <w:lang w:val="en-US" w:eastAsia="zh-CN"/>
        </w:rPr>
        <w:t>宁夏中环国安咨询有限公司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eastAsia="黑体"/>
          <w:sz w:val="28"/>
          <w:szCs w:val="28"/>
        </w:rPr>
      </w:pPr>
      <w:r>
        <w:rPr>
          <w:rFonts w:hint="eastAsia" w:eastAsia="黑体"/>
          <w:sz w:val="28"/>
          <w:szCs w:val="28"/>
          <w:lang w:val="en-US" w:eastAsia="zh-CN"/>
        </w:rPr>
        <w:t>二〇二一</w:t>
      </w:r>
      <w:r>
        <w:rPr>
          <w:rFonts w:eastAsia="黑体"/>
          <w:sz w:val="28"/>
          <w:szCs w:val="28"/>
        </w:rPr>
        <w:t>年</w:t>
      </w:r>
      <w:r>
        <w:rPr>
          <w:rFonts w:hint="eastAsia" w:eastAsia="黑体"/>
          <w:sz w:val="28"/>
          <w:szCs w:val="28"/>
          <w:lang w:val="en-US" w:eastAsia="zh-CN"/>
        </w:rPr>
        <w:t>二</w:t>
      </w:r>
      <w:r>
        <w:rPr>
          <w:rFonts w:eastAsia="黑体"/>
          <w:sz w:val="28"/>
          <w:szCs w:val="28"/>
        </w:rPr>
        <w:t>月</w:t>
      </w:r>
    </w:p>
    <w:p>
      <w:pPr>
        <w:pStyle w:val="3"/>
        <w:sectPr>
          <w:headerReference r:id="rId3" w:type="default"/>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466" w:charSpace="3430"/>
        </w:sectPr>
      </w:pPr>
    </w:p>
    <w:p>
      <w:pPr>
        <w:rPr>
          <w:sz w:val="30"/>
          <w:szCs w:val="30"/>
        </w:rPr>
      </w:pPr>
    </w:p>
    <w:p>
      <w:pPr>
        <w:spacing w:line="360" w:lineRule="auto"/>
        <w:jc w:val="center"/>
        <w:outlineLvl w:val="0"/>
        <w:rPr>
          <w:b/>
          <w:spacing w:val="20"/>
          <w:sz w:val="30"/>
          <w:szCs w:val="30"/>
        </w:rPr>
      </w:pPr>
      <w:r>
        <w:rPr>
          <w:rFonts w:hAnsi="宋体"/>
          <w:b/>
          <w:spacing w:val="20"/>
          <w:sz w:val="30"/>
          <w:szCs w:val="30"/>
        </w:rPr>
        <w:t>《建设项目环境影响报告表》编制说明</w:t>
      </w:r>
    </w:p>
    <w:p>
      <w:pPr>
        <w:spacing w:line="360" w:lineRule="auto"/>
        <w:ind w:firstLine="640" w:firstLineChars="200"/>
        <w:jc w:val="left"/>
        <w:rPr>
          <w:rFonts w:hAnsi="宋体"/>
          <w:spacing w:val="20"/>
          <w:sz w:val="28"/>
          <w:szCs w:val="28"/>
        </w:rPr>
      </w:pPr>
    </w:p>
    <w:p>
      <w:pPr>
        <w:spacing w:line="360" w:lineRule="auto"/>
        <w:ind w:firstLine="640" w:firstLineChars="200"/>
        <w:jc w:val="left"/>
        <w:rPr>
          <w:spacing w:val="20"/>
          <w:sz w:val="28"/>
          <w:szCs w:val="28"/>
        </w:rPr>
      </w:pPr>
      <w:r>
        <w:rPr>
          <w:rFonts w:hAnsi="宋体"/>
          <w:spacing w:val="20"/>
          <w:sz w:val="28"/>
          <w:szCs w:val="28"/>
        </w:rPr>
        <w:t>《建设项目环境影响报告表》由具有从事环境影响评价工作资质的单位编制。</w:t>
      </w:r>
    </w:p>
    <w:p>
      <w:pPr>
        <w:spacing w:line="360" w:lineRule="auto"/>
        <w:ind w:firstLine="640" w:firstLineChars="200"/>
        <w:jc w:val="left"/>
        <w:rPr>
          <w:spacing w:val="20"/>
          <w:sz w:val="28"/>
          <w:szCs w:val="28"/>
        </w:rPr>
      </w:pPr>
      <w:r>
        <w:rPr>
          <w:spacing w:val="20"/>
          <w:sz w:val="28"/>
          <w:szCs w:val="28"/>
        </w:rPr>
        <w:t>1</w:t>
      </w:r>
      <w:r>
        <w:rPr>
          <w:rFonts w:hint="eastAsia" w:hAnsi="宋体"/>
          <w:spacing w:val="20"/>
          <w:sz w:val="28"/>
          <w:szCs w:val="28"/>
        </w:rPr>
        <w:t>、</w:t>
      </w:r>
      <w:r>
        <w:rPr>
          <w:rFonts w:hAnsi="宋体"/>
          <w:spacing w:val="20"/>
          <w:sz w:val="28"/>
          <w:szCs w:val="28"/>
        </w:rPr>
        <w:t>项目名称</w:t>
      </w:r>
      <w:r>
        <w:rPr>
          <w:spacing w:val="20"/>
          <w:sz w:val="28"/>
          <w:szCs w:val="28"/>
        </w:rPr>
        <w:t>——</w:t>
      </w:r>
      <w:r>
        <w:rPr>
          <w:rFonts w:hAnsi="宋体"/>
          <w:spacing w:val="20"/>
          <w:sz w:val="28"/>
          <w:szCs w:val="28"/>
        </w:rPr>
        <w:t>指项目立项批复时的名称，应不超过</w:t>
      </w:r>
      <w:r>
        <w:rPr>
          <w:spacing w:val="20"/>
          <w:sz w:val="28"/>
          <w:szCs w:val="28"/>
        </w:rPr>
        <w:t>30</w:t>
      </w:r>
      <w:r>
        <w:rPr>
          <w:rFonts w:hAnsi="宋体"/>
          <w:spacing w:val="20"/>
          <w:sz w:val="28"/>
          <w:szCs w:val="28"/>
        </w:rPr>
        <w:t>个字(两个英文字段作一个汉字)。</w:t>
      </w:r>
    </w:p>
    <w:p>
      <w:pPr>
        <w:spacing w:line="360" w:lineRule="auto"/>
        <w:ind w:firstLine="640" w:firstLineChars="200"/>
        <w:jc w:val="left"/>
        <w:rPr>
          <w:spacing w:val="20"/>
          <w:sz w:val="28"/>
          <w:szCs w:val="28"/>
        </w:rPr>
      </w:pPr>
      <w:r>
        <w:rPr>
          <w:spacing w:val="20"/>
          <w:sz w:val="28"/>
          <w:szCs w:val="28"/>
        </w:rPr>
        <w:t>2</w:t>
      </w:r>
      <w:r>
        <w:rPr>
          <w:rFonts w:hint="eastAsia" w:hAnsi="宋体"/>
          <w:spacing w:val="20"/>
          <w:sz w:val="28"/>
          <w:szCs w:val="28"/>
        </w:rPr>
        <w:t>、</w:t>
      </w:r>
      <w:r>
        <w:rPr>
          <w:rFonts w:hAnsi="宋体"/>
          <w:spacing w:val="20"/>
          <w:sz w:val="28"/>
          <w:szCs w:val="28"/>
        </w:rPr>
        <w:t>建设地点</w:t>
      </w:r>
      <w:r>
        <w:rPr>
          <w:spacing w:val="20"/>
          <w:sz w:val="28"/>
          <w:szCs w:val="28"/>
        </w:rPr>
        <w:t>——</w:t>
      </w:r>
      <w:r>
        <w:rPr>
          <w:rFonts w:hAnsi="宋体"/>
          <w:spacing w:val="20"/>
          <w:sz w:val="28"/>
          <w:szCs w:val="28"/>
        </w:rPr>
        <w:t>指项目所在地详细地址，公路、铁路应填写起止地点。</w:t>
      </w:r>
    </w:p>
    <w:p>
      <w:pPr>
        <w:spacing w:line="360" w:lineRule="auto"/>
        <w:ind w:firstLine="640" w:firstLineChars="200"/>
        <w:jc w:val="left"/>
        <w:rPr>
          <w:spacing w:val="20"/>
          <w:sz w:val="28"/>
          <w:szCs w:val="28"/>
        </w:rPr>
      </w:pPr>
      <w:r>
        <w:rPr>
          <w:spacing w:val="20"/>
          <w:sz w:val="28"/>
          <w:szCs w:val="28"/>
        </w:rPr>
        <w:t>3</w:t>
      </w:r>
      <w:r>
        <w:rPr>
          <w:rFonts w:hint="eastAsia"/>
          <w:spacing w:val="20"/>
          <w:sz w:val="28"/>
          <w:szCs w:val="28"/>
        </w:rPr>
        <w:t>、</w:t>
      </w:r>
      <w:r>
        <w:rPr>
          <w:rFonts w:hAnsi="宋体"/>
          <w:spacing w:val="20"/>
          <w:sz w:val="28"/>
          <w:szCs w:val="28"/>
        </w:rPr>
        <w:t>行业类别</w:t>
      </w:r>
      <w:r>
        <w:rPr>
          <w:spacing w:val="20"/>
          <w:sz w:val="28"/>
          <w:szCs w:val="28"/>
        </w:rPr>
        <w:t>——</w:t>
      </w:r>
      <w:r>
        <w:rPr>
          <w:rFonts w:hAnsi="宋体"/>
          <w:spacing w:val="20"/>
          <w:sz w:val="28"/>
          <w:szCs w:val="28"/>
        </w:rPr>
        <w:t>按国标填写。</w:t>
      </w:r>
    </w:p>
    <w:p>
      <w:pPr>
        <w:spacing w:line="360" w:lineRule="auto"/>
        <w:ind w:firstLine="640" w:firstLineChars="200"/>
        <w:jc w:val="left"/>
        <w:rPr>
          <w:spacing w:val="20"/>
          <w:sz w:val="28"/>
          <w:szCs w:val="28"/>
        </w:rPr>
      </w:pPr>
      <w:r>
        <w:rPr>
          <w:spacing w:val="20"/>
          <w:sz w:val="28"/>
          <w:szCs w:val="28"/>
        </w:rPr>
        <w:t>4</w:t>
      </w:r>
      <w:r>
        <w:rPr>
          <w:rFonts w:hint="eastAsia" w:hAnsi="宋体"/>
          <w:spacing w:val="20"/>
          <w:sz w:val="28"/>
          <w:szCs w:val="28"/>
        </w:rPr>
        <w:t>、</w:t>
      </w:r>
      <w:r>
        <w:rPr>
          <w:rFonts w:hAnsi="宋体"/>
          <w:spacing w:val="20"/>
          <w:sz w:val="28"/>
          <w:szCs w:val="28"/>
        </w:rPr>
        <w:t>总投资</w:t>
      </w:r>
      <w:r>
        <w:rPr>
          <w:spacing w:val="20"/>
          <w:sz w:val="28"/>
          <w:szCs w:val="28"/>
        </w:rPr>
        <w:t>——</w:t>
      </w:r>
      <w:r>
        <w:rPr>
          <w:rFonts w:hAnsi="宋体"/>
          <w:spacing w:val="20"/>
          <w:sz w:val="28"/>
          <w:szCs w:val="28"/>
        </w:rPr>
        <w:t>指项目投资总额。</w:t>
      </w:r>
    </w:p>
    <w:p>
      <w:pPr>
        <w:spacing w:line="360" w:lineRule="auto"/>
        <w:ind w:firstLine="640" w:firstLineChars="200"/>
        <w:jc w:val="left"/>
        <w:rPr>
          <w:spacing w:val="20"/>
          <w:sz w:val="28"/>
          <w:szCs w:val="28"/>
        </w:rPr>
      </w:pPr>
      <w:r>
        <w:rPr>
          <w:spacing w:val="20"/>
          <w:sz w:val="28"/>
          <w:szCs w:val="28"/>
        </w:rPr>
        <w:t>5</w:t>
      </w:r>
      <w:r>
        <w:rPr>
          <w:rFonts w:hint="eastAsia" w:hAnsi="宋体"/>
          <w:spacing w:val="20"/>
          <w:sz w:val="28"/>
          <w:szCs w:val="28"/>
        </w:rPr>
        <w:t>、</w:t>
      </w:r>
      <w:r>
        <w:rPr>
          <w:rFonts w:hAnsi="宋体"/>
          <w:spacing w:val="20"/>
          <w:sz w:val="28"/>
          <w:szCs w:val="28"/>
        </w:rPr>
        <w:t>主要环境保护目标</w:t>
      </w:r>
      <w:r>
        <w:rPr>
          <w:spacing w:val="20"/>
          <w:sz w:val="28"/>
          <w:szCs w:val="28"/>
        </w:rPr>
        <w:t>——</w:t>
      </w:r>
      <w:r>
        <w:rPr>
          <w:rFonts w:hAnsi="宋体"/>
          <w:spacing w:val="20"/>
          <w:sz w:val="28"/>
          <w:szCs w:val="28"/>
        </w:rPr>
        <w:t>指项目区周围一定范围内集中居民住宅区、学校、医院、保护文物、风景名胜区、水源地和生态敏感点等，应尽可能给出保护目标、性质、规模和距厂界距离等。</w:t>
      </w:r>
    </w:p>
    <w:p>
      <w:pPr>
        <w:spacing w:line="360" w:lineRule="auto"/>
        <w:ind w:firstLine="640" w:firstLineChars="200"/>
        <w:jc w:val="left"/>
        <w:rPr>
          <w:spacing w:val="20"/>
          <w:sz w:val="28"/>
          <w:szCs w:val="28"/>
        </w:rPr>
      </w:pPr>
      <w:r>
        <w:rPr>
          <w:spacing w:val="20"/>
          <w:sz w:val="28"/>
          <w:szCs w:val="28"/>
        </w:rPr>
        <w:t>6</w:t>
      </w:r>
      <w:r>
        <w:rPr>
          <w:rFonts w:hint="eastAsia" w:hAnsi="宋体"/>
          <w:spacing w:val="20"/>
          <w:sz w:val="28"/>
          <w:szCs w:val="28"/>
        </w:rPr>
        <w:t>、</w:t>
      </w:r>
      <w:r>
        <w:rPr>
          <w:rFonts w:hAnsi="宋体"/>
          <w:spacing w:val="20"/>
          <w:sz w:val="28"/>
          <w:szCs w:val="28"/>
        </w:rPr>
        <w:t>结论与建议</w:t>
      </w:r>
      <w:r>
        <w:rPr>
          <w:spacing w:val="20"/>
          <w:sz w:val="28"/>
          <w:szCs w:val="28"/>
        </w:rPr>
        <w:t>——</w:t>
      </w:r>
      <w:r>
        <w:rPr>
          <w:rFonts w:hAnsi="宋体"/>
          <w:spacing w:val="20"/>
          <w:sz w:val="28"/>
          <w:szCs w:val="28"/>
        </w:rPr>
        <w:t>给出本项目清洁生产、达标排放总量控制的分析结论，确定污染防治措施的有效性，说明本项目对环境造成的影响，给出建设项目环境可行性的明确结论。同时提出减少环境影响的其他建议。</w:t>
      </w:r>
    </w:p>
    <w:p>
      <w:pPr>
        <w:spacing w:line="360" w:lineRule="auto"/>
        <w:ind w:firstLine="640" w:firstLineChars="200"/>
        <w:jc w:val="left"/>
        <w:rPr>
          <w:spacing w:val="20"/>
          <w:sz w:val="28"/>
          <w:szCs w:val="28"/>
        </w:rPr>
      </w:pPr>
      <w:r>
        <w:rPr>
          <w:spacing w:val="20"/>
          <w:sz w:val="28"/>
          <w:szCs w:val="28"/>
        </w:rPr>
        <w:t>7</w:t>
      </w:r>
      <w:r>
        <w:rPr>
          <w:rFonts w:hint="eastAsia" w:hAnsi="宋体"/>
          <w:spacing w:val="20"/>
          <w:sz w:val="28"/>
          <w:szCs w:val="28"/>
        </w:rPr>
        <w:t>、</w:t>
      </w:r>
      <w:r>
        <w:rPr>
          <w:rFonts w:hAnsi="宋体"/>
          <w:spacing w:val="20"/>
          <w:sz w:val="28"/>
          <w:szCs w:val="28"/>
        </w:rPr>
        <w:t>预审意见</w:t>
      </w:r>
      <w:r>
        <w:rPr>
          <w:spacing w:val="20"/>
          <w:sz w:val="28"/>
          <w:szCs w:val="28"/>
        </w:rPr>
        <w:t>——</w:t>
      </w:r>
      <w:r>
        <w:rPr>
          <w:rFonts w:hAnsi="宋体"/>
          <w:spacing w:val="20"/>
          <w:sz w:val="28"/>
          <w:szCs w:val="28"/>
        </w:rPr>
        <w:t>由行业主管部门填写答复意见，无主管部门项目，可不填。</w:t>
      </w:r>
    </w:p>
    <w:p>
      <w:pPr>
        <w:spacing w:line="360" w:lineRule="auto"/>
        <w:ind w:firstLine="640" w:firstLineChars="200"/>
        <w:jc w:val="left"/>
        <w:rPr>
          <w:rFonts w:hAnsi="宋体"/>
          <w:spacing w:val="20"/>
          <w:sz w:val="32"/>
          <w:szCs w:val="32"/>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466" w:charSpace="3430"/>
        </w:sectPr>
      </w:pPr>
      <w:r>
        <w:rPr>
          <w:spacing w:val="20"/>
          <w:sz w:val="28"/>
          <w:szCs w:val="28"/>
        </w:rPr>
        <w:t>8</w:t>
      </w:r>
      <w:r>
        <w:rPr>
          <w:rFonts w:hint="eastAsia" w:hAnsi="宋体"/>
          <w:spacing w:val="20"/>
          <w:sz w:val="28"/>
          <w:szCs w:val="28"/>
        </w:rPr>
        <w:t>、</w:t>
      </w:r>
      <w:r>
        <w:rPr>
          <w:rFonts w:hAnsi="宋体"/>
          <w:spacing w:val="20"/>
          <w:sz w:val="28"/>
          <w:szCs w:val="28"/>
        </w:rPr>
        <w:t>审批意见</w:t>
      </w:r>
      <w:r>
        <w:rPr>
          <w:spacing w:val="20"/>
          <w:sz w:val="28"/>
          <w:szCs w:val="28"/>
        </w:rPr>
        <w:t>——</w:t>
      </w:r>
      <w:r>
        <w:rPr>
          <w:rFonts w:hAnsi="宋体"/>
          <w:spacing w:val="20"/>
          <w:sz w:val="28"/>
          <w:szCs w:val="28"/>
        </w:rPr>
        <w:t>由负责审批该项目的环境保护行政主管部门批</w:t>
      </w:r>
    </w:p>
    <w:p>
      <w:pPr>
        <w:pStyle w:val="15"/>
        <w:spacing w:line="240" w:lineRule="auto"/>
        <w:jc w:val="both"/>
        <w:outlineLvl w:val="0"/>
        <w:rPr>
          <w:rFonts w:hint="default" w:ascii="Times New Roman" w:hAnsi="Times New Roman" w:eastAsia="宋体" w:cs="Times New Roman"/>
          <w:b/>
          <w:bCs/>
          <w:sz w:val="32"/>
          <w:szCs w:val="32"/>
        </w:rPr>
      </w:pPr>
      <w:r>
        <w:rPr>
          <w:rFonts w:hint="eastAsia" w:cs="Times New Roman"/>
          <w:b/>
          <w:bCs/>
          <w:sz w:val="32"/>
          <w:szCs w:val="32"/>
          <w:lang w:eastAsia="zh-CN"/>
        </w:rPr>
        <w:t>一、</w:t>
      </w:r>
      <w:r>
        <w:rPr>
          <w:rFonts w:hint="default" w:ascii="Times New Roman" w:hAnsi="Times New Roman" w:eastAsia="宋体" w:cs="Times New Roman"/>
          <w:b/>
          <w:bCs/>
          <w:sz w:val="32"/>
          <w:szCs w:val="32"/>
        </w:rPr>
        <w:t>建设项目基本情况</w:t>
      </w:r>
    </w:p>
    <w:tbl>
      <w:tblPr>
        <w:tblStyle w:val="19"/>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58"/>
        <w:gridCol w:w="1826"/>
        <w:gridCol w:w="1527"/>
        <w:gridCol w:w="1267"/>
        <w:gridCol w:w="1430"/>
        <w:gridCol w:w="297"/>
        <w:gridCol w:w="12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 w:hRule="atLeast"/>
          <w:jc w:val="center"/>
        </w:trPr>
        <w:tc>
          <w:tcPr>
            <w:tcW w:w="1658" w:type="dxa"/>
            <w:noWrap w:val="0"/>
            <w:vAlign w:val="center"/>
          </w:tcPr>
          <w:p>
            <w:pPr>
              <w:spacing w:line="380" w:lineRule="exact"/>
              <w:jc w:val="center"/>
              <w:rPr>
                <w:sz w:val="24"/>
              </w:rPr>
            </w:pPr>
            <w:r>
              <w:rPr>
                <w:sz w:val="24"/>
              </w:rPr>
              <w:t>项目名称</w:t>
            </w:r>
          </w:p>
        </w:tc>
        <w:tc>
          <w:tcPr>
            <w:tcW w:w="7628" w:type="dxa"/>
            <w:gridSpan w:val="6"/>
            <w:noWrap w:val="0"/>
            <w:vAlign w:val="center"/>
          </w:tcPr>
          <w:p>
            <w:pPr>
              <w:spacing w:line="380" w:lineRule="exact"/>
              <w:jc w:val="center"/>
              <w:rPr>
                <w:sz w:val="24"/>
              </w:rPr>
            </w:pPr>
            <w:r>
              <w:rPr>
                <w:rFonts w:hint="eastAsia"/>
                <w:sz w:val="24"/>
              </w:rPr>
              <w:t>红寺堡区历史遗留</w:t>
            </w:r>
            <w:r>
              <w:rPr>
                <w:rFonts w:hint="eastAsia"/>
                <w:sz w:val="24"/>
                <w:lang w:eastAsia="zh-CN"/>
              </w:rPr>
              <w:t>废弃</w:t>
            </w:r>
            <w:r>
              <w:rPr>
                <w:rFonts w:hint="eastAsia"/>
                <w:sz w:val="24"/>
              </w:rPr>
              <w:t>矿山</w:t>
            </w:r>
            <w:r>
              <w:rPr>
                <w:rFonts w:hint="eastAsia"/>
                <w:sz w:val="24"/>
                <w:lang w:eastAsia="zh-CN"/>
              </w:rPr>
              <w:t>生态修复</w:t>
            </w:r>
            <w:r>
              <w:rPr>
                <w:rFonts w:hint="eastAsia"/>
                <w:sz w:val="24"/>
              </w:rPr>
              <w:t>治理项目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1658" w:type="dxa"/>
            <w:noWrap w:val="0"/>
            <w:vAlign w:val="center"/>
          </w:tcPr>
          <w:p>
            <w:pPr>
              <w:spacing w:line="380" w:lineRule="exact"/>
              <w:jc w:val="center"/>
              <w:rPr>
                <w:sz w:val="24"/>
              </w:rPr>
            </w:pPr>
            <w:r>
              <w:rPr>
                <w:sz w:val="24"/>
              </w:rPr>
              <w:t>建设单位</w:t>
            </w:r>
          </w:p>
        </w:tc>
        <w:tc>
          <w:tcPr>
            <w:tcW w:w="7628" w:type="dxa"/>
            <w:gridSpan w:val="6"/>
            <w:noWrap w:val="0"/>
            <w:vAlign w:val="center"/>
          </w:tcPr>
          <w:p>
            <w:pPr>
              <w:spacing w:line="380" w:lineRule="exact"/>
              <w:jc w:val="center"/>
              <w:rPr>
                <w:rFonts w:hint="default" w:eastAsia="宋体"/>
                <w:sz w:val="24"/>
                <w:lang w:val="en-US" w:eastAsia="zh-CN"/>
              </w:rPr>
            </w:pPr>
            <w:r>
              <w:rPr>
                <w:rFonts w:hint="default" w:eastAsia="宋体"/>
                <w:sz w:val="24"/>
                <w:lang w:val="en-US" w:eastAsia="zh-CN"/>
              </w:rPr>
              <w:t>吴忠市红寺堡区自然资源局</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658" w:type="dxa"/>
            <w:noWrap w:val="0"/>
            <w:vAlign w:val="center"/>
          </w:tcPr>
          <w:p>
            <w:pPr>
              <w:spacing w:line="380" w:lineRule="exact"/>
              <w:jc w:val="center"/>
              <w:rPr>
                <w:sz w:val="24"/>
              </w:rPr>
            </w:pPr>
            <w:r>
              <w:rPr>
                <w:sz w:val="24"/>
              </w:rPr>
              <w:t>法人代表</w:t>
            </w:r>
          </w:p>
        </w:tc>
        <w:tc>
          <w:tcPr>
            <w:tcW w:w="3353" w:type="dxa"/>
            <w:gridSpan w:val="2"/>
            <w:noWrap w:val="0"/>
            <w:vAlign w:val="center"/>
          </w:tcPr>
          <w:p>
            <w:pPr>
              <w:spacing w:line="380" w:lineRule="exact"/>
              <w:jc w:val="center"/>
              <w:rPr>
                <w:rFonts w:hint="eastAsia" w:eastAsia="宋体"/>
                <w:sz w:val="24"/>
                <w:lang w:eastAsia="zh-CN"/>
              </w:rPr>
            </w:pPr>
            <w:r>
              <w:rPr>
                <w:rFonts w:hint="eastAsia"/>
                <w:sz w:val="24"/>
                <w:highlight w:val="none"/>
                <w:lang w:eastAsia="zh-CN"/>
              </w:rPr>
              <w:t>王少奇</w:t>
            </w:r>
          </w:p>
        </w:tc>
        <w:tc>
          <w:tcPr>
            <w:tcW w:w="2697" w:type="dxa"/>
            <w:gridSpan w:val="2"/>
            <w:noWrap w:val="0"/>
            <w:vAlign w:val="center"/>
          </w:tcPr>
          <w:p>
            <w:pPr>
              <w:spacing w:line="380" w:lineRule="exact"/>
              <w:jc w:val="center"/>
              <w:rPr>
                <w:sz w:val="24"/>
              </w:rPr>
            </w:pPr>
            <w:r>
              <w:rPr>
                <w:sz w:val="24"/>
              </w:rPr>
              <w:t>联系人</w:t>
            </w:r>
          </w:p>
        </w:tc>
        <w:tc>
          <w:tcPr>
            <w:tcW w:w="1578" w:type="dxa"/>
            <w:gridSpan w:val="2"/>
            <w:noWrap w:val="0"/>
            <w:vAlign w:val="center"/>
          </w:tcPr>
          <w:p>
            <w:pPr>
              <w:pStyle w:val="24"/>
              <w:widowControl w:val="0"/>
              <w:pBdr>
                <w:bottom w:val="none" w:color="auto" w:sz="0" w:space="0"/>
              </w:pBdr>
              <w:spacing w:before="0" w:beforeAutospacing="0" w:after="0" w:afterAutospacing="0" w:line="380" w:lineRule="exact"/>
              <w:rPr>
                <w:rFonts w:hint="eastAsia" w:ascii="Times New Roman" w:hAnsi="Times New Roman" w:eastAsia="宋体"/>
                <w:kern w:val="2"/>
                <w:szCs w:val="24"/>
                <w:highlight w:val="none"/>
                <w:lang w:val="en-US" w:eastAsia="zh-CN"/>
              </w:rPr>
            </w:pPr>
            <w:r>
              <w:rPr>
                <w:rFonts w:hint="eastAsia"/>
                <w:sz w:val="24"/>
                <w:highlight w:val="none"/>
                <w:lang w:val="en-US" w:eastAsia="zh-CN"/>
              </w:rPr>
              <w:t>马登宝</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1658" w:type="dxa"/>
            <w:noWrap w:val="0"/>
            <w:vAlign w:val="center"/>
          </w:tcPr>
          <w:p>
            <w:pPr>
              <w:spacing w:line="380" w:lineRule="exact"/>
              <w:jc w:val="center"/>
              <w:rPr>
                <w:sz w:val="24"/>
                <w:highlight w:val="none"/>
              </w:rPr>
            </w:pPr>
            <w:r>
              <w:rPr>
                <w:sz w:val="24"/>
                <w:highlight w:val="none"/>
              </w:rPr>
              <w:t>通讯地址</w:t>
            </w:r>
          </w:p>
        </w:tc>
        <w:tc>
          <w:tcPr>
            <w:tcW w:w="7628" w:type="dxa"/>
            <w:gridSpan w:val="6"/>
            <w:noWrap w:val="0"/>
            <w:vAlign w:val="center"/>
          </w:tcPr>
          <w:p>
            <w:pPr>
              <w:pStyle w:val="24"/>
              <w:widowControl w:val="0"/>
              <w:pBdr>
                <w:bottom w:val="none" w:color="auto" w:sz="0" w:space="0"/>
              </w:pBdr>
              <w:spacing w:before="0" w:beforeAutospacing="0" w:after="0" w:afterAutospacing="0" w:line="380" w:lineRule="exact"/>
              <w:rPr>
                <w:rFonts w:hint="default" w:ascii="Times New Roman" w:hAnsi="Times New Roman" w:eastAsia="宋体"/>
                <w:szCs w:val="24"/>
                <w:highlight w:val="none"/>
                <w:lang w:val="en-US" w:eastAsia="zh-CN"/>
              </w:rPr>
            </w:pPr>
            <w:r>
              <w:rPr>
                <w:rFonts w:hint="default" w:ascii="Times New Roman" w:hAnsi="Times New Roman" w:eastAsia="宋体"/>
                <w:szCs w:val="24"/>
                <w:highlight w:val="none"/>
                <w:lang w:val="en-US" w:eastAsia="zh-CN"/>
              </w:rPr>
              <w:t>吴忠市红寺堡区文化街1号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1658" w:type="dxa"/>
            <w:noWrap w:val="0"/>
            <w:vAlign w:val="center"/>
          </w:tcPr>
          <w:p>
            <w:pPr>
              <w:spacing w:line="380" w:lineRule="exact"/>
              <w:jc w:val="center"/>
              <w:rPr>
                <w:sz w:val="24"/>
              </w:rPr>
            </w:pPr>
            <w:r>
              <w:rPr>
                <w:sz w:val="24"/>
              </w:rPr>
              <w:t>联系电话</w:t>
            </w:r>
          </w:p>
        </w:tc>
        <w:tc>
          <w:tcPr>
            <w:tcW w:w="1826" w:type="dxa"/>
            <w:noWrap w:val="0"/>
            <w:vAlign w:val="center"/>
          </w:tcPr>
          <w:p>
            <w:pPr>
              <w:jc w:val="center"/>
              <w:rPr>
                <w:rFonts w:hint="default" w:eastAsia="宋体"/>
                <w:sz w:val="24"/>
                <w:highlight w:val="none"/>
                <w:lang w:val="en-US" w:eastAsia="zh-CN"/>
              </w:rPr>
            </w:pPr>
            <w:r>
              <w:rPr>
                <w:rFonts w:hint="eastAsia"/>
                <w:sz w:val="24"/>
                <w:highlight w:val="none"/>
                <w:lang w:val="en-US" w:eastAsia="zh-CN"/>
              </w:rPr>
              <w:t>18195333337</w:t>
            </w:r>
          </w:p>
        </w:tc>
        <w:tc>
          <w:tcPr>
            <w:tcW w:w="1527" w:type="dxa"/>
            <w:noWrap w:val="0"/>
            <w:vAlign w:val="center"/>
          </w:tcPr>
          <w:p>
            <w:pPr>
              <w:spacing w:line="380" w:lineRule="exact"/>
              <w:jc w:val="center"/>
              <w:rPr>
                <w:sz w:val="24"/>
              </w:rPr>
            </w:pPr>
            <w:r>
              <w:rPr>
                <w:sz w:val="24"/>
              </w:rPr>
              <w:t>传真</w:t>
            </w:r>
          </w:p>
        </w:tc>
        <w:tc>
          <w:tcPr>
            <w:tcW w:w="1267" w:type="dxa"/>
            <w:noWrap w:val="0"/>
            <w:vAlign w:val="center"/>
          </w:tcPr>
          <w:p>
            <w:pPr>
              <w:spacing w:line="380" w:lineRule="exact"/>
              <w:jc w:val="center"/>
              <w:rPr>
                <w:sz w:val="24"/>
              </w:rPr>
            </w:pPr>
            <w:r>
              <w:rPr>
                <w:rFonts w:hint="eastAsia"/>
                <w:sz w:val="24"/>
              </w:rPr>
              <w:t>/</w:t>
            </w:r>
          </w:p>
        </w:tc>
        <w:tc>
          <w:tcPr>
            <w:tcW w:w="1430" w:type="dxa"/>
            <w:noWrap w:val="0"/>
            <w:vAlign w:val="center"/>
          </w:tcPr>
          <w:p>
            <w:pPr>
              <w:spacing w:line="380" w:lineRule="exact"/>
              <w:jc w:val="center"/>
              <w:rPr>
                <w:sz w:val="24"/>
              </w:rPr>
            </w:pPr>
            <w:r>
              <w:rPr>
                <w:sz w:val="24"/>
              </w:rPr>
              <w:t>邮政编码</w:t>
            </w:r>
          </w:p>
        </w:tc>
        <w:tc>
          <w:tcPr>
            <w:tcW w:w="1578" w:type="dxa"/>
            <w:gridSpan w:val="2"/>
            <w:noWrap w:val="0"/>
            <w:vAlign w:val="center"/>
          </w:tcPr>
          <w:p>
            <w:pPr>
              <w:spacing w:line="380" w:lineRule="exact"/>
              <w:jc w:val="center"/>
              <w:rPr>
                <w:sz w:val="24"/>
              </w:rPr>
            </w:pPr>
            <w:r>
              <w:rPr>
                <w:rFonts w:hint="eastAsia"/>
                <w:sz w:val="24"/>
              </w:rPr>
              <w:t>751900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1658" w:type="dxa"/>
            <w:noWrap w:val="0"/>
            <w:vAlign w:val="center"/>
          </w:tcPr>
          <w:p>
            <w:pPr>
              <w:spacing w:line="380" w:lineRule="exact"/>
              <w:jc w:val="center"/>
              <w:rPr>
                <w:sz w:val="24"/>
                <w:highlight w:val="none"/>
              </w:rPr>
            </w:pPr>
            <w:r>
              <w:rPr>
                <w:sz w:val="24"/>
                <w:highlight w:val="none"/>
              </w:rPr>
              <w:t>建设地点</w:t>
            </w:r>
          </w:p>
        </w:tc>
        <w:tc>
          <w:tcPr>
            <w:tcW w:w="7628" w:type="dxa"/>
            <w:gridSpan w:val="6"/>
            <w:noWrap w:val="0"/>
            <w:vAlign w:val="center"/>
          </w:tcPr>
          <w:p>
            <w:pPr>
              <w:spacing w:line="380" w:lineRule="exact"/>
              <w:jc w:val="center"/>
              <w:rPr>
                <w:rFonts w:hint="default" w:eastAsia="宋体"/>
                <w:sz w:val="24"/>
                <w:highlight w:val="none"/>
                <w:lang w:val="en-US" w:eastAsia="zh-CN"/>
              </w:rPr>
            </w:pPr>
            <w:r>
              <w:rPr>
                <w:rFonts w:hint="eastAsia" w:ascii="Times New Roman" w:hAnsi="Times New Roman" w:eastAsia="宋体" w:cs="Times New Roman"/>
                <w:sz w:val="24"/>
                <w:highlight w:val="none"/>
                <w:lang w:val="en-US" w:eastAsia="zh-CN"/>
              </w:rPr>
              <w:t>煤炭一号治理区（M1）、煤炭二号治理区（M2）、煤炭三号治理区（M3）位于线驮石矿区罗花崖煤矿同土公路两侧；建</w:t>
            </w:r>
            <w:r>
              <w:rPr>
                <w:rFonts w:hint="eastAsia"/>
                <w:sz w:val="24"/>
                <w:highlight w:val="none"/>
                <w:lang w:val="en-US" w:eastAsia="zh-CN"/>
              </w:rPr>
              <w:t>筑用砂一号治理区（S1）位于</w:t>
            </w:r>
            <w:r>
              <w:rPr>
                <w:rFonts w:hint="eastAsia" w:ascii="Times New Roman" w:hAnsi="Times New Roman" w:eastAsia="宋体" w:cs="Times New Roman"/>
                <w:sz w:val="24"/>
                <w:highlight w:val="none"/>
                <w:lang w:val="en-US" w:eastAsia="zh-CN"/>
              </w:rPr>
              <w:t>京藏高速红寺堡区段两侧。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58" w:type="dxa"/>
            <w:noWrap w:val="0"/>
            <w:vAlign w:val="center"/>
          </w:tcPr>
          <w:p>
            <w:pPr>
              <w:spacing w:line="380" w:lineRule="exact"/>
              <w:jc w:val="center"/>
              <w:rPr>
                <w:sz w:val="24"/>
                <w:highlight w:val="none"/>
              </w:rPr>
            </w:pPr>
            <w:r>
              <w:rPr>
                <w:sz w:val="24"/>
                <w:highlight w:val="none"/>
              </w:rPr>
              <w:t>立项审批部门</w:t>
            </w:r>
          </w:p>
        </w:tc>
        <w:tc>
          <w:tcPr>
            <w:tcW w:w="3353" w:type="dxa"/>
            <w:gridSpan w:val="2"/>
            <w:noWrap w:val="0"/>
            <w:vAlign w:val="center"/>
          </w:tcPr>
          <w:p>
            <w:pPr>
              <w:pStyle w:val="24"/>
              <w:widowControl w:val="0"/>
              <w:pBdr>
                <w:bottom w:val="none" w:color="auto" w:sz="0" w:space="0"/>
              </w:pBdr>
              <w:spacing w:before="0" w:beforeAutospacing="0" w:after="0" w:afterAutospacing="0" w:line="380" w:lineRule="exact"/>
              <w:rPr>
                <w:rFonts w:hint="default" w:ascii="Times New Roman" w:hAnsi="Times New Roman" w:eastAsia="宋体"/>
                <w:kern w:val="2"/>
                <w:szCs w:val="24"/>
                <w:highlight w:val="none"/>
                <w:lang w:val="en-US" w:eastAsia="zh-CN"/>
              </w:rPr>
            </w:pPr>
            <w:r>
              <w:rPr>
                <w:rFonts w:hint="eastAsia" w:ascii="Times New Roman" w:hAnsi="Times New Roman"/>
                <w:kern w:val="2"/>
                <w:szCs w:val="24"/>
                <w:highlight w:val="none"/>
                <w:lang w:val="en-US" w:eastAsia="zh-CN"/>
              </w:rPr>
              <w:t>/</w:t>
            </w:r>
          </w:p>
        </w:tc>
        <w:tc>
          <w:tcPr>
            <w:tcW w:w="1267" w:type="dxa"/>
            <w:noWrap w:val="0"/>
            <w:vAlign w:val="center"/>
          </w:tcPr>
          <w:p>
            <w:pPr>
              <w:spacing w:line="380" w:lineRule="exact"/>
              <w:jc w:val="center"/>
              <w:rPr>
                <w:sz w:val="24"/>
                <w:highlight w:val="none"/>
              </w:rPr>
            </w:pPr>
            <w:r>
              <w:rPr>
                <w:sz w:val="24"/>
                <w:highlight w:val="none"/>
              </w:rPr>
              <w:t>批准文号</w:t>
            </w:r>
          </w:p>
        </w:tc>
        <w:tc>
          <w:tcPr>
            <w:tcW w:w="3008" w:type="dxa"/>
            <w:gridSpan w:val="3"/>
            <w:noWrap w:val="0"/>
            <w:vAlign w:val="center"/>
          </w:tcPr>
          <w:p>
            <w:pPr>
              <w:spacing w:line="380" w:lineRule="exact"/>
              <w:jc w:val="center"/>
              <w:rPr>
                <w:rFonts w:hint="default" w:eastAsia="宋体"/>
                <w:sz w:val="24"/>
                <w:highlight w:val="none"/>
                <w:lang w:val="en-US" w:eastAsia="zh-CN"/>
              </w:rPr>
            </w:pPr>
            <w:r>
              <w:rPr>
                <w:rFonts w:hint="eastAsia"/>
                <w:bCs/>
                <w:color w:val="auto"/>
                <w:sz w:val="24"/>
                <w:szCs w:val="24"/>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58" w:type="dxa"/>
            <w:noWrap w:val="0"/>
            <w:vAlign w:val="center"/>
          </w:tcPr>
          <w:p>
            <w:pPr>
              <w:spacing w:line="380" w:lineRule="exact"/>
              <w:jc w:val="center"/>
              <w:rPr>
                <w:sz w:val="24"/>
              </w:rPr>
            </w:pPr>
            <w:r>
              <w:rPr>
                <w:sz w:val="24"/>
              </w:rPr>
              <w:t>建设性质</w:t>
            </w:r>
          </w:p>
        </w:tc>
        <w:tc>
          <w:tcPr>
            <w:tcW w:w="3353" w:type="dxa"/>
            <w:gridSpan w:val="2"/>
            <w:noWrap w:val="0"/>
            <w:vAlign w:val="center"/>
          </w:tcPr>
          <w:p>
            <w:pPr>
              <w:spacing w:line="380" w:lineRule="exact"/>
              <w:jc w:val="center"/>
              <w:rPr>
                <w:rFonts w:hint="eastAsia" w:eastAsia="宋体"/>
                <w:sz w:val="24"/>
                <w:lang w:eastAsia="zh-CN"/>
              </w:rPr>
            </w:pPr>
            <w:r>
              <w:rPr>
                <w:sz w:val="24"/>
              </w:rPr>
              <w:t>新建</w:t>
            </w:r>
            <w:r>
              <w:rPr>
                <w:rFonts w:ascii="宋体" w:hAnsi="宋体"/>
                <w:sz w:val="24"/>
              </w:rPr>
              <w:t>■</w:t>
            </w:r>
            <w:r>
              <w:rPr>
                <w:rFonts w:hint="eastAsia" w:ascii="宋体" w:hAnsi="宋体"/>
                <w:sz w:val="24"/>
              </w:rPr>
              <w:t xml:space="preserve"> </w:t>
            </w:r>
            <w:r>
              <w:rPr>
                <w:rFonts w:ascii="宋体" w:hAnsi="宋体"/>
                <w:sz w:val="24"/>
              </w:rPr>
              <w:t>改扩建□</w:t>
            </w:r>
            <w:r>
              <w:rPr>
                <w:rFonts w:hint="eastAsia" w:ascii="宋体" w:hAnsi="宋体"/>
                <w:sz w:val="24"/>
              </w:rPr>
              <w:t xml:space="preserve"> </w:t>
            </w:r>
            <w:r>
              <w:rPr>
                <w:rFonts w:ascii="宋体" w:hAnsi="宋体"/>
                <w:sz w:val="24"/>
              </w:rPr>
              <w:t>技改</w:t>
            </w:r>
            <w:r>
              <w:rPr>
                <w:rFonts w:hint="eastAsia" w:ascii="宋体" w:hAnsi="宋体"/>
                <w:sz w:val="24"/>
                <w:lang w:eastAsia="zh-CN"/>
              </w:rPr>
              <w:t>□</w:t>
            </w:r>
          </w:p>
        </w:tc>
        <w:tc>
          <w:tcPr>
            <w:tcW w:w="1267" w:type="dxa"/>
            <w:noWrap w:val="0"/>
            <w:vAlign w:val="center"/>
          </w:tcPr>
          <w:p>
            <w:pPr>
              <w:spacing w:line="380" w:lineRule="exact"/>
              <w:jc w:val="center"/>
              <w:rPr>
                <w:sz w:val="24"/>
              </w:rPr>
            </w:pPr>
            <w:r>
              <w:rPr>
                <w:sz w:val="24"/>
              </w:rPr>
              <w:t>行业类别及代码</w:t>
            </w:r>
          </w:p>
        </w:tc>
        <w:tc>
          <w:tcPr>
            <w:tcW w:w="3008" w:type="dxa"/>
            <w:gridSpan w:val="3"/>
            <w:noWrap w:val="0"/>
            <w:vAlign w:val="center"/>
          </w:tcPr>
          <w:p>
            <w:pPr>
              <w:spacing w:line="380" w:lineRule="exact"/>
              <w:jc w:val="center"/>
              <w:rPr>
                <w:rFonts w:hint="eastAsia"/>
                <w:sz w:val="24"/>
              </w:rPr>
            </w:pPr>
            <w:r>
              <w:rPr>
                <w:rFonts w:hint="eastAsia"/>
                <w:sz w:val="24"/>
                <w:highlight w:val="none"/>
                <w:lang w:val="en-US" w:eastAsia="zh-CN"/>
              </w:rPr>
              <w:t>N7729</w:t>
            </w:r>
            <w:r>
              <w:rPr>
                <w:rFonts w:hint="eastAsia"/>
                <w:sz w:val="24"/>
                <w:highlight w:val="none"/>
              </w:rPr>
              <w:t xml:space="preserve"> 其他污染治理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58" w:type="dxa"/>
            <w:noWrap w:val="0"/>
            <w:vAlign w:val="center"/>
          </w:tcPr>
          <w:p>
            <w:pPr>
              <w:spacing w:line="380" w:lineRule="exact"/>
              <w:jc w:val="center"/>
              <w:rPr>
                <w:sz w:val="24"/>
                <w:highlight w:val="none"/>
              </w:rPr>
            </w:pPr>
            <w:r>
              <w:rPr>
                <w:sz w:val="24"/>
                <w:highlight w:val="none"/>
              </w:rPr>
              <w:t>占地面积</w:t>
            </w:r>
          </w:p>
          <w:p>
            <w:pPr>
              <w:spacing w:line="380" w:lineRule="exact"/>
              <w:jc w:val="center"/>
              <w:rPr>
                <w:sz w:val="24"/>
                <w:highlight w:val="none"/>
              </w:rPr>
            </w:pPr>
            <w:r>
              <w:rPr>
                <w:sz w:val="24"/>
                <w:highlight w:val="none"/>
              </w:rPr>
              <w:t>(平方米)</w:t>
            </w:r>
          </w:p>
        </w:tc>
        <w:tc>
          <w:tcPr>
            <w:tcW w:w="3353" w:type="dxa"/>
            <w:gridSpan w:val="2"/>
            <w:noWrap w:val="0"/>
            <w:vAlign w:val="center"/>
          </w:tcPr>
          <w:p>
            <w:pPr>
              <w:spacing w:line="380" w:lineRule="exact"/>
              <w:jc w:val="center"/>
              <w:rPr>
                <w:rFonts w:hint="default" w:eastAsia="宋体"/>
                <w:sz w:val="24"/>
                <w:highlight w:val="none"/>
                <w:lang w:val="en-US" w:eastAsia="zh-CN"/>
              </w:rPr>
            </w:pPr>
            <w:r>
              <w:rPr>
                <w:rFonts w:hint="eastAsia"/>
                <w:sz w:val="24"/>
                <w:highlight w:val="none"/>
                <w:vertAlign w:val="baseline"/>
                <w:lang w:val="en-US" w:eastAsia="zh-CN"/>
              </w:rPr>
              <w:t>744348</w:t>
            </w:r>
          </w:p>
        </w:tc>
        <w:tc>
          <w:tcPr>
            <w:tcW w:w="1267" w:type="dxa"/>
            <w:noWrap w:val="0"/>
            <w:vAlign w:val="center"/>
          </w:tcPr>
          <w:p>
            <w:pPr>
              <w:spacing w:line="380" w:lineRule="exact"/>
              <w:jc w:val="center"/>
              <w:rPr>
                <w:sz w:val="24"/>
                <w:highlight w:val="none"/>
              </w:rPr>
            </w:pPr>
            <w:r>
              <w:rPr>
                <w:sz w:val="24"/>
                <w:highlight w:val="none"/>
              </w:rPr>
              <w:t>绿化面积(平方米)</w:t>
            </w:r>
          </w:p>
        </w:tc>
        <w:tc>
          <w:tcPr>
            <w:tcW w:w="3008" w:type="dxa"/>
            <w:gridSpan w:val="3"/>
            <w:noWrap w:val="0"/>
            <w:vAlign w:val="center"/>
          </w:tcPr>
          <w:p>
            <w:pPr>
              <w:spacing w:line="380" w:lineRule="exact"/>
              <w:jc w:val="center"/>
              <w:rPr>
                <w:sz w:val="24"/>
                <w:highlight w:val="none"/>
              </w:rPr>
            </w:pPr>
            <w:r>
              <w:rPr>
                <w:rFonts w:hint="eastAsia"/>
                <w:sz w:val="24"/>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58" w:type="dxa"/>
            <w:noWrap w:val="0"/>
            <w:vAlign w:val="center"/>
          </w:tcPr>
          <w:p>
            <w:pPr>
              <w:spacing w:line="380" w:lineRule="exact"/>
              <w:jc w:val="center"/>
              <w:rPr>
                <w:sz w:val="24"/>
              </w:rPr>
            </w:pPr>
            <w:r>
              <w:rPr>
                <w:sz w:val="24"/>
              </w:rPr>
              <w:t>总投资</w:t>
            </w:r>
          </w:p>
          <w:p>
            <w:pPr>
              <w:spacing w:line="380" w:lineRule="exact"/>
              <w:jc w:val="center"/>
              <w:rPr>
                <w:sz w:val="24"/>
              </w:rPr>
            </w:pPr>
            <w:r>
              <w:rPr>
                <w:sz w:val="24"/>
              </w:rPr>
              <w:t>(万元)</w:t>
            </w:r>
          </w:p>
        </w:tc>
        <w:tc>
          <w:tcPr>
            <w:tcW w:w="1826" w:type="dxa"/>
            <w:noWrap w:val="0"/>
            <w:vAlign w:val="center"/>
          </w:tcPr>
          <w:p>
            <w:pPr>
              <w:spacing w:line="380" w:lineRule="exact"/>
              <w:jc w:val="center"/>
              <w:rPr>
                <w:rFonts w:hint="default" w:eastAsia="宋体"/>
                <w:sz w:val="24"/>
                <w:highlight w:val="none"/>
                <w:lang w:val="en-US" w:eastAsia="zh-CN"/>
              </w:rPr>
            </w:pPr>
            <w:r>
              <w:rPr>
                <w:rFonts w:hint="eastAsia"/>
                <w:sz w:val="24"/>
                <w:highlight w:val="none"/>
                <w:lang w:val="en-US" w:eastAsia="zh-CN"/>
              </w:rPr>
              <w:t>816</w:t>
            </w:r>
          </w:p>
        </w:tc>
        <w:tc>
          <w:tcPr>
            <w:tcW w:w="1527" w:type="dxa"/>
            <w:noWrap w:val="0"/>
            <w:vAlign w:val="center"/>
          </w:tcPr>
          <w:p>
            <w:pPr>
              <w:spacing w:line="380" w:lineRule="exact"/>
              <w:jc w:val="center"/>
              <w:rPr>
                <w:color w:val="auto"/>
                <w:kern w:val="0"/>
                <w:sz w:val="24"/>
                <w:highlight w:val="none"/>
              </w:rPr>
            </w:pPr>
            <w:r>
              <w:rPr>
                <w:color w:val="auto"/>
                <w:kern w:val="0"/>
                <w:sz w:val="24"/>
                <w:highlight w:val="none"/>
              </w:rPr>
              <w:t>其中：环保投资(万元)</w:t>
            </w:r>
          </w:p>
        </w:tc>
        <w:tc>
          <w:tcPr>
            <w:tcW w:w="1267" w:type="dxa"/>
            <w:noWrap w:val="0"/>
            <w:vAlign w:val="center"/>
          </w:tcPr>
          <w:p>
            <w:pPr>
              <w:spacing w:line="380" w:lineRule="exact"/>
              <w:jc w:val="center"/>
              <w:rPr>
                <w:rFonts w:hint="default" w:eastAsia="宋体"/>
                <w:color w:val="auto"/>
                <w:kern w:val="0"/>
                <w:sz w:val="24"/>
                <w:highlight w:val="none"/>
                <w:lang w:val="en-US" w:eastAsia="zh-CN"/>
              </w:rPr>
            </w:pPr>
            <w:r>
              <w:rPr>
                <w:rFonts w:hint="eastAsia"/>
                <w:color w:val="auto"/>
                <w:kern w:val="0"/>
                <w:sz w:val="24"/>
                <w:highlight w:val="none"/>
                <w:lang w:val="en-US" w:eastAsia="zh-CN"/>
              </w:rPr>
              <w:t>816</w:t>
            </w:r>
          </w:p>
        </w:tc>
        <w:tc>
          <w:tcPr>
            <w:tcW w:w="1727" w:type="dxa"/>
            <w:gridSpan w:val="2"/>
            <w:noWrap w:val="0"/>
            <w:vAlign w:val="center"/>
          </w:tcPr>
          <w:p>
            <w:pPr>
              <w:spacing w:line="380" w:lineRule="exact"/>
              <w:jc w:val="center"/>
              <w:rPr>
                <w:color w:val="auto"/>
                <w:kern w:val="0"/>
                <w:sz w:val="24"/>
                <w:highlight w:val="none"/>
              </w:rPr>
            </w:pPr>
            <w:r>
              <w:rPr>
                <w:color w:val="auto"/>
                <w:kern w:val="0"/>
                <w:sz w:val="24"/>
                <w:highlight w:val="none"/>
              </w:rPr>
              <w:t>环保投资占总投资比例</w:t>
            </w:r>
          </w:p>
        </w:tc>
        <w:tc>
          <w:tcPr>
            <w:tcW w:w="1281" w:type="dxa"/>
            <w:noWrap w:val="0"/>
            <w:vAlign w:val="center"/>
          </w:tcPr>
          <w:p>
            <w:pPr>
              <w:spacing w:line="380" w:lineRule="exact"/>
              <w:jc w:val="center"/>
              <w:rPr>
                <w:rFonts w:hint="default" w:eastAsia="宋体"/>
                <w:color w:val="auto"/>
                <w:sz w:val="24"/>
                <w:highlight w:val="none"/>
                <w:lang w:val="en-US" w:eastAsia="zh-CN"/>
              </w:rPr>
            </w:pPr>
            <w:r>
              <w:rPr>
                <w:rFonts w:hint="eastAsia"/>
                <w:color w:val="auto"/>
                <w:sz w:val="24"/>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58" w:type="dxa"/>
            <w:noWrap w:val="0"/>
            <w:vAlign w:val="center"/>
          </w:tcPr>
          <w:p>
            <w:pPr>
              <w:spacing w:line="380" w:lineRule="exact"/>
              <w:jc w:val="center"/>
              <w:rPr>
                <w:sz w:val="24"/>
              </w:rPr>
            </w:pPr>
            <w:r>
              <w:rPr>
                <w:sz w:val="24"/>
              </w:rPr>
              <w:t>评价经费</w:t>
            </w:r>
          </w:p>
          <w:p>
            <w:pPr>
              <w:spacing w:line="380" w:lineRule="exact"/>
              <w:jc w:val="center"/>
              <w:rPr>
                <w:sz w:val="24"/>
              </w:rPr>
            </w:pPr>
            <w:r>
              <w:rPr>
                <w:sz w:val="24"/>
              </w:rPr>
              <w:t>(万元)</w:t>
            </w:r>
          </w:p>
        </w:tc>
        <w:tc>
          <w:tcPr>
            <w:tcW w:w="1826" w:type="dxa"/>
            <w:noWrap w:val="0"/>
            <w:vAlign w:val="center"/>
          </w:tcPr>
          <w:p>
            <w:pPr>
              <w:spacing w:line="380" w:lineRule="exact"/>
              <w:jc w:val="center"/>
              <w:rPr>
                <w:sz w:val="24"/>
              </w:rPr>
            </w:pPr>
            <w:r>
              <w:rPr>
                <w:rFonts w:hint="eastAsia"/>
                <w:sz w:val="24"/>
              </w:rPr>
              <w:t>/</w:t>
            </w:r>
          </w:p>
        </w:tc>
        <w:tc>
          <w:tcPr>
            <w:tcW w:w="2794" w:type="dxa"/>
            <w:gridSpan w:val="2"/>
            <w:noWrap w:val="0"/>
            <w:vAlign w:val="center"/>
          </w:tcPr>
          <w:p>
            <w:pPr>
              <w:spacing w:line="380" w:lineRule="exact"/>
              <w:jc w:val="center"/>
              <w:rPr>
                <w:kern w:val="0"/>
                <w:sz w:val="24"/>
              </w:rPr>
            </w:pPr>
            <w:r>
              <w:rPr>
                <w:kern w:val="0"/>
                <w:sz w:val="24"/>
              </w:rPr>
              <w:t>预期投产日期</w:t>
            </w:r>
          </w:p>
        </w:tc>
        <w:tc>
          <w:tcPr>
            <w:tcW w:w="3008" w:type="dxa"/>
            <w:gridSpan w:val="3"/>
            <w:noWrap w:val="0"/>
            <w:vAlign w:val="center"/>
          </w:tcPr>
          <w:p>
            <w:pPr>
              <w:spacing w:line="380" w:lineRule="exact"/>
              <w:jc w:val="center"/>
              <w:rPr>
                <w:sz w:val="24"/>
              </w:rPr>
            </w:pPr>
            <w:r>
              <w:rPr>
                <w:rFonts w:hint="eastAsia"/>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286" w:type="dxa"/>
            <w:gridSpan w:val="7"/>
            <w:noWrap w:val="0"/>
            <w:vAlign w:val="top"/>
          </w:tcPr>
          <w:p>
            <w:pPr>
              <w:adjustRightInd w:val="0"/>
              <w:snapToGrid w:val="0"/>
              <w:spacing w:line="360" w:lineRule="auto"/>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工程内容及规模</w:t>
            </w:r>
          </w:p>
          <w:p>
            <w:pPr>
              <w:adjustRightInd w:val="0"/>
              <w:snapToGrid w:val="0"/>
              <w:spacing w:line="360" w:lineRule="auto"/>
              <w:rPr>
                <w:rFonts w:eastAsia="黑体"/>
                <w:sz w:val="24"/>
              </w:rPr>
            </w:pPr>
            <w:r>
              <w:rPr>
                <w:rFonts w:eastAsia="黑体"/>
                <w:sz w:val="24"/>
              </w:rPr>
              <w:t>1、概述</w:t>
            </w:r>
          </w:p>
          <w:p>
            <w:pPr>
              <w:adjustRightInd w:val="0"/>
              <w:snapToGrid w:val="0"/>
              <w:spacing w:line="360" w:lineRule="auto"/>
              <w:rPr>
                <w:rFonts w:eastAsia="黑体"/>
                <w:sz w:val="24"/>
              </w:rPr>
            </w:pPr>
            <w:r>
              <w:rPr>
                <w:rFonts w:eastAsia="黑体"/>
                <w:sz w:val="24"/>
              </w:rPr>
              <w:t>1.1 项目背景</w:t>
            </w:r>
          </w:p>
          <w:p>
            <w:pPr>
              <w:spacing w:line="360" w:lineRule="auto"/>
              <w:ind w:firstLine="56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2020年6月，习近平总书记在宁夏考察时指出：黄河是中华民族的母亲河，是中华民族和中华文明赖以生存发展的宝贵资源。宁夏要有大局观念和责任担当，更加珍惜黄河，精心呵护黄河，坚持综合治理、系统治理、源头治理，明确黄河保护红线底线，统筹推进堤防建设、河道整治、滩区整治、生态修复等重大工程，守好改善生态环境生命线。</w:t>
            </w:r>
          </w:p>
          <w:p>
            <w:pPr>
              <w:spacing w:line="360" w:lineRule="auto"/>
              <w:ind w:firstLine="56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根据宁夏回族自治区自然资源厅文件《关于建立生态修复治理项目储备库的通知》宁自然资发〔2020〕109号文，为深入实施生态文明建设，切实恢复废弃矿山环境面貌，改善生态环境质量，红寺堡区自然资源局对辖区内历史遗留废弃工矿土地进行了摸底排查，开展城区直观可视范围内、主要交通干线两侧及直观可视范围内乱采砂活动进行了调研，优先考虑生态经济损失重大的区域进行规划，经研究确定4个区域进行生态修复治理。确定的4个区域均属于露天开采区域，其中3处属于煤矿区，1处属于建筑用砂区。</w:t>
            </w:r>
          </w:p>
          <w:p>
            <w:pPr>
              <w:snapToGrid w:val="0"/>
              <w:spacing w:line="360" w:lineRule="auto"/>
              <w:ind w:firstLine="480" w:firstLineChars="200"/>
              <w:rPr>
                <w:rFonts w:hint="eastAsia"/>
                <w:sz w:val="24"/>
                <w:highlight w:val="none"/>
                <w:lang w:val="en-US" w:eastAsia="zh-CN"/>
              </w:rPr>
            </w:pPr>
            <w:r>
              <w:rPr>
                <w:rFonts w:hint="eastAsia"/>
                <w:sz w:val="24"/>
                <w:highlight w:val="none"/>
                <w:lang w:val="en-US" w:eastAsia="zh-CN"/>
              </w:rPr>
              <w:t>本项目通过采用渣土回填、场地平整、边坡削坡和生态恢复工程等措施，对区内因采砂、采煤活动造成的隐患崩塌地质灾害点进行消除，使现有被破坏的地形地貌及自然景观得到修复，从而改善生态景观，保证在飞机或高速上观察治理区内视觉效果良好。</w:t>
            </w:r>
          </w:p>
          <w:p>
            <w:pPr>
              <w:adjustRightInd w:val="0"/>
              <w:snapToGrid w:val="0"/>
              <w:spacing w:line="360" w:lineRule="auto"/>
              <w:rPr>
                <w:rFonts w:eastAsia="黑体"/>
                <w:sz w:val="24"/>
              </w:rPr>
            </w:pPr>
            <w:r>
              <w:rPr>
                <w:rFonts w:eastAsia="黑体"/>
                <w:sz w:val="24"/>
              </w:rPr>
              <w:t>1.2 项目建设必要性</w:t>
            </w:r>
          </w:p>
          <w:p>
            <w:pPr>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2020年6月经中央全面深化改革委员会第十三次会议审议通过，国家发展改革委、自然资源部联合印发了《全国重要生态系统保护和修复重大工程总体规划（2021-2035年）》（以下简称规划），《规划》要求如下：</w:t>
            </w:r>
          </w:p>
          <w:p>
            <w:pPr>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①加强生态重大问题研究，分析气候变化的大背景下一些重大的生态风险和应对策略。</w:t>
            </w:r>
          </w:p>
          <w:p>
            <w:pPr>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②坚持保护优先，完善国土空间规划、自然保护地等法律制度，加快构建国土空间规划体系，强化用途管制，促进自然资源节约集约开发利用。</w:t>
            </w:r>
          </w:p>
          <w:p>
            <w:pPr>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③坚持自然恢复为主，围绕生态服务功能提升，针对生态问题，分别采取保育保护、自然恢复、辅助修复、生态重塑等保护和修复模式，避免过度人工干预。</w:t>
            </w:r>
          </w:p>
          <w:p>
            <w:pPr>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④突出系统性、整体性，统筹各种自然生态系统，统筹陆地海洋、山上山下、地上地下、上游下游等关系，推进山水林田湖草整体保护、系统修复和综合治理。</w:t>
            </w:r>
          </w:p>
          <w:p>
            <w:pPr>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⑤坚持以水而定、量水而行，宜林则林、宜灌则灌、宜草则草、宜湿则湿、宜荒则荒，尊重客观规律，提升生态功能。</w:t>
            </w:r>
          </w:p>
          <w:p>
            <w:pPr>
              <w:snapToGrid w:val="0"/>
              <w:spacing w:line="360" w:lineRule="auto"/>
              <w:ind w:firstLine="480" w:firstLineChars="200"/>
            </w:pPr>
            <w:r>
              <w:rPr>
                <w:rFonts w:hint="eastAsia" w:ascii="Times New Roman" w:hAnsi="Times New Roman" w:eastAsia="宋体" w:cs="Times New Roman"/>
                <w:sz w:val="24"/>
                <w:highlight w:val="none"/>
                <w:lang w:val="en-US" w:eastAsia="zh-CN"/>
              </w:rPr>
              <w:t>因此，废弃矿山复垦势在必行，但仍需坚持以生态建设为导向，科学评价复垦土地的适宜性，采取山、水、田、林、路综合整治措施，促进土地可持续利用。</w:t>
            </w:r>
          </w:p>
          <w:p>
            <w:pPr>
              <w:adjustRightInd w:val="0"/>
              <w:snapToGrid w:val="0"/>
              <w:spacing w:line="360" w:lineRule="auto"/>
              <w:rPr>
                <w:rFonts w:eastAsia="黑体"/>
                <w:sz w:val="24"/>
              </w:rPr>
            </w:pPr>
            <w:r>
              <w:rPr>
                <w:rFonts w:eastAsia="黑体"/>
                <w:sz w:val="24"/>
              </w:rPr>
              <w:t>1.3 环境影响评价过程</w:t>
            </w:r>
          </w:p>
          <w:p>
            <w:pPr>
              <w:pStyle w:val="7"/>
              <w:adjustRightInd w:val="0"/>
              <w:snapToGrid w:val="0"/>
              <w:spacing w:line="360" w:lineRule="auto"/>
              <w:rPr>
                <w:rFonts w:hint="eastAsia" w:ascii="Times New Roman" w:hAnsi="Times New Roman" w:cs="Times New Roman"/>
                <w:sz w:val="24"/>
                <w:highlight w:val="none"/>
              </w:rPr>
            </w:pPr>
            <w:r>
              <w:rPr>
                <w:rFonts w:hint="eastAsia"/>
                <w:sz w:val="24"/>
                <w:highlight w:val="none"/>
              </w:rPr>
              <w:t>本项目主要进行</w:t>
            </w:r>
            <w:r>
              <w:rPr>
                <w:rFonts w:hint="eastAsia"/>
                <w:sz w:val="24"/>
                <w:highlight w:val="none"/>
                <w:lang w:eastAsia="zh-CN"/>
              </w:rPr>
              <w:t>废弃矿山生态修复治理</w:t>
            </w:r>
            <w:r>
              <w:rPr>
                <w:rFonts w:hint="eastAsia"/>
                <w:sz w:val="24"/>
                <w:highlight w:val="none"/>
              </w:rPr>
              <w:t>。</w:t>
            </w:r>
            <w:r>
              <w:rPr>
                <w:rFonts w:hint="eastAsia" w:ascii="Times New Roman" w:hAnsi="Times New Roman" w:cs="Times New Roman"/>
                <w:sz w:val="24"/>
                <w:highlight w:val="none"/>
              </w:rPr>
              <w:t>根据《中华人民共和国环境影响评价法》、《建设项目环境保护管理条例》(国务院令第682号)、《建设项目环境影响评价分类管理名录》(</w:t>
            </w:r>
            <w:r>
              <w:rPr>
                <w:rFonts w:hint="eastAsia" w:cs="Times New Roman"/>
                <w:sz w:val="24"/>
                <w:highlight w:val="none"/>
                <w:lang w:val="en-US" w:eastAsia="zh-CN"/>
              </w:rPr>
              <w:t>2021年版</w:t>
            </w:r>
            <w:r>
              <w:rPr>
                <w:rFonts w:hint="eastAsia" w:ascii="Times New Roman" w:hAnsi="Times New Roman" w:cs="Times New Roman"/>
                <w:sz w:val="24"/>
                <w:highlight w:val="none"/>
              </w:rPr>
              <w:t>)等有关规定，</w:t>
            </w:r>
            <w:r>
              <w:rPr>
                <w:rFonts w:hint="eastAsia" w:ascii="Times New Roman" w:hAnsi="Times New Roman" w:cs="Times New Roman"/>
                <w:sz w:val="24"/>
                <w:highlight w:val="none"/>
                <w:lang w:val="en-US" w:eastAsia="zh-CN"/>
              </w:rPr>
              <w:t>本</w:t>
            </w:r>
            <w:r>
              <w:rPr>
                <w:rFonts w:hint="eastAsia" w:ascii="Times New Roman" w:hAnsi="Times New Roman" w:cs="Times New Roman"/>
                <w:sz w:val="24"/>
                <w:highlight w:val="none"/>
              </w:rPr>
              <w:t>项目</w:t>
            </w:r>
            <w:r>
              <w:rPr>
                <w:rFonts w:hint="eastAsia"/>
                <w:sz w:val="24"/>
                <w:highlight w:val="none"/>
                <w:lang w:eastAsia="zh-CN"/>
              </w:rPr>
              <w:t>为废弃矿山生态修复治理工程，</w:t>
            </w:r>
            <w:r>
              <w:rPr>
                <w:rFonts w:hint="eastAsia" w:ascii="Times New Roman" w:hAnsi="Times New Roman" w:cs="Times New Roman"/>
                <w:sz w:val="24"/>
                <w:highlight w:val="none"/>
              </w:rPr>
              <w:t>属于</w:t>
            </w:r>
            <w:r>
              <w:rPr>
                <w:rFonts w:hint="eastAsia"/>
                <w:sz w:val="24"/>
                <w:highlight w:val="none"/>
              </w:rPr>
              <w:t>“</w:t>
            </w:r>
            <w:r>
              <w:rPr>
                <w:rFonts w:hint="eastAsia"/>
                <w:sz w:val="24"/>
                <w:highlight w:val="none"/>
                <w:lang w:eastAsia="zh-CN"/>
              </w:rPr>
              <w:t>八</w:t>
            </w:r>
            <w:r>
              <w:rPr>
                <w:rFonts w:hint="eastAsia"/>
                <w:sz w:val="24"/>
                <w:highlight w:val="none"/>
              </w:rPr>
              <w:t>、</w:t>
            </w:r>
            <w:r>
              <w:rPr>
                <w:rFonts w:hint="eastAsia"/>
                <w:sz w:val="24"/>
                <w:highlight w:val="none"/>
                <w:lang w:eastAsia="zh-CN"/>
              </w:rPr>
              <w:t>非金属矿采选业</w:t>
            </w:r>
            <w:r>
              <w:rPr>
                <w:rFonts w:hint="eastAsia"/>
                <w:sz w:val="24"/>
                <w:highlight w:val="none"/>
              </w:rPr>
              <w:t>”</w:t>
            </w:r>
            <w:r>
              <w:rPr>
                <w:rFonts w:hint="eastAsia" w:ascii="Times New Roman" w:hAnsi="Times New Roman" w:cs="Times New Roman"/>
                <w:sz w:val="24"/>
                <w:highlight w:val="none"/>
              </w:rPr>
              <w:t>“1</w:t>
            </w:r>
            <w:r>
              <w:rPr>
                <w:rFonts w:hint="eastAsia" w:cs="Times New Roman"/>
                <w:sz w:val="24"/>
                <w:highlight w:val="none"/>
                <w:lang w:val="en-US" w:eastAsia="zh-CN"/>
              </w:rPr>
              <w:t>1</w:t>
            </w:r>
            <w:r>
              <w:rPr>
                <w:rFonts w:hint="eastAsia" w:ascii="Times New Roman" w:hAnsi="Times New Roman" w:cs="Times New Roman"/>
                <w:sz w:val="24"/>
                <w:highlight w:val="none"/>
              </w:rPr>
              <w:t>、</w:t>
            </w:r>
            <w:r>
              <w:rPr>
                <w:rFonts w:hint="eastAsia" w:cs="Times New Roman"/>
                <w:sz w:val="24"/>
                <w:highlight w:val="none"/>
                <w:lang w:eastAsia="zh-CN"/>
              </w:rPr>
              <w:t>土砂石开采</w:t>
            </w:r>
            <w:r>
              <w:rPr>
                <w:rFonts w:hint="eastAsia" w:cs="Times New Roman"/>
                <w:sz w:val="24"/>
                <w:highlight w:val="none"/>
                <w:lang w:val="en-US" w:eastAsia="zh-CN"/>
              </w:rPr>
              <w:t>101（不含河道采砂项目）</w:t>
            </w:r>
            <w:r>
              <w:rPr>
                <w:rFonts w:hint="eastAsia" w:ascii="Times New Roman" w:hAnsi="Times New Roman" w:cs="Times New Roman"/>
                <w:sz w:val="24"/>
                <w:highlight w:val="none"/>
              </w:rPr>
              <w:t>”</w:t>
            </w:r>
            <w:r>
              <w:rPr>
                <w:rFonts w:hint="eastAsia"/>
                <w:highlight w:val="none"/>
                <w:lang w:val="en-US" w:eastAsia="zh-CN"/>
              </w:rPr>
              <w:t>中的其他类</w:t>
            </w:r>
            <w:r>
              <w:rPr>
                <w:rFonts w:hint="eastAsia" w:ascii="Times New Roman" w:hAnsi="Times New Roman" w:eastAsia="宋体" w:cs="Times New Roman"/>
                <w:sz w:val="24"/>
                <w:highlight w:val="none"/>
              </w:rPr>
              <w:t>，环评类别为编制报告表</w:t>
            </w:r>
            <w:r>
              <w:rPr>
                <w:rFonts w:hint="eastAsia" w:ascii="Times New Roman" w:hAnsi="Times New Roman" w:cs="Times New Roman"/>
                <w:sz w:val="24"/>
                <w:highlight w:val="none"/>
              </w:rPr>
              <w:t>。</w:t>
            </w:r>
          </w:p>
          <w:p>
            <w:pPr>
              <w:adjustRightInd w:val="0"/>
              <w:snapToGrid w:val="0"/>
              <w:spacing w:line="360" w:lineRule="auto"/>
              <w:ind w:firstLine="480" w:firstLineChars="200"/>
              <w:jc w:val="center"/>
              <w:rPr>
                <w:rFonts w:eastAsia="黑体"/>
                <w:sz w:val="24"/>
              </w:rPr>
            </w:pPr>
          </w:p>
          <w:p>
            <w:pPr>
              <w:adjustRightInd w:val="0"/>
              <w:snapToGrid w:val="0"/>
              <w:spacing w:line="360" w:lineRule="auto"/>
              <w:ind w:firstLine="480" w:firstLineChars="200"/>
              <w:jc w:val="center"/>
              <w:rPr>
                <w:rFonts w:eastAsia="黑体"/>
                <w:sz w:val="24"/>
              </w:rPr>
            </w:pPr>
          </w:p>
          <w:p>
            <w:pPr>
              <w:adjustRightInd w:val="0"/>
              <w:snapToGrid w:val="0"/>
              <w:spacing w:line="360" w:lineRule="auto"/>
              <w:ind w:firstLine="480" w:firstLineChars="200"/>
              <w:jc w:val="center"/>
              <w:rPr>
                <w:rFonts w:eastAsia="黑体"/>
                <w:sz w:val="24"/>
              </w:rPr>
            </w:pPr>
          </w:p>
          <w:p>
            <w:pPr>
              <w:adjustRightInd w:val="0"/>
              <w:snapToGrid w:val="0"/>
              <w:spacing w:line="360" w:lineRule="auto"/>
              <w:ind w:firstLine="480" w:firstLineChars="200"/>
              <w:jc w:val="center"/>
              <w:rPr>
                <w:rFonts w:eastAsia="黑体"/>
                <w:sz w:val="24"/>
              </w:rPr>
            </w:pPr>
          </w:p>
          <w:p>
            <w:pPr>
              <w:adjustRightInd w:val="0"/>
              <w:snapToGrid w:val="0"/>
              <w:spacing w:line="360" w:lineRule="auto"/>
              <w:ind w:firstLine="480" w:firstLineChars="200"/>
              <w:jc w:val="center"/>
              <w:rPr>
                <w:rFonts w:eastAsia="黑体"/>
                <w:sz w:val="24"/>
              </w:rPr>
            </w:pPr>
            <w:r>
              <w:rPr>
                <w:rFonts w:eastAsia="黑体"/>
                <w:sz w:val="24"/>
              </w:rPr>
              <w:t>表1-1    建设项目环境影响评价类别</w:t>
            </w:r>
          </w:p>
          <w:tbl>
            <w:tblPr>
              <w:tblStyle w:val="19"/>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18"/>
              <w:gridCol w:w="1771"/>
              <w:gridCol w:w="1322"/>
              <w:gridCol w:w="1378"/>
              <w:gridCol w:w="327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0" w:hRule="atLeast"/>
                <w:jc w:val="center"/>
              </w:trPr>
              <w:tc>
                <w:tcPr>
                  <w:tcW w:w="727" w:type="pct"/>
                  <w:vMerge w:val="restart"/>
                  <w:tcBorders>
                    <w:tl2br w:val="nil"/>
                    <w:tr2bl w:val="nil"/>
                  </w:tcBorders>
                  <w:vAlign w:val="center"/>
                </w:tcPr>
                <w:p>
                  <w:pPr>
                    <w:adjustRightInd w:val="0"/>
                    <w:snapToGrid w:val="0"/>
                    <w:spacing w:line="0" w:lineRule="atLeast"/>
                    <w:jc w:val="center"/>
                    <w:rPr>
                      <w:b/>
                      <w:bCs/>
                      <w:szCs w:val="21"/>
                    </w:rPr>
                  </w:pPr>
                  <w:r>
                    <w:rPr>
                      <w:rFonts w:hint="eastAsia"/>
                      <w:b/>
                      <w:bCs/>
                      <w:szCs w:val="21"/>
                    </w:rPr>
                    <w:t>行业类别</w:t>
                  </w:r>
                </w:p>
              </w:tc>
              <w:tc>
                <w:tcPr>
                  <w:tcW w:w="2466" w:type="pct"/>
                  <w:gridSpan w:val="3"/>
                  <w:tcBorders>
                    <w:tl2br w:val="nil"/>
                    <w:tr2bl w:val="nil"/>
                  </w:tcBorders>
                  <w:vAlign w:val="center"/>
                </w:tcPr>
                <w:p>
                  <w:pPr>
                    <w:adjustRightInd w:val="0"/>
                    <w:snapToGrid w:val="0"/>
                    <w:spacing w:line="0" w:lineRule="atLeast"/>
                    <w:jc w:val="center"/>
                    <w:rPr>
                      <w:b/>
                      <w:bCs/>
                      <w:szCs w:val="21"/>
                    </w:rPr>
                  </w:pPr>
                  <w:r>
                    <w:rPr>
                      <w:rFonts w:hint="eastAsia"/>
                      <w:b/>
                      <w:bCs/>
                      <w:szCs w:val="21"/>
                    </w:rPr>
                    <w:t>环评类别</w:t>
                  </w:r>
                </w:p>
              </w:tc>
              <w:tc>
                <w:tcPr>
                  <w:tcW w:w="1805" w:type="pct"/>
                  <w:vMerge w:val="restart"/>
                  <w:tcBorders>
                    <w:tl2br w:val="nil"/>
                    <w:tr2bl w:val="nil"/>
                  </w:tcBorders>
                  <w:vAlign w:val="center"/>
                </w:tcPr>
                <w:p>
                  <w:pPr>
                    <w:adjustRightInd w:val="0"/>
                    <w:snapToGrid w:val="0"/>
                    <w:spacing w:line="0" w:lineRule="atLeast"/>
                    <w:jc w:val="center"/>
                    <w:rPr>
                      <w:b/>
                      <w:bCs/>
                      <w:szCs w:val="21"/>
                    </w:rPr>
                  </w:pPr>
                  <w:r>
                    <w:rPr>
                      <w:rFonts w:hint="eastAsia"/>
                      <w:b/>
                      <w:bCs/>
                      <w:szCs w:val="21"/>
                    </w:rPr>
                    <w:t>本栏目环境敏感区含义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727" w:type="pct"/>
                  <w:vMerge w:val="continue"/>
                  <w:tcBorders>
                    <w:tl2br w:val="nil"/>
                    <w:tr2bl w:val="nil"/>
                  </w:tcBorders>
                  <w:vAlign w:val="center"/>
                </w:tcPr>
                <w:p>
                  <w:pPr>
                    <w:adjustRightInd w:val="0"/>
                    <w:snapToGrid w:val="0"/>
                    <w:spacing w:line="0" w:lineRule="atLeast"/>
                    <w:jc w:val="center"/>
                    <w:rPr>
                      <w:b/>
                      <w:bCs/>
                      <w:szCs w:val="21"/>
                      <w:highlight w:val="none"/>
                    </w:rPr>
                  </w:pPr>
                </w:p>
              </w:tc>
              <w:tc>
                <w:tcPr>
                  <w:tcW w:w="977" w:type="pct"/>
                  <w:tcBorders>
                    <w:tl2br w:val="nil"/>
                    <w:tr2bl w:val="nil"/>
                  </w:tcBorders>
                  <w:vAlign w:val="center"/>
                </w:tcPr>
                <w:p>
                  <w:pPr>
                    <w:adjustRightInd w:val="0"/>
                    <w:snapToGrid w:val="0"/>
                    <w:spacing w:line="0" w:lineRule="atLeast"/>
                    <w:jc w:val="center"/>
                    <w:rPr>
                      <w:b/>
                      <w:bCs/>
                      <w:szCs w:val="21"/>
                      <w:highlight w:val="none"/>
                    </w:rPr>
                  </w:pPr>
                  <w:r>
                    <w:rPr>
                      <w:rFonts w:hint="eastAsia"/>
                      <w:b/>
                      <w:bCs/>
                      <w:szCs w:val="21"/>
                      <w:highlight w:val="none"/>
                    </w:rPr>
                    <w:t>报告书</w:t>
                  </w:r>
                </w:p>
              </w:tc>
              <w:tc>
                <w:tcPr>
                  <w:tcW w:w="729" w:type="pct"/>
                  <w:tcBorders>
                    <w:tl2br w:val="nil"/>
                    <w:tr2bl w:val="nil"/>
                  </w:tcBorders>
                  <w:vAlign w:val="center"/>
                </w:tcPr>
                <w:p>
                  <w:pPr>
                    <w:adjustRightInd w:val="0"/>
                    <w:snapToGrid w:val="0"/>
                    <w:spacing w:line="0" w:lineRule="atLeast"/>
                    <w:jc w:val="center"/>
                    <w:rPr>
                      <w:b/>
                      <w:bCs/>
                      <w:szCs w:val="21"/>
                      <w:highlight w:val="none"/>
                    </w:rPr>
                  </w:pPr>
                  <w:r>
                    <w:rPr>
                      <w:rFonts w:hint="eastAsia"/>
                      <w:b/>
                      <w:bCs/>
                      <w:szCs w:val="21"/>
                      <w:highlight w:val="none"/>
                    </w:rPr>
                    <w:t>报告表</w:t>
                  </w:r>
                </w:p>
              </w:tc>
              <w:tc>
                <w:tcPr>
                  <w:tcW w:w="759" w:type="pct"/>
                  <w:tcBorders>
                    <w:tl2br w:val="nil"/>
                    <w:tr2bl w:val="nil"/>
                  </w:tcBorders>
                  <w:vAlign w:val="center"/>
                </w:tcPr>
                <w:p>
                  <w:pPr>
                    <w:adjustRightInd w:val="0"/>
                    <w:snapToGrid w:val="0"/>
                    <w:spacing w:line="0" w:lineRule="atLeast"/>
                    <w:jc w:val="center"/>
                    <w:rPr>
                      <w:b/>
                      <w:bCs/>
                      <w:szCs w:val="21"/>
                      <w:highlight w:val="none"/>
                    </w:rPr>
                  </w:pPr>
                  <w:r>
                    <w:rPr>
                      <w:rFonts w:hint="eastAsia"/>
                      <w:b/>
                      <w:bCs/>
                      <w:szCs w:val="21"/>
                      <w:highlight w:val="none"/>
                    </w:rPr>
                    <w:t>登记表</w:t>
                  </w:r>
                </w:p>
              </w:tc>
              <w:tc>
                <w:tcPr>
                  <w:tcW w:w="1805" w:type="pct"/>
                  <w:vMerge w:val="continue"/>
                  <w:tcBorders>
                    <w:tl2br w:val="nil"/>
                    <w:tr2bl w:val="nil"/>
                  </w:tcBorders>
                  <w:vAlign w:val="center"/>
                </w:tcPr>
                <w:p>
                  <w:pPr>
                    <w:adjustRightInd w:val="0"/>
                    <w:snapToGrid w:val="0"/>
                    <w:spacing w:line="0" w:lineRule="atLeast"/>
                    <w:jc w:val="center"/>
                    <w:rPr>
                      <w:b/>
                      <w:bCs/>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5000" w:type="pct"/>
                  <w:gridSpan w:val="5"/>
                  <w:tcBorders>
                    <w:tl2br w:val="nil"/>
                    <w:tr2bl w:val="nil"/>
                  </w:tcBorders>
                  <w:vAlign w:val="center"/>
                </w:tcPr>
                <w:p>
                  <w:pPr>
                    <w:adjustRightInd w:val="0"/>
                    <w:snapToGrid w:val="0"/>
                    <w:spacing w:line="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八、非金属矿采选业</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727" w:type="pct"/>
                  <w:tcBorders>
                    <w:tl2br w:val="nil"/>
                    <w:tr2bl w:val="nil"/>
                  </w:tcBorders>
                  <w:vAlign w:val="center"/>
                </w:tcPr>
                <w:p>
                  <w:pPr>
                    <w:adjustRightInd w:val="0"/>
                    <w:snapToGrid w:val="0"/>
                    <w:spacing w:line="0" w:lineRule="atLeast"/>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土砂石开采101（不含河道采砂项目）</w:t>
                  </w:r>
                </w:p>
              </w:tc>
              <w:tc>
                <w:tcPr>
                  <w:tcW w:w="977" w:type="pct"/>
                  <w:tcBorders>
                    <w:tl2br w:val="nil"/>
                    <w:tr2bl w:val="nil"/>
                  </w:tcBorders>
                  <w:vAlign w:val="center"/>
                </w:tcPr>
                <w:p>
                  <w:pPr>
                    <w:adjustRightInd w:val="0"/>
                    <w:snapToGrid w:val="0"/>
                    <w:spacing w:line="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涉及环境敏感区的 （不含单独的矿石破碎、集运；不含矿区修复治理工程）</w:t>
                  </w:r>
                </w:p>
              </w:tc>
              <w:tc>
                <w:tcPr>
                  <w:tcW w:w="729" w:type="pct"/>
                  <w:tcBorders>
                    <w:tl2br w:val="nil"/>
                    <w:tr2bl w:val="nil"/>
                  </w:tcBorders>
                  <w:vAlign w:val="center"/>
                </w:tcPr>
                <w:p>
                  <w:pPr>
                    <w:adjustRightInd w:val="0"/>
                    <w:snapToGrid w:val="0"/>
                    <w:spacing w:line="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其他</w:t>
                  </w:r>
                </w:p>
              </w:tc>
              <w:tc>
                <w:tcPr>
                  <w:tcW w:w="759" w:type="pct"/>
                  <w:tcBorders>
                    <w:tl2br w:val="nil"/>
                    <w:tr2bl w:val="nil"/>
                  </w:tcBorders>
                  <w:vAlign w:val="center"/>
                </w:tcPr>
                <w:p>
                  <w:pPr>
                    <w:adjustRightInd w:val="0"/>
                    <w:snapToGrid w:val="0"/>
                    <w:spacing w:line="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805" w:type="pct"/>
                  <w:tcBorders>
                    <w:tl2br w:val="nil"/>
                    <w:tr2bl w:val="nil"/>
                  </w:tcBorders>
                  <w:vAlign w:val="center"/>
                </w:tcPr>
                <w:p>
                  <w:pPr>
                    <w:adjustRightInd w:val="0"/>
                    <w:snapToGrid w:val="0"/>
                    <w:spacing w:line="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第三条(一)中的全部区域;第三条(二)中的除(一)外的生态保护红线管控范围，基本草原，重要水生生物的自然产卵场、索饵场、越冬场和洄游通道，沙化土地封禁保护区</w:t>
                  </w:r>
                </w:p>
              </w:tc>
            </w:tr>
          </w:tbl>
          <w:p>
            <w:pPr>
              <w:adjustRightInd w:val="0"/>
              <w:snapToGrid w:val="0"/>
              <w:spacing w:line="360" w:lineRule="auto"/>
              <w:ind w:firstLine="480" w:firstLineChars="200"/>
              <w:rPr>
                <w:sz w:val="24"/>
              </w:rPr>
            </w:pPr>
            <w:r>
              <w:rPr>
                <w:rFonts w:hint="eastAsia"/>
                <w:sz w:val="24"/>
              </w:rPr>
              <w:t>因此，科学客观地评价项目建成后对周围环境造成的影响，吴忠市红寺堡区</w:t>
            </w:r>
            <w:r>
              <w:rPr>
                <w:rFonts w:hint="eastAsia"/>
                <w:sz w:val="24"/>
                <w:lang w:eastAsia="zh-CN"/>
              </w:rPr>
              <w:t>自然资源局</w:t>
            </w:r>
            <w:r>
              <w:rPr>
                <w:rFonts w:hint="eastAsia"/>
                <w:sz w:val="24"/>
              </w:rPr>
              <w:t>于</w:t>
            </w:r>
            <w:r>
              <w:rPr>
                <w:rFonts w:hint="eastAsia"/>
                <w:sz w:val="24"/>
                <w:highlight w:val="none"/>
              </w:rPr>
              <w:t>20</w:t>
            </w:r>
            <w:r>
              <w:rPr>
                <w:sz w:val="24"/>
                <w:highlight w:val="none"/>
              </w:rPr>
              <w:t>2</w:t>
            </w:r>
            <w:r>
              <w:rPr>
                <w:rFonts w:hint="eastAsia"/>
                <w:sz w:val="24"/>
                <w:highlight w:val="none"/>
                <w:lang w:val="en-US" w:eastAsia="zh-CN"/>
              </w:rPr>
              <w:t>1</w:t>
            </w:r>
            <w:r>
              <w:rPr>
                <w:rFonts w:hint="eastAsia"/>
                <w:sz w:val="24"/>
                <w:highlight w:val="none"/>
              </w:rPr>
              <w:t>年1月1</w:t>
            </w:r>
            <w:r>
              <w:rPr>
                <w:rFonts w:hint="eastAsia"/>
                <w:sz w:val="24"/>
                <w:highlight w:val="none"/>
                <w:lang w:val="en-US" w:eastAsia="zh-CN"/>
              </w:rPr>
              <w:t>8</w:t>
            </w:r>
            <w:r>
              <w:rPr>
                <w:rFonts w:hint="eastAsia"/>
                <w:sz w:val="24"/>
                <w:highlight w:val="none"/>
              </w:rPr>
              <w:t>日</w:t>
            </w:r>
            <w:r>
              <w:rPr>
                <w:rFonts w:hint="eastAsia"/>
                <w:sz w:val="24"/>
              </w:rPr>
              <w:t>委托宁夏</w:t>
            </w:r>
            <w:r>
              <w:rPr>
                <w:rFonts w:hint="eastAsia"/>
                <w:sz w:val="24"/>
                <w:lang w:eastAsia="zh-CN"/>
              </w:rPr>
              <w:t>中环国安咨询</w:t>
            </w:r>
            <w:r>
              <w:rPr>
                <w:rFonts w:hint="eastAsia"/>
                <w:sz w:val="24"/>
              </w:rPr>
              <w:t>有限公司承担该项目的环境影响评价工作，本次环境影响评价工作过程如下：</w:t>
            </w:r>
          </w:p>
          <w:p>
            <w:pPr>
              <w:adjustRightInd w:val="0"/>
              <w:snapToGrid w:val="0"/>
              <w:spacing w:line="360" w:lineRule="auto"/>
              <w:ind w:firstLine="480" w:firstLineChars="200"/>
              <w:rPr>
                <w:sz w:val="24"/>
              </w:rPr>
            </w:pPr>
            <w:r>
              <w:rPr>
                <w:sz w:val="24"/>
              </w:rPr>
              <w:t>第一阶段——委托</w:t>
            </w:r>
            <w:r>
              <w:rPr>
                <w:rFonts w:hint="eastAsia"/>
                <w:sz w:val="24"/>
              </w:rPr>
              <w:t>宁夏</w:t>
            </w:r>
            <w:r>
              <w:rPr>
                <w:rFonts w:hint="eastAsia"/>
                <w:sz w:val="24"/>
                <w:lang w:eastAsia="zh-CN"/>
              </w:rPr>
              <w:t>中环国安咨询</w:t>
            </w:r>
            <w:r>
              <w:rPr>
                <w:rFonts w:hint="eastAsia"/>
                <w:sz w:val="24"/>
              </w:rPr>
              <w:t>有限公司</w:t>
            </w:r>
            <w:r>
              <w:rPr>
                <w:sz w:val="24"/>
              </w:rPr>
              <w:t>开展环境评价工作，我公司接受委托后</w:t>
            </w:r>
            <w:r>
              <w:rPr>
                <w:rFonts w:hint="eastAsia"/>
                <w:sz w:val="24"/>
              </w:rPr>
              <w:t>立即组成项目组</w:t>
            </w:r>
            <w:r>
              <w:rPr>
                <w:sz w:val="24"/>
              </w:rPr>
              <w:t>，认真分析了工程技术资料后，确定了工作方案；</w:t>
            </w:r>
          </w:p>
          <w:p>
            <w:pPr>
              <w:adjustRightInd w:val="0"/>
              <w:snapToGrid w:val="0"/>
              <w:spacing w:line="360" w:lineRule="auto"/>
              <w:ind w:firstLine="480" w:firstLineChars="200"/>
              <w:rPr>
                <w:sz w:val="24"/>
              </w:rPr>
            </w:pPr>
            <w:r>
              <w:rPr>
                <w:sz w:val="24"/>
              </w:rPr>
              <w:t>第二阶段——我公司技术人员对项目所在地进行了初步踏勘，对项目所在区域的环境现状和环境保护目标进行了初步调查，初步识别了项目周边环境敏感区，收集了有关敏感区的资料；</w:t>
            </w:r>
          </w:p>
          <w:p>
            <w:pPr>
              <w:adjustRightInd w:val="0"/>
              <w:snapToGrid w:val="0"/>
              <w:spacing w:line="360" w:lineRule="auto"/>
              <w:ind w:firstLine="480" w:firstLineChars="200"/>
              <w:rPr>
                <w:sz w:val="24"/>
              </w:rPr>
            </w:pPr>
            <w:r>
              <w:rPr>
                <w:sz w:val="24"/>
              </w:rPr>
              <w:t>第三阶段——</w:t>
            </w:r>
            <w:r>
              <w:rPr>
                <w:rFonts w:hint="eastAsia"/>
                <w:sz w:val="24"/>
              </w:rPr>
              <w:t>我公司</w:t>
            </w:r>
            <w:r>
              <w:rPr>
                <w:rFonts w:hint="eastAsia"/>
                <w:sz w:val="24"/>
                <w:highlight w:val="none"/>
              </w:rPr>
              <w:t>于20</w:t>
            </w:r>
            <w:r>
              <w:rPr>
                <w:sz w:val="24"/>
                <w:highlight w:val="none"/>
              </w:rPr>
              <w:t>2</w:t>
            </w:r>
            <w:r>
              <w:rPr>
                <w:rFonts w:hint="eastAsia"/>
                <w:sz w:val="24"/>
                <w:highlight w:val="none"/>
                <w:lang w:val="en-US" w:eastAsia="zh-CN"/>
              </w:rPr>
              <w:t>1</w:t>
            </w:r>
            <w:r>
              <w:rPr>
                <w:rFonts w:hint="eastAsia"/>
                <w:sz w:val="24"/>
                <w:highlight w:val="none"/>
              </w:rPr>
              <w:t>年</w:t>
            </w:r>
            <w:r>
              <w:rPr>
                <w:rFonts w:hint="eastAsia"/>
                <w:sz w:val="24"/>
                <w:highlight w:val="none"/>
                <w:lang w:val="en-US" w:eastAsia="zh-CN"/>
              </w:rPr>
              <w:t>2</w:t>
            </w:r>
            <w:r>
              <w:rPr>
                <w:rFonts w:hint="eastAsia"/>
                <w:sz w:val="24"/>
                <w:highlight w:val="none"/>
              </w:rPr>
              <w:t>月</w:t>
            </w:r>
            <w:r>
              <w:rPr>
                <w:rFonts w:hint="eastAsia"/>
                <w:sz w:val="24"/>
                <w:highlight w:val="none"/>
                <w:lang w:val="en-US" w:eastAsia="zh-CN"/>
              </w:rPr>
              <w:t>26</w:t>
            </w:r>
            <w:r>
              <w:rPr>
                <w:rFonts w:hint="eastAsia"/>
                <w:sz w:val="24"/>
                <w:highlight w:val="none"/>
              </w:rPr>
              <w:t>日~20</w:t>
            </w:r>
            <w:r>
              <w:rPr>
                <w:sz w:val="24"/>
                <w:highlight w:val="none"/>
              </w:rPr>
              <w:t>2</w:t>
            </w:r>
            <w:r>
              <w:rPr>
                <w:rFonts w:hint="eastAsia"/>
                <w:sz w:val="24"/>
                <w:highlight w:val="none"/>
                <w:lang w:val="en-US" w:eastAsia="zh-CN"/>
              </w:rPr>
              <w:t>1</w:t>
            </w:r>
            <w:r>
              <w:rPr>
                <w:rFonts w:hint="eastAsia"/>
                <w:sz w:val="24"/>
                <w:highlight w:val="none"/>
              </w:rPr>
              <w:t>年</w:t>
            </w:r>
            <w:r>
              <w:rPr>
                <w:rFonts w:hint="eastAsia"/>
                <w:sz w:val="24"/>
                <w:highlight w:val="none"/>
                <w:lang w:val="en-US" w:eastAsia="zh-CN"/>
              </w:rPr>
              <w:t>3</w:t>
            </w:r>
            <w:r>
              <w:rPr>
                <w:rFonts w:hint="eastAsia"/>
                <w:sz w:val="24"/>
                <w:highlight w:val="none"/>
              </w:rPr>
              <w:t>月</w:t>
            </w:r>
            <w:r>
              <w:rPr>
                <w:rFonts w:hint="eastAsia"/>
                <w:sz w:val="24"/>
                <w:highlight w:val="none"/>
                <w:lang w:val="en-US" w:eastAsia="zh-CN"/>
              </w:rPr>
              <w:t>4</w:t>
            </w:r>
            <w:r>
              <w:rPr>
                <w:rFonts w:hint="eastAsia"/>
                <w:sz w:val="24"/>
                <w:highlight w:val="none"/>
              </w:rPr>
              <w:t>日</w:t>
            </w:r>
            <w:r>
              <w:rPr>
                <w:rFonts w:hint="eastAsia"/>
                <w:sz w:val="24"/>
              </w:rPr>
              <w:t>对项目评价区进行了声环境质量现状监测。</w:t>
            </w:r>
          </w:p>
          <w:p>
            <w:pPr>
              <w:adjustRightInd w:val="0"/>
              <w:snapToGrid w:val="0"/>
              <w:spacing w:line="360" w:lineRule="auto"/>
              <w:ind w:firstLine="480" w:firstLineChars="200"/>
              <w:rPr>
                <w:rFonts w:hint="default" w:ascii="Times New Roman" w:hAnsi="Times New Roman" w:cs="Times New Roman"/>
                <w:b/>
                <w:bCs/>
                <w:sz w:val="24"/>
                <w:highlight w:val="none"/>
                <w:lang w:val="en-US" w:eastAsia="zh-CN"/>
              </w:rPr>
            </w:pPr>
            <w:r>
              <w:rPr>
                <w:sz w:val="24"/>
              </w:rPr>
              <w:t>第四阶段——结合项目工程特点和项目所在地的环境特征，</w:t>
            </w:r>
            <w:r>
              <w:rPr>
                <w:rFonts w:hint="eastAsia"/>
                <w:sz w:val="24"/>
              </w:rPr>
              <w:t>我公司</w:t>
            </w:r>
            <w:r>
              <w:rPr>
                <w:sz w:val="24"/>
              </w:rPr>
              <w:t>按环境影响评价技术导则的要求</w:t>
            </w:r>
            <w:r>
              <w:rPr>
                <w:rFonts w:hint="eastAsia"/>
                <w:sz w:val="24"/>
              </w:rPr>
              <w:t>，</w:t>
            </w:r>
            <w:r>
              <w:rPr>
                <w:sz w:val="24"/>
              </w:rPr>
              <w:t>最终编制完成《</w:t>
            </w:r>
            <w:r>
              <w:rPr>
                <w:rFonts w:hint="eastAsia"/>
                <w:sz w:val="24"/>
              </w:rPr>
              <w:t>红寺堡区历史遗留</w:t>
            </w:r>
            <w:r>
              <w:rPr>
                <w:rFonts w:hint="eastAsia"/>
                <w:sz w:val="24"/>
                <w:lang w:eastAsia="zh-CN"/>
              </w:rPr>
              <w:t>废弃</w:t>
            </w:r>
            <w:r>
              <w:rPr>
                <w:rFonts w:hint="eastAsia"/>
                <w:sz w:val="24"/>
              </w:rPr>
              <w:t>矿山</w:t>
            </w:r>
            <w:r>
              <w:rPr>
                <w:rFonts w:hint="eastAsia"/>
                <w:sz w:val="24"/>
                <w:lang w:eastAsia="zh-CN"/>
              </w:rPr>
              <w:t>生态修复</w:t>
            </w:r>
            <w:r>
              <w:rPr>
                <w:rFonts w:hint="eastAsia"/>
                <w:sz w:val="24"/>
              </w:rPr>
              <w:t>治理项目</w:t>
            </w:r>
            <w:r>
              <w:rPr>
                <w:sz w:val="24"/>
              </w:rPr>
              <w:t>环境影响报告</w:t>
            </w:r>
            <w:r>
              <w:rPr>
                <w:rFonts w:hint="eastAsia"/>
                <w:sz w:val="24"/>
              </w:rPr>
              <w:t>表</w:t>
            </w:r>
            <w:r>
              <w:rPr>
                <w:sz w:val="24"/>
              </w:rPr>
              <w:t>》</w:t>
            </w:r>
            <w:r>
              <w:rPr>
                <w:rFonts w:hint="eastAsia"/>
                <w:sz w:val="24"/>
              </w:rPr>
              <w:t>，</w:t>
            </w:r>
            <w:r>
              <w:rPr>
                <w:sz w:val="24"/>
              </w:rPr>
              <w:t>由建设单位报</w:t>
            </w:r>
            <w:r>
              <w:rPr>
                <w:rFonts w:hint="eastAsia"/>
                <w:sz w:val="24"/>
              </w:rPr>
              <w:t>生态</w:t>
            </w:r>
            <w:r>
              <w:rPr>
                <w:sz w:val="24"/>
              </w:rPr>
              <w:t>环境行政主管部门审批。</w:t>
            </w:r>
          </w:p>
          <w:p>
            <w:pPr>
              <w:adjustRightInd w:val="0"/>
              <w:snapToGrid w:val="0"/>
              <w:spacing w:line="360" w:lineRule="auto"/>
              <w:rPr>
                <w:rFonts w:hint="eastAsia" w:eastAsia="黑体"/>
                <w:sz w:val="24"/>
              </w:rPr>
            </w:pPr>
            <w:r>
              <w:rPr>
                <w:rFonts w:hint="eastAsia" w:ascii="Times New Roman" w:hAnsi="Times New Roman" w:eastAsia="黑体" w:cs="Times New Roman"/>
                <w:sz w:val="24"/>
                <w:lang w:val="en-US" w:eastAsia="zh-CN"/>
              </w:rPr>
              <w:t>1.4</w:t>
            </w:r>
            <w:r>
              <w:rPr>
                <w:rFonts w:hint="default" w:ascii="Times New Roman" w:hAnsi="Times New Roman" w:eastAsia="黑体" w:cs="Times New Roman"/>
                <w:sz w:val="24"/>
              </w:rPr>
              <w:t>、</w:t>
            </w:r>
            <w:r>
              <w:rPr>
                <w:rFonts w:hint="eastAsia" w:eastAsia="黑体"/>
                <w:sz w:val="24"/>
              </w:rPr>
              <w:t>分析判定相关情况</w:t>
            </w:r>
          </w:p>
          <w:p>
            <w:pPr>
              <w:adjustRightInd w:val="0"/>
              <w:snapToGrid w:val="0"/>
              <w:spacing w:line="360" w:lineRule="auto"/>
              <w:rPr>
                <w:rFonts w:hint="default" w:ascii="Times New Roman" w:hAnsi="Times New Roman" w:eastAsia="黑体" w:cs="Times New Roman"/>
                <w:sz w:val="24"/>
              </w:rPr>
            </w:pPr>
            <w:r>
              <w:rPr>
                <w:rFonts w:hint="eastAsia" w:eastAsia="黑体"/>
                <w:sz w:val="24"/>
                <w:lang w:val="en-US" w:eastAsia="zh-CN"/>
              </w:rPr>
              <w:t>1.4.1</w:t>
            </w:r>
            <w:r>
              <w:rPr>
                <w:rFonts w:hint="default" w:ascii="Times New Roman" w:hAnsi="Times New Roman" w:eastAsia="黑体" w:cs="Times New Roman"/>
                <w:sz w:val="24"/>
              </w:rPr>
              <w:t>产业政策符合性分析</w:t>
            </w:r>
          </w:p>
          <w:p>
            <w:pPr>
              <w:adjustRightIn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根据中华人民共和国国家发展和改革委员会令201</w:t>
            </w:r>
            <w:r>
              <w:rPr>
                <w:rFonts w:hint="eastAsia" w:cs="Times New Roman"/>
                <w:sz w:val="24"/>
                <w:lang w:val="en-US" w:eastAsia="zh-CN"/>
              </w:rPr>
              <w:t>9</w:t>
            </w:r>
            <w:r>
              <w:rPr>
                <w:rFonts w:hint="default" w:ascii="Times New Roman" w:hAnsi="Times New Roman" w:cs="Times New Roman"/>
                <w:sz w:val="24"/>
              </w:rPr>
              <w:t>年第2</w:t>
            </w:r>
            <w:r>
              <w:rPr>
                <w:rFonts w:hint="eastAsia" w:cs="Times New Roman"/>
                <w:sz w:val="24"/>
                <w:lang w:val="en-US" w:eastAsia="zh-CN"/>
              </w:rPr>
              <w:t>9</w:t>
            </w:r>
            <w:r>
              <w:rPr>
                <w:rFonts w:hint="default" w:ascii="Times New Roman" w:hAnsi="Times New Roman" w:cs="Times New Roman"/>
                <w:sz w:val="24"/>
              </w:rPr>
              <w:t>号《产业结构调整指导目录（201</w:t>
            </w:r>
            <w:r>
              <w:rPr>
                <w:rFonts w:hint="eastAsia" w:cs="Times New Roman"/>
                <w:sz w:val="24"/>
                <w:lang w:val="en-US" w:eastAsia="zh-CN"/>
              </w:rPr>
              <w:t>9</w:t>
            </w:r>
            <w:r>
              <w:rPr>
                <w:rFonts w:hint="default" w:ascii="Times New Roman" w:hAnsi="Times New Roman" w:cs="Times New Roman"/>
                <w:sz w:val="24"/>
              </w:rPr>
              <w:t>年本）》可知，本项目属于</w:t>
            </w:r>
            <w:r>
              <w:rPr>
                <w:rFonts w:hint="eastAsia" w:cs="Times New Roman"/>
                <w:sz w:val="24"/>
                <w:lang w:val="en-US" w:eastAsia="zh-CN"/>
              </w:rPr>
              <w:t>鼓励类：四十三条，环境保护与资源节约综合利用（1、矿山生态环境恢复工程）</w:t>
            </w:r>
            <w:r>
              <w:rPr>
                <w:rFonts w:hint="default" w:ascii="Times New Roman" w:hAnsi="Times New Roman" w:cs="Times New Roman"/>
                <w:sz w:val="24"/>
              </w:rPr>
              <w:t>。</w:t>
            </w:r>
          </w:p>
          <w:p>
            <w:pPr>
              <w:adjustRightInd w:val="0"/>
              <w:spacing w:line="360" w:lineRule="auto"/>
              <w:ind w:firstLine="480" w:firstLineChars="200"/>
              <w:rPr>
                <w:rFonts w:hint="default" w:ascii="Times New Roman" w:hAnsi="Times New Roman" w:eastAsia="宋体" w:cs="Times New Roman"/>
                <w:sz w:val="24"/>
                <w:highlight w:val="none"/>
                <w:lang w:val="en-US" w:eastAsia="zh-CN"/>
              </w:rPr>
            </w:pPr>
            <w:r>
              <w:rPr>
                <w:rFonts w:hint="eastAsia" w:cs="Times New Roman"/>
                <w:sz w:val="24"/>
                <w:highlight w:val="none"/>
                <w:lang w:val="en-US" w:eastAsia="zh-CN"/>
              </w:rPr>
              <w:t>因此，</w:t>
            </w:r>
            <w:r>
              <w:rPr>
                <w:rFonts w:hint="eastAsia" w:ascii="Times New Roman" w:hAnsi="Times New Roman" w:eastAsia="宋体" w:cs="Times New Roman"/>
                <w:sz w:val="24"/>
                <w:highlight w:val="none"/>
                <w:lang w:val="en-US" w:eastAsia="zh-CN"/>
              </w:rPr>
              <w:t>本项目符合国家和地方相关产业政策。</w:t>
            </w:r>
          </w:p>
          <w:p>
            <w:pPr>
              <w:adjustRightInd w:val="0"/>
              <w:snapToGrid w:val="0"/>
              <w:spacing w:line="360" w:lineRule="auto"/>
              <w:rPr>
                <w:rFonts w:hint="eastAsia" w:ascii="Times New Roman" w:hAnsi="Times New Roman" w:eastAsia="黑体" w:cs="Times New Roman"/>
                <w:sz w:val="24"/>
                <w:highlight w:val="none"/>
                <w:lang w:val="en-US" w:eastAsia="zh-CN"/>
              </w:rPr>
            </w:pPr>
            <w:r>
              <w:rPr>
                <w:rFonts w:hint="eastAsia" w:ascii="Times New Roman" w:hAnsi="Times New Roman" w:eastAsia="黑体" w:cs="Times New Roman"/>
                <w:sz w:val="24"/>
                <w:highlight w:val="none"/>
                <w:lang w:val="en-US" w:eastAsia="zh-CN"/>
              </w:rPr>
              <w:t>1.4.2、规划符合性分析</w:t>
            </w:r>
          </w:p>
          <w:p>
            <w:pPr>
              <w:adjustRightInd w:val="0"/>
              <w:spacing w:line="360" w:lineRule="auto"/>
              <w:ind w:firstLine="480" w:firstLineChars="200"/>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根据《“十三五”生态环境保护规划》</w:t>
            </w:r>
            <w:r>
              <w:rPr>
                <w:rFonts w:hint="eastAsia" w:cs="Times New Roman"/>
                <w:sz w:val="24"/>
                <w:highlight w:val="none"/>
                <w:lang w:val="en-US" w:eastAsia="zh-CN"/>
              </w:rPr>
              <w:t>中提到“</w:t>
            </w:r>
            <w:r>
              <w:rPr>
                <w:rFonts w:hint="default" w:ascii="Times New Roman" w:hAnsi="Times New Roman" w:cs="Times New Roman"/>
                <w:sz w:val="24"/>
                <w:highlight w:val="none"/>
                <w:lang w:val="en-US" w:eastAsia="zh-CN"/>
              </w:rPr>
              <w:t>加强矿山地质环境保护与生态恢复。加大矿山植被恢复和地质环境综合治理，强化历史遗留矿山地质环境恢复和综合治理，推进工矿废弃地修复利用</w:t>
            </w:r>
            <w:r>
              <w:rPr>
                <w:rFonts w:hint="eastAsia" w:cs="Times New Roman"/>
                <w:sz w:val="24"/>
                <w:highlight w:val="none"/>
                <w:lang w:val="en-US" w:eastAsia="zh-CN"/>
              </w:rPr>
              <w:t>”，本项目主要是对</w:t>
            </w:r>
            <w:r>
              <w:rPr>
                <w:rFonts w:hint="eastAsia"/>
                <w:sz w:val="24"/>
              </w:rPr>
              <w:t>红寺堡区历史遗留</w:t>
            </w:r>
            <w:r>
              <w:rPr>
                <w:rFonts w:hint="eastAsia"/>
                <w:sz w:val="24"/>
                <w:lang w:eastAsia="zh-CN"/>
              </w:rPr>
              <w:t>废弃</w:t>
            </w:r>
            <w:r>
              <w:rPr>
                <w:rFonts w:hint="eastAsia"/>
                <w:sz w:val="24"/>
              </w:rPr>
              <w:t>矿山</w:t>
            </w:r>
            <w:r>
              <w:rPr>
                <w:rFonts w:hint="eastAsia"/>
                <w:sz w:val="24"/>
                <w:highlight w:val="none"/>
                <w:lang w:val="en-US" w:eastAsia="zh-CN"/>
              </w:rPr>
              <w:t>进行地质恢复，通过削高填低，场地平整，播种草籽等措施进行环境治理</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因此，</w:t>
            </w:r>
            <w:r>
              <w:rPr>
                <w:rFonts w:hint="default" w:ascii="Times New Roman" w:hAnsi="Times New Roman" w:cs="Times New Roman"/>
                <w:sz w:val="24"/>
                <w:highlight w:val="none"/>
                <w:lang w:val="en-US" w:eastAsia="zh-CN"/>
              </w:rPr>
              <w:t>本项目的建设与《“十三五”生态环境保护规划》是相符的。</w:t>
            </w:r>
          </w:p>
          <w:p>
            <w:pPr>
              <w:adjustRightInd w:val="0"/>
              <w:spacing w:line="360" w:lineRule="auto"/>
              <w:ind w:firstLine="480" w:firstLineChars="200"/>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rPr>
              <w:t>与</w:t>
            </w:r>
            <w:r>
              <w:rPr>
                <w:rFonts w:hint="eastAsia"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矿山生态环境保护与恢复治理技术规范(试行)</w:t>
            </w:r>
            <w:r>
              <w:rPr>
                <w:rFonts w:hint="eastAsia"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（HJ 651-2013）</w:t>
            </w:r>
            <w:r>
              <w:rPr>
                <w:rFonts w:hint="default" w:ascii="Times New Roman" w:hAnsi="Times New Roman" w:cs="Times New Roman"/>
                <w:sz w:val="24"/>
                <w:highlight w:val="none"/>
              </w:rPr>
              <w:t>符合性分析</w:t>
            </w:r>
            <w:r>
              <w:rPr>
                <w:rFonts w:hint="default" w:ascii="Times New Roman" w:hAnsi="Times New Roman" w:cs="Times New Roman"/>
                <w:sz w:val="24"/>
                <w:highlight w:val="none"/>
                <w:lang w:eastAsia="zh-CN"/>
              </w:rPr>
              <w:t>见表</w:t>
            </w:r>
            <w:r>
              <w:rPr>
                <w:rFonts w:hint="default" w:ascii="Times New Roman" w:hAnsi="Times New Roman" w:cs="Times New Roman"/>
                <w:sz w:val="24"/>
                <w:highlight w:val="none"/>
                <w:lang w:val="en-US" w:eastAsia="zh-CN"/>
              </w:rPr>
              <w:t>1-2。</w:t>
            </w:r>
          </w:p>
          <w:p>
            <w:pPr>
              <w:adjustRightInd w:val="0"/>
              <w:spacing w:line="360" w:lineRule="auto"/>
              <w:ind w:firstLine="480" w:firstLineChars="200"/>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1-2</w:t>
            </w:r>
            <w:r>
              <w:rPr>
                <w:rFonts w:hint="default" w:ascii="Times New Roman" w:hAnsi="Times New Roman" w:eastAsia="黑体" w:cs="Times New Roman"/>
                <w:color w:val="auto"/>
                <w:sz w:val="24"/>
              </w:rPr>
              <w:t xml:space="preserve">  拟建项目与</w:t>
            </w:r>
            <w:r>
              <w:rPr>
                <w:rFonts w:hint="default" w:ascii="Times New Roman" w:hAnsi="Times New Roman" w:eastAsia="黑体" w:cs="Times New Roman"/>
                <w:color w:val="auto"/>
                <w:sz w:val="24"/>
                <w:lang w:eastAsia="zh-CN"/>
              </w:rPr>
              <w:t>《</w:t>
            </w:r>
            <w:r>
              <w:rPr>
                <w:rFonts w:hint="default" w:ascii="Times New Roman" w:hAnsi="Times New Roman" w:eastAsia="黑体" w:cs="Times New Roman"/>
                <w:color w:val="auto"/>
                <w:sz w:val="24"/>
                <w:lang w:val="en-US" w:eastAsia="zh-CN"/>
              </w:rPr>
              <w:t>矿山生态环境保护与恢复治理技术规范(试行)</w:t>
            </w:r>
            <w:r>
              <w:rPr>
                <w:rFonts w:hint="default" w:ascii="Times New Roman" w:hAnsi="Times New Roman" w:eastAsia="黑体" w:cs="Times New Roman"/>
                <w:color w:val="auto"/>
                <w:sz w:val="24"/>
                <w:lang w:eastAsia="zh-CN"/>
              </w:rPr>
              <w:t>》</w:t>
            </w:r>
            <w:r>
              <w:rPr>
                <w:rFonts w:hint="default" w:ascii="Times New Roman" w:hAnsi="Times New Roman" w:eastAsia="黑体" w:cs="Times New Roman"/>
                <w:color w:val="auto"/>
                <w:sz w:val="24"/>
              </w:rPr>
              <w:t>的符合性</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3560"/>
              <w:gridCol w:w="3655"/>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tcBorders>
                    <w:tl2br w:val="nil"/>
                    <w:tr2bl w:val="nil"/>
                  </w:tcBorders>
                  <w:noWrap w:val="0"/>
                  <w:vAlign w:val="center"/>
                </w:tcPr>
                <w:p>
                  <w:pPr>
                    <w:adjustRightInd w:val="0"/>
                    <w:snapToGrid w:val="0"/>
                    <w:jc w:val="center"/>
                    <w:rPr>
                      <w:rFonts w:hint="eastAsia"/>
                      <w:color w:val="auto"/>
                    </w:rPr>
                  </w:pPr>
                  <w:r>
                    <w:rPr>
                      <w:rFonts w:hAnsi="宋体"/>
                      <w:b/>
                      <w:color w:val="auto"/>
                    </w:rPr>
                    <w:t>类别</w:t>
                  </w:r>
                </w:p>
              </w:tc>
              <w:tc>
                <w:tcPr>
                  <w:tcW w:w="3560" w:type="dxa"/>
                  <w:tcBorders>
                    <w:tl2br w:val="nil"/>
                    <w:tr2bl w:val="nil"/>
                  </w:tcBorders>
                  <w:noWrap w:val="0"/>
                  <w:vAlign w:val="center"/>
                </w:tcPr>
                <w:p>
                  <w:pPr>
                    <w:adjustRightInd w:val="0"/>
                    <w:snapToGrid w:val="0"/>
                    <w:jc w:val="center"/>
                    <w:rPr>
                      <w:rFonts w:hint="eastAsia"/>
                      <w:color w:val="auto"/>
                    </w:rPr>
                  </w:pPr>
                  <w:r>
                    <w:rPr>
                      <w:rFonts w:hAnsi="宋体"/>
                      <w:b/>
                      <w:color w:val="auto"/>
                    </w:rPr>
                    <w:t>环评意见</w:t>
                  </w:r>
                </w:p>
              </w:tc>
              <w:tc>
                <w:tcPr>
                  <w:tcW w:w="3655" w:type="dxa"/>
                  <w:tcBorders>
                    <w:tl2br w:val="nil"/>
                    <w:tr2bl w:val="nil"/>
                  </w:tcBorders>
                  <w:noWrap w:val="0"/>
                  <w:vAlign w:val="center"/>
                </w:tcPr>
                <w:p>
                  <w:pPr>
                    <w:adjustRightInd w:val="0"/>
                    <w:snapToGrid w:val="0"/>
                    <w:jc w:val="center"/>
                    <w:rPr>
                      <w:rFonts w:hint="eastAsia"/>
                      <w:color w:val="auto"/>
                    </w:rPr>
                  </w:pPr>
                  <w:r>
                    <w:rPr>
                      <w:rFonts w:hint="eastAsia" w:hAnsi="宋体"/>
                      <w:b/>
                      <w:color w:val="auto"/>
                    </w:rPr>
                    <w:t>项目情况</w:t>
                  </w:r>
                </w:p>
              </w:tc>
              <w:tc>
                <w:tcPr>
                  <w:tcW w:w="715" w:type="dxa"/>
                  <w:tcBorders>
                    <w:tl2br w:val="nil"/>
                    <w:tr2bl w:val="nil"/>
                  </w:tcBorders>
                  <w:noWrap w:val="0"/>
                  <w:vAlign w:val="center"/>
                </w:tcPr>
                <w:p>
                  <w:pPr>
                    <w:adjustRightInd w:val="0"/>
                    <w:snapToGrid w:val="0"/>
                    <w:jc w:val="center"/>
                    <w:rPr>
                      <w:rFonts w:hint="eastAsia"/>
                      <w:color w:val="auto"/>
                    </w:rPr>
                  </w:pPr>
                  <w:r>
                    <w:rPr>
                      <w:rFonts w:hint="eastAsia" w:hAnsi="宋体"/>
                      <w:b/>
                      <w:color w:val="auto"/>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tcBorders>
                    <w:tl2br w:val="nil"/>
                    <w:tr2bl w:val="nil"/>
                  </w:tcBorders>
                  <w:noWrap w:val="0"/>
                  <w:vAlign w:val="center"/>
                </w:tcPr>
                <w:p>
                  <w:pPr>
                    <w:adjustRightInd w:val="0"/>
                    <w:snapToGrid w:val="0"/>
                    <w:jc w:val="center"/>
                    <w:rPr>
                      <w:rFonts w:hint="eastAsia"/>
                      <w:color w:val="auto"/>
                    </w:rPr>
                  </w:pPr>
                  <w:r>
                    <w:rPr>
                      <w:rFonts w:hint="eastAsia" w:hAnsi="宋体"/>
                      <w:bCs/>
                      <w:color w:val="auto"/>
                    </w:rPr>
                    <w:t>场地整治与覆土</w:t>
                  </w:r>
                </w:p>
              </w:tc>
              <w:tc>
                <w:tcPr>
                  <w:tcW w:w="3560" w:type="dxa"/>
                  <w:tcBorders>
                    <w:tl2br w:val="nil"/>
                    <w:tr2bl w:val="nil"/>
                  </w:tcBorders>
                  <w:noWrap w:val="0"/>
                  <w:vAlign w:val="center"/>
                </w:tcPr>
                <w:p>
                  <w:pPr>
                    <w:pStyle w:val="14"/>
                    <w:jc w:val="center"/>
                    <w:rPr>
                      <w:rFonts w:hint="eastAsia"/>
                      <w:color w:val="auto"/>
                    </w:rPr>
                  </w:pPr>
                  <w:r>
                    <w:rPr>
                      <w:rFonts w:hint="eastAsia" w:hAnsi="宋体"/>
                      <w:bCs/>
                      <w:color w:val="auto"/>
                    </w:rPr>
                    <w:t>露天采场的场地整治和覆土方法根据场地坡度来确定。水平地和15º以下缓坡地可采用物料充填、底板耕松、挖高垫低等方法；15º以上陡坡地可采用挖穴填土、砌筑植生盆（槽）填土、喷混、阶梯整形覆土、安放植物袋、石壁挂笼填土等方法。</w:t>
                  </w:r>
                </w:p>
              </w:tc>
              <w:tc>
                <w:tcPr>
                  <w:tcW w:w="3655" w:type="dxa"/>
                  <w:tcBorders>
                    <w:tl2br w:val="nil"/>
                    <w:tr2bl w:val="nil"/>
                  </w:tcBorders>
                  <w:noWrap w:val="0"/>
                  <w:vAlign w:val="center"/>
                </w:tcPr>
                <w:p>
                  <w:pPr>
                    <w:adjustRightInd w:val="0"/>
                    <w:snapToGrid w:val="0"/>
                    <w:spacing w:line="0" w:lineRule="atLeast"/>
                    <w:ind w:firstLine="0" w:firstLineChars="0"/>
                    <w:rPr>
                      <w:rFonts w:hint="eastAsia" w:ascii="Times New Roman" w:hAnsi="Times New Roman" w:cs="Times New Roman"/>
                      <w:color w:val="auto"/>
                    </w:rPr>
                  </w:pPr>
                  <w:r>
                    <w:rPr>
                      <w:rFonts w:hint="eastAsia" w:ascii="Times New Roman" w:hAnsi="Times New Roman" w:cs="Times New Roman"/>
                      <w:color w:val="auto"/>
                      <w:sz w:val="21"/>
                      <w:lang w:val="en-US" w:eastAsia="zh-CN"/>
                    </w:rPr>
                    <w:t>本项目采用挖高填低的方法进行土地平整，以消除现存的陡坡和深坑，或依现状地势设置成台地。不同地段平整程度均不相同，挖、填方厚度在0-20米之间。土地平整后，地形与周边地形相协调，地面坡度不超过15°。</w:t>
                  </w:r>
                </w:p>
              </w:tc>
              <w:tc>
                <w:tcPr>
                  <w:tcW w:w="715" w:type="dxa"/>
                  <w:tcBorders>
                    <w:tl2br w:val="nil"/>
                    <w:tr2bl w:val="nil"/>
                  </w:tcBorders>
                  <w:noWrap w:val="0"/>
                  <w:vAlign w:val="center"/>
                </w:tcPr>
                <w:p>
                  <w:pPr>
                    <w:pStyle w:val="14"/>
                    <w:jc w:val="center"/>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1084" w:type="dxa"/>
                  <w:vMerge w:val="restart"/>
                  <w:tcBorders>
                    <w:tl2br w:val="nil"/>
                    <w:tr2bl w:val="nil"/>
                  </w:tcBorders>
                  <w:noWrap w:val="0"/>
                  <w:vAlign w:val="center"/>
                </w:tcPr>
                <w:p>
                  <w:pPr>
                    <w:adjustRightInd w:val="0"/>
                    <w:snapToGrid w:val="0"/>
                    <w:jc w:val="center"/>
                    <w:rPr>
                      <w:rFonts w:hint="eastAsia"/>
                      <w:color w:val="auto"/>
                    </w:rPr>
                  </w:pPr>
                  <w:r>
                    <w:rPr>
                      <w:rFonts w:hint="eastAsia" w:hAnsi="宋体"/>
                      <w:color w:val="auto"/>
                    </w:rPr>
                    <w:t>露天采场恢复与利用</w:t>
                  </w:r>
                </w:p>
              </w:tc>
              <w:tc>
                <w:tcPr>
                  <w:tcW w:w="3560" w:type="dxa"/>
                  <w:tcBorders>
                    <w:tl2br w:val="nil"/>
                    <w:tr2bl w:val="nil"/>
                  </w:tcBorders>
                  <w:noWrap w:val="0"/>
                  <w:vAlign w:val="center"/>
                </w:tcPr>
                <w:p>
                  <w:pPr>
                    <w:pStyle w:val="14"/>
                    <w:jc w:val="center"/>
                    <w:rPr>
                      <w:rFonts w:hint="eastAsia"/>
                      <w:color w:val="auto"/>
                    </w:rPr>
                  </w:pPr>
                  <w:r>
                    <w:rPr>
                      <w:rFonts w:hint="eastAsia"/>
                      <w:color w:val="auto"/>
                    </w:rPr>
                    <w:t>平原地区的露天采场应平整、回填后进行生态恢复，并与周边地表景观相协调，位于山区的露天采场可保持平台和边坡。</w:t>
                  </w:r>
                </w:p>
              </w:tc>
              <w:tc>
                <w:tcPr>
                  <w:tcW w:w="3655" w:type="dxa"/>
                  <w:tcBorders>
                    <w:tl2br w:val="nil"/>
                    <w:tr2bl w:val="nil"/>
                  </w:tcBorders>
                  <w:noWrap w:val="0"/>
                  <w:vAlign w:val="center"/>
                </w:tcPr>
                <w:p>
                  <w:pPr>
                    <w:pStyle w:val="14"/>
                    <w:jc w:val="center"/>
                    <w:rPr>
                      <w:rFonts w:hint="eastAsia" w:ascii="Times New Roman" w:hAnsi="Times New Roman" w:eastAsia="宋体" w:cs="Times New Roman"/>
                      <w:color w:val="auto"/>
                      <w:lang w:eastAsia="zh-CN"/>
                    </w:rPr>
                  </w:pPr>
                  <w:r>
                    <w:rPr>
                      <w:rFonts w:hint="eastAsia" w:ascii="Times New Roman" w:hAnsi="Times New Roman" w:cs="Times New Roman"/>
                      <w:color w:val="auto"/>
                      <w:sz w:val="21"/>
                      <w:lang w:val="en-US" w:eastAsia="zh-CN"/>
                    </w:rPr>
                    <w:t>本项目通过采用渣土回填、场地平整、边坡削坡和生态恢复工程等措施，对区内因采砂、采煤活动造成的隐患崩塌地质灾害点进行消除，使现有被破坏的地形地貌及自然景观得到修复，从而改善生态景观</w:t>
                  </w:r>
                </w:p>
              </w:tc>
              <w:tc>
                <w:tcPr>
                  <w:tcW w:w="715" w:type="dxa"/>
                  <w:tcBorders>
                    <w:tl2br w:val="nil"/>
                    <w:tr2bl w:val="nil"/>
                  </w:tcBorders>
                  <w:noWrap w:val="0"/>
                  <w:vAlign w:val="center"/>
                </w:tcPr>
                <w:p>
                  <w:pPr>
                    <w:pStyle w:val="14"/>
                    <w:jc w:val="center"/>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Merge w:val="continue"/>
                  <w:tcBorders>
                    <w:tl2br w:val="nil"/>
                    <w:tr2bl w:val="nil"/>
                  </w:tcBorders>
                  <w:noWrap w:val="0"/>
                  <w:vAlign w:val="center"/>
                </w:tcPr>
                <w:p>
                  <w:pPr>
                    <w:adjustRightInd w:val="0"/>
                    <w:snapToGrid w:val="0"/>
                    <w:jc w:val="center"/>
                    <w:rPr>
                      <w:rFonts w:hint="eastAsia"/>
                      <w:color w:val="auto"/>
                      <w:highlight w:val="none"/>
                    </w:rPr>
                  </w:pPr>
                </w:p>
              </w:tc>
              <w:tc>
                <w:tcPr>
                  <w:tcW w:w="3560" w:type="dxa"/>
                  <w:tcBorders>
                    <w:tl2br w:val="nil"/>
                    <w:tr2bl w:val="nil"/>
                  </w:tcBorders>
                  <w:noWrap w:val="0"/>
                  <w:vAlign w:val="center"/>
                </w:tcPr>
                <w:p>
                  <w:pPr>
                    <w:pStyle w:val="14"/>
                    <w:jc w:val="center"/>
                    <w:rPr>
                      <w:rFonts w:hint="eastAsia"/>
                      <w:color w:val="auto"/>
                      <w:highlight w:val="none"/>
                    </w:rPr>
                  </w:pPr>
                  <w:r>
                    <w:rPr>
                      <w:rFonts w:hint="eastAsia"/>
                      <w:color w:val="auto"/>
                      <w:highlight w:val="none"/>
                    </w:rPr>
                    <w:t>露天采场回填应做到地面平整，充分利用工程前收集的表土和露天采场风化物覆盖于表层（覆土要求按 7.3.2 执行），并做好水土保持与防风固沙措施。</w:t>
                  </w:r>
                </w:p>
              </w:tc>
              <w:tc>
                <w:tcPr>
                  <w:tcW w:w="3655" w:type="dxa"/>
                  <w:tcBorders>
                    <w:tl2br w:val="nil"/>
                    <w:tr2bl w:val="nil"/>
                  </w:tcBorders>
                  <w:noWrap w:val="0"/>
                  <w:vAlign w:val="center"/>
                </w:tcPr>
                <w:p>
                  <w:pPr>
                    <w:pStyle w:val="14"/>
                    <w:wordWrap w:val="0"/>
                    <w:adjustRightInd w:val="0"/>
                    <w:snapToGrid w:val="0"/>
                    <w:spacing w:line="0" w:lineRule="atLeast"/>
                    <w:jc w:val="center"/>
                    <w:rPr>
                      <w:rFonts w:hint="eastAsia" w:eastAsia="宋体"/>
                      <w:color w:val="auto"/>
                      <w:highlight w:val="none"/>
                      <w:lang w:val="en-US" w:eastAsia="zh-CN"/>
                    </w:rPr>
                  </w:pPr>
                  <w:r>
                    <w:rPr>
                      <w:rFonts w:hint="eastAsia"/>
                      <w:color w:val="auto"/>
                      <w:sz w:val="21"/>
                      <w:shd w:val="clear"/>
                      <w:lang w:val="en-US" w:eastAsia="zh-CN"/>
                    </w:rPr>
                    <w:t>本项目治理区总挖方量为</w:t>
                  </w:r>
                  <w:r>
                    <w:rPr>
                      <w:rFonts w:hint="eastAsia" w:ascii="Times New Roman" w:hAnsi="Times New Roman" w:eastAsia="宋体" w:cs="Times New Roman"/>
                      <w:i w:val="0"/>
                      <w:color w:val="auto"/>
                      <w:kern w:val="2"/>
                      <w:sz w:val="21"/>
                      <w:szCs w:val="24"/>
                      <w:u w:val="none"/>
                      <w:shd w:val="clear"/>
                      <w:lang w:val="en-US" w:eastAsia="zh-CN" w:bidi="ar"/>
                    </w:rPr>
                    <w:t>651380.49</w:t>
                  </w:r>
                  <w:r>
                    <w:rPr>
                      <w:rFonts w:hint="eastAsia"/>
                      <w:color w:val="auto"/>
                      <w:sz w:val="21"/>
                      <w:shd w:val="clear"/>
                      <w:lang w:val="en-US" w:eastAsia="zh-CN"/>
                    </w:rPr>
                    <w:t>m</w:t>
                  </w:r>
                  <w:r>
                    <w:rPr>
                      <w:rFonts w:hint="eastAsia"/>
                      <w:color w:val="auto"/>
                      <w:sz w:val="21"/>
                      <w:shd w:val="clear"/>
                      <w:vertAlign w:val="superscript"/>
                      <w:lang w:val="en-US" w:eastAsia="zh-CN"/>
                    </w:rPr>
                    <w:t>3</w:t>
                  </w:r>
                  <w:r>
                    <w:rPr>
                      <w:rFonts w:hint="eastAsia"/>
                      <w:color w:val="auto"/>
                      <w:sz w:val="21"/>
                      <w:shd w:val="clear"/>
                      <w:lang w:val="en-US" w:eastAsia="zh-CN"/>
                    </w:rPr>
                    <w:t>，回填总土方量为</w:t>
                  </w:r>
                  <w:r>
                    <w:rPr>
                      <w:rFonts w:hint="eastAsia" w:ascii="Times New Roman" w:hAnsi="Times New Roman" w:eastAsia="宋体" w:cs="Times New Roman"/>
                      <w:i w:val="0"/>
                      <w:color w:val="auto"/>
                      <w:kern w:val="2"/>
                      <w:sz w:val="21"/>
                      <w:szCs w:val="24"/>
                      <w:u w:val="none"/>
                      <w:shd w:val="clear"/>
                      <w:lang w:val="en-US" w:eastAsia="zh-CN" w:bidi="ar"/>
                    </w:rPr>
                    <w:t>650896.74</w:t>
                  </w:r>
                  <w:r>
                    <w:rPr>
                      <w:rFonts w:hint="eastAsia"/>
                      <w:color w:val="auto"/>
                      <w:sz w:val="21"/>
                      <w:shd w:val="clear"/>
                      <w:lang w:val="en-US" w:eastAsia="zh-CN"/>
                    </w:rPr>
                    <w:t>m</w:t>
                  </w:r>
                  <w:r>
                    <w:rPr>
                      <w:rFonts w:hint="eastAsia"/>
                      <w:color w:val="auto"/>
                      <w:sz w:val="21"/>
                      <w:shd w:val="clear"/>
                      <w:vertAlign w:val="superscript"/>
                      <w:lang w:val="en-US" w:eastAsia="zh-CN"/>
                    </w:rPr>
                    <w:t>3</w:t>
                  </w:r>
                  <w:r>
                    <w:rPr>
                      <w:rFonts w:hint="eastAsia"/>
                      <w:color w:val="auto"/>
                      <w:sz w:val="21"/>
                      <w:shd w:val="clear"/>
                      <w:lang w:val="en-US" w:eastAsia="zh-CN"/>
                    </w:rPr>
                    <w:t>，总削坡量为</w:t>
                  </w:r>
                  <w:r>
                    <w:rPr>
                      <w:rFonts w:hint="eastAsia" w:cs="Times New Roman"/>
                      <w:bCs w:val="0"/>
                      <w:i w:val="0"/>
                      <w:color w:val="auto"/>
                      <w:kern w:val="2"/>
                      <w:sz w:val="21"/>
                      <w:szCs w:val="24"/>
                      <w:u w:val="none"/>
                      <w:shd w:val="clear"/>
                      <w:lang w:val="en-US" w:eastAsia="zh-CN" w:bidi="ar"/>
                    </w:rPr>
                    <w:t>91062</w:t>
                  </w:r>
                  <w:r>
                    <w:rPr>
                      <w:rFonts w:hint="eastAsia"/>
                      <w:color w:val="auto"/>
                      <w:sz w:val="21"/>
                      <w:shd w:val="clear"/>
                      <w:lang w:val="en-US" w:eastAsia="zh-CN"/>
                    </w:rPr>
                    <w:t>m</w:t>
                  </w:r>
                  <w:r>
                    <w:rPr>
                      <w:rFonts w:hint="eastAsia"/>
                      <w:color w:val="auto"/>
                      <w:sz w:val="21"/>
                      <w:shd w:val="clear"/>
                      <w:vertAlign w:val="superscript"/>
                      <w:lang w:val="en-US" w:eastAsia="zh-CN"/>
                    </w:rPr>
                    <w:t>3</w:t>
                  </w:r>
                  <w:r>
                    <w:rPr>
                      <w:rFonts w:hint="eastAsia" w:cs="Times New Roman"/>
                      <w:bCs w:val="0"/>
                      <w:color w:val="auto"/>
                      <w:sz w:val="21"/>
                      <w:szCs w:val="24"/>
                      <w:shd w:val="clear"/>
                      <w:vertAlign w:val="baseline"/>
                      <w:lang w:val="en-US" w:eastAsia="zh-CN"/>
                    </w:rPr>
                    <w:t>，全部</w:t>
                  </w:r>
                  <w:r>
                    <w:rPr>
                      <w:rFonts w:hint="eastAsia"/>
                      <w:color w:val="auto"/>
                      <w:shd w:val="clear"/>
                      <w:lang w:val="en-US" w:eastAsia="zh-CN"/>
                    </w:rPr>
                    <w:t>用于场地平整，</w:t>
                  </w:r>
                  <w:r>
                    <w:rPr>
                      <w:rFonts w:hint="eastAsia"/>
                      <w:color w:val="auto"/>
                      <w:shd w:val="clear"/>
                      <w:vertAlign w:val="baseline"/>
                      <w:lang w:val="en-US" w:eastAsia="zh-CN"/>
                    </w:rPr>
                    <w:t>并在施工过程中及时洒水抑尘。</w:t>
                  </w:r>
                </w:p>
              </w:tc>
              <w:tc>
                <w:tcPr>
                  <w:tcW w:w="715" w:type="dxa"/>
                  <w:tcBorders>
                    <w:tl2br w:val="nil"/>
                    <w:tr2bl w:val="nil"/>
                  </w:tcBorders>
                  <w:noWrap w:val="0"/>
                  <w:vAlign w:val="center"/>
                </w:tcPr>
                <w:p>
                  <w:pPr>
                    <w:pStyle w:val="14"/>
                    <w:jc w:val="center"/>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Merge w:val="continue"/>
                  <w:tcBorders>
                    <w:tl2br w:val="nil"/>
                    <w:tr2bl w:val="nil"/>
                  </w:tcBorders>
                  <w:noWrap w:val="0"/>
                  <w:vAlign w:val="center"/>
                </w:tcPr>
                <w:p>
                  <w:pPr>
                    <w:adjustRightInd w:val="0"/>
                    <w:snapToGrid w:val="0"/>
                    <w:jc w:val="center"/>
                    <w:rPr>
                      <w:rFonts w:hint="eastAsia"/>
                      <w:color w:val="auto"/>
                      <w:highlight w:val="none"/>
                    </w:rPr>
                  </w:pPr>
                </w:p>
              </w:tc>
              <w:tc>
                <w:tcPr>
                  <w:tcW w:w="3560" w:type="dxa"/>
                  <w:tcBorders>
                    <w:tl2br w:val="nil"/>
                    <w:tr2bl w:val="nil"/>
                  </w:tcBorders>
                  <w:noWrap w:val="0"/>
                  <w:vAlign w:val="center"/>
                </w:tcPr>
                <w:p>
                  <w:pPr>
                    <w:pStyle w:val="14"/>
                    <w:jc w:val="center"/>
                    <w:rPr>
                      <w:rFonts w:hint="eastAsia"/>
                      <w:color w:val="auto"/>
                      <w:highlight w:val="none"/>
                    </w:rPr>
                  </w:pPr>
                  <w:r>
                    <w:rPr>
                      <w:rFonts w:hint="eastAsia"/>
                      <w:color w:val="auto"/>
                      <w:highlight w:val="none"/>
                    </w:rPr>
                    <w:t>恢复后的露天采场进行土地资源再利用时，在坡度、土层厚度、稳定性、土壤环境安全性等方面应满足相关用地要求。</w:t>
                  </w:r>
                </w:p>
              </w:tc>
              <w:tc>
                <w:tcPr>
                  <w:tcW w:w="3655" w:type="dxa"/>
                  <w:tcBorders>
                    <w:tl2br w:val="nil"/>
                    <w:tr2bl w:val="nil"/>
                  </w:tcBorders>
                  <w:noWrap w:val="0"/>
                  <w:vAlign w:val="center"/>
                </w:tcPr>
                <w:p>
                  <w:pPr>
                    <w:pStyle w:val="14"/>
                    <w:jc w:val="center"/>
                    <w:rPr>
                      <w:rFonts w:hint="eastAsia"/>
                      <w:color w:val="auto"/>
                      <w:highlight w:val="none"/>
                    </w:rPr>
                  </w:pPr>
                  <w:r>
                    <w:rPr>
                      <w:rFonts w:hint="eastAsia" w:ascii="Times New Roman" w:hAnsi="Times New Roman" w:cs="Times New Roman"/>
                      <w:color w:val="auto"/>
                      <w:sz w:val="21"/>
                      <w:highlight w:val="none"/>
                      <w:lang w:val="en-US" w:eastAsia="zh-CN"/>
                    </w:rPr>
                    <w:t>土地平整后，地形与周边地形相协调，地面坡度不超过15°</w:t>
                  </w:r>
                  <w:r>
                    <w:rPr>
                      <w:rFonts w:hint="eastAsia"/>
                      <w:highlight w:val="none"/>
                      <w:lang w:eastAsia="zh-CN"/>
                    </w:rPr>
                    <w:t>。本项目土地经复垦后不改变土地性质</w:t>
                  </w:r>
                  <w:r>
                    <w:rPr>
                      <w:rFonts w:hint="eastAsia" w:cs="Times New Roman"/>
                      <w:color w:val="auto"/>
                      <w:sz w:val="21"/>
                      <w:highlight w:val="none"/>
                      <w:lang w:val="en-US" w:eastAsia="zh-CN"/>
                    </w:rPr>
                    <w:t>，</w:t>
                  </w:r>
                  <w:r>
                    <w:rPr>
                      <w:rFonts w:hint="eastAsia"/>
                      <w:color w:val="auto"/>
                      <w:highlight w:val="none"/>
                    </w:rPr>
                    <w:t>在坡度、土层厚度、稳定性、土壤环境安全性等方面应满足相关用地要求</w:t>
                  </w:r>
                </w:p>
              </w:tc>
              <w:tc>
                <w:tcPr>
                  <w:tcW w:w="715" w:type="dxa"/>
                  <w:tcBorders>
                    <w:tl2br w:val="nil"/>
                    <w:tr2bl w:val="nil"/>
                  </w:tcBorders>
                  <w:noWrap w:val="0"/>
                  <w:vAlign w:val="center"/>
                </w:tcPr>
                <w:p>
                  <w:pPr>
                    <w:pStyle w:val="14"/>
                    <w:jc w:val="center"/>
                    <w:rPr>
                      <w:rFonts w:hint="eastAsia"/>
                      <w:color w:val="auto"/>
                      <w:highlight w:val="none"/>
                    </w:rPr>
                  </w:pPr>
                  <w:r>
                    <w:rPr>
                      <w:rFonts w:hint="eastAsia"/>
                      <w:color w:val="auto"/>
                      <w:highlight w:val="none"/>
                    </w:rPr>
                    <w:t>符合</w:t>
                  </w:r>
                </w:p>
              </w:tc>
            </w:tr>
          </w:tbl>
          <w:p>
            <w:pPr>
              <w:adjustRightInd w:val="0"/>
              <w:snapToGrid w:val="0"/>
              <w:spacing w:line="360" w:lineRule="auto"/>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1.4.3、“三线一单”符合性分析</w:t>
            </w:r>
          </w:p>
          <w:p>
            <w:pPr>
              <w:adjustRightInd w:val="0"/>
              <w:spacing w:line="360" w:lineRule="auto"/>
              <w:ind w:firstLine="480" w:firstLineChars="200"/>
              <w:rPr>
                <w:rFonts w:hint="eastAsia" w:ascii="Times New Roman" w:hAnsi="Times New Roman" w:cs="Times New Roman"/>
                <w:sz w:val="24"/>
                <w:highlight w:val="none"/>
                <w:lang w:val="en-US" w:eastAsia="zh-CN"/>
              </w:rPr>
            </w:pPr>
            <w:r>
              <w:rPr>
                <w:rFonts w:hint="eastAsia" w:cs="Times New Roman"/>
                <w:sz w:val="24"/>
                <w:highlight w:val="none"/>
                <w:lang w:val="en-US" w:eastAsia="zh-CN"/>
              </w:rPr>
              <w:t>⑴</w:t>
            </w:r>
            <w:r>
              <w:rPr>
                <w:rFonts w:hint="eastAsia" w:ascii="Times New Roman" w:hAnsi="Times New Roman" w:cs="Times New Roman"/>
                <w:sz w:val="24"/>
                <w:highlight w:val="none"/>
                <w:lang w:val="en-US" w:eastAsia="zh-CN"/>
              </w:rPr>
              <w:t>生态红线</w:t>
            </w:r>
          </w:p>
          <w:p>
            <w:pPr>
              <w:adjustRightInd w:val="0"/>
              <w:spacing w:line="360" w:lineRule="auto"/>
              <w:ind w:firstLine="480" w:firstLineChars="200"/>
              <w:rPr>
                <w:rFonts w:hint="eastAsia" w:cs="Times New Roman"/>
                <w:sz w:val="24"/>
                <w:highlight w:val="none"/>
                <w:lang w:val="en-US" w:eastAsia="zh-CN"/>
              </w:rPr>
            </w:pPr>
            <w:r>
              <w:rPr>
                <w:rFonts w:hint="eastAsia" w:ascii="Times New Roman" w:hAnsi="Times New Roman" w:cs="Times New Roman"/>
                <w:sz w:val="24"/>
                <w:highlight w:val="none"/>
                <w:lang w:val="en-US" w:eastAsia="zh-CN"/>
              </w:rPr>
              <w:t>本工程</w:t>
            </w:r>
            <w:r>
              <w:rPr>
                <w:rFonts w:hint="eastAsia" w:cs="Times New Roman"/>
                <w:sz w:val="24"/>
                <w:highlight w:val="none"/>
                <w:lang w:val="en-US" w:eastAsia="zh-CN"/>
              </w:rPr>
              <w:t>主要</w:t>
            </w:r>
            <w:r>
              <w:rPr>
                <w:rFonts w:hint="eastAsia" w:ascii="Times New Roman" w:hAnsi="Times New Roman" w:cs="Times New Roman"/>
                <w:sz w:val="24"/>
                <w:highlight w:val="none"/>
                <w:lang w:val="en-US" w:eastAsia="zh-CN"/>
              </w:rPr>
              <w:t>是对</w:t>
            </w:r>
            <w:r>
              <w:rPr>
                <w:rFonts w:hint="eastAsia" w:ascii="Times New Roman" w:hAnsi="Times New Roman" w:eastAsia="宋体" w:cs="Times New Roman"/>
                <w:sz w:val="24"/>
                <w:highlight w:val="none"/>
                <w:lang w:val="en-US" w:eastAsia="zh-CN"/>
              </w:rPr>
              <w:t>线驮石矿区罗花崖煤矿同土公路两侧煤炭治理区、京藏高速红寺堡区段两侧建</w:t>
            </w:r>
            <w:r>
              <w:rPr>
                <w:rFonts w:hint="eastAsia"/>
                <w:sz w:val="24"/>
                <w:highlight w:val="none"/>
                <w:lang w:val="en-US" w:eastAsia="zh-CN"/>
              </w:rPr>
              <w:t>筑用砂治理区</w:t>
            </w:r>
            <w:r>
              <w:rPr>
                <w:rFonts w:hint="eastAsia" w:ascii="Times New Roman" w:hAnsi="Times New Roman" w:cs="Times New Roman"/>
                <w:sz w:val="24"/>
                <w:highlight w:val="none"/>
                <w:lang w:val="en-US" w:eastAsia="zh-CN"/>
              </w:rPr>
              <w:t>进行</w:t>
            </w:r>
            <w:r>
              <w:rPr>
                <w:rFonts w:hint="eastAsia" w:cs="Times New Roman"/>
                <w:sz w:val="24"/>
                <w:highlight w:val="none"/>
                <w:lang w:val="en-US" w:eastAsia="zh-CN"/>
              </w:rPr>
              <w:t>地质恢复</w:t>
            </w:r>
            <w:r>
              <w:rPr>
                <w:rFonts w:hint="eastAsia" w:ascii="Times New Roman" w:hAnsi="Times New Roman" w:eastAsia="宋体" w:cs="Times New Roman"/>
                <w:sz w:val="24"/>
                <w:highlight w:val="none"/>
                <w:lang w:val="en-US" w:eastAsia="zh-CN"/>
              </w:rPr>
              <w:t>。</w:t>
            </w:r>
          </w:p>
          <w:p>
            <w:pPr>
              <w:adjustRightInd w:val="0"/>
              <w:spacing w:line="360" w:lineRule="auto"/>
              <w:ind w:firstLine="480" w:firstLineChars="200"/>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根据《红寺堡区2018年土地变更调查成果数据》结合土地利用现状图（1：5000）见图1-1</w:t>
            </w:r>
            <w:r>
              <w:rPr>
                <w:rFonts w:hint="eastAsia" w:cs="Times New Roman"/>
                <w:sz w:val="24"/>
                <w:highlight w:val="none"/>
                <w:lang w:val="en-US" w:eastAsia="zh-CN"/>
              </w:rPr>
              <w:t>及附图1-2</w:t>
            </w:r>
            <w:r>
              <w:rPr>
                <w:rFonts w:hint="eastAsia" w:ascii="Times New Roman" w:hAnsi="Times New Roman" w:eastAsia="宋体" w:cs="Times New Roman"/>
                <w:sz w:val="24"/>
                <w:highlight w:val="none"/>
                <w:lang w:val="en-US" w:eastAsia="zh-CN"/>
              </w:rPr>
              <w:t>，调查各类土地面积、分布，获得项目区土地利用数据。土地利用现状表详见表1-</w:t>
            </w:r>
            <w:r>
              <w:rPr>
                <w:rFonts w:hint="eastAsia" w:cs="Times New Roman"/>
                <w:sz w:val="24"/>
                <w:highlight w:val="none"/>
                <w:lang w:val="en-US" w:eastAsia="zh-CN"/>
              </w:rPr>
              <w:t>3</w:t>
            </w:r>
            <w:r>
              <w:rPr>
                <w:rFonts w:hint="eastAsia" w:ascii="Times New Roman" w:hAnsi="Times New Roman" w:eastAsia="宋体" w:cs="Times New Roman"/>
                <w:sz w:val="24"/>
                <w:highlight w:val="none"/>
                <w:lang w:val="en-US" w:eastAsia="zh-CN"/>
              </w:rPr>
              <w:t>：</w:t>
            </w:r>
          </w:p>
          <w:p>
            <w:pPr>
              <w:adjustRightInd w:val="0"/>
              <w:snapToGrid w:val="0"/>
              <w:spacing w:line="360" w:lineRule="auto"/>
              <w:ind w:firstLine="480" w:firstLineChars="200"/>
              <w:jc w:val="center"/>
              <w:rPr>
                <w:rFonts w:hint="eastAsia" w:ascii="Times New Roman" w:hAnsi="Times New Roman" w:eastAsia="黑体" w:cs="Times New Roman"/>
                <w:sz w:val="24"/>
                <w:highlight w:val="none"/>
                <w:lang w:val="en-US" w:eastAsia="zh-CN"/>
              </w:rPr>
            </w:pPr>
          </w:p>
          <w:p>
            <w:pPr>
              <w:pStyle w:val="2"/>
              <w:rPr>
                <w:rFonts w:hint="eastAsia" w:ascii="Times New Roman" w:hAnsi="Times New Roman" w:eastAsia="黑体" w:cs="Times New Roman"/>
                <w:sz w:val="24"/>
                <w:highlight w:val="none"/>
                <w:lang w:val="en-US" w:eastAsia="zh-CN"/>
              </w:rPr>
            </w:pPr>
          </w:p>
          <w:p>
            <w:pPr>
              <w:pStyle w:val="2"/>
              <w:rPr>
                <w:rFonts w:hint="eastAsia" w:ascii="Times New Roman" w:hAnsi="Times New Roman" w:eastAsia="黑体" w:cs="Times New Roman"/>
                <w:sz w:val="24"/>
                <w:highlight w:val="none"/>
                <w:lang w:val="en-US" w:eastAsia="zh-CN"/>
              </w:rPr>
            </w:pPr>
          </w:p>
          <w:p>
            <w:pPr>
              <w:pStyle w:val="2"/>
              <w:rPr>
                <w:rFonts w:hint="eastAsia" w:ascii="Times New Roman" w:hAnsi="Times New Roman" w:eastAsia="黑体" w:cs="Times New Roman"/>
                <w:sz w:val="24"/>
                <w:highlight w:val="none"/>
                <w:lang w:val="en-US" w:eastAsia="zh-CN"/>
              </w:rPr>
            </w:pPr>
          </w:p>
          <w:p>
            <w:pPr>
              <w:adjustRightInd w:val="0"/>
              <w:snapToGrid w:val="0"/>
              <w:spacing w:line="360" w:lineRule="auto"/>
              <w:ind w:firstLine="480" w:firstLineChars="200"/>
              <w:jc w:val="center"/>
              <w:rPr>
                <w:rFonts w:hint="eastAsia" w:ascii="Times New Roman" w:hAnsi="Times New Roman" w:eastAsia="黑体" w:cs="Times New Roman"/>
                <w:sz w:val="24"/>
                <w:highlight w:val="none"/>
                <w:lang w:val="en-US" w:eastAsia="zh-CN"/>
              </w:rPr>
            </w:pPr>
          </w:p>
          <w:p>
            <w:pPr>
              <w:adjustRightInd w:val="0"/>
              <w:snapToGrid w:val="0"/>
              <w:spacing w:line="360" w:lineRule="auto"/>
              <w:ind w:firstLine="480" w:firstLineChars="200"/>
              <w:jc w:val="center"/>
              <w:rPr>
                <w:rFonts w:ascii="Times New Roman" w:hAnsi="Times New Roman" w:eastAsia="黑体" w:cs="Times New Roman"/>
                <w:sz w:val="24"/>
                <w:highlight w:val="none"/>
              </w:rPr>
            </w:pPr>
            <w:r>
              <w:rPr>
                <w:rFonts w:hint="eastAsia" w:ascii="Times New Roman" w:hAnsi="Times New Roman" w:eastAsia="黑体" w:cs="Times New Roman"/>
                <w:sz w:val="24"/>
                <w:highlight w:val="none"/>
                <w:lang w:val="en-US" w:eastAsia="zh-CN"/>
              </w:rPr>
              <w:t>表1-</w:t>
            </w:r>
            <w:r>
              <w:rPr>
                <w:rFonts w:hint="eastAsia" w:eastAsia="黑体" w:cs="Times New Roman"/>
                <w:sz w:val="24"/>
                <w:highlight w:val="none"/>
                <w:lang w:val="en-US" w:eastAsia="zh-CN"/>
              </w:rPr>
              <w:t>3</w:t>
            </w:r>
            <w:r>
              <w:rPr>
                <w:rFonts w:hint="eastAsia" w:ascii="Times New Roman" w:hAnsi="Times New Roman" w:eastAsia="黑体" w:cs="Times New Roman"/>
                <w:sz w:val="24"/>
                <w:highlight w:val="none"/>
                <w:lang w:val="en-US" w:eastAsia="zh-CN"/>
              </w:rPr>
              <w:t xml:space="preserve">    项目区土地利用现状表    </w:t>
            </w:r>
            <w:r>
              <w:rPr>
                <w:rFonts w:hint="eastAsia" w:ascii="Times New Roman" w:hAnsi="Times New Roman" w:eastAsia="黑体" w:cs="Times New Roman"/>
                <w:sz w:val="24"/>
                <w:highlight w:val="none"/>
              </w:rPr>
              <w:t>单位：m</w:t>
            </w:r>
            <w:r>
              <w:rPr>
                <w:rFonts w:hint="eastAsia" w:ascii="Times New Roman" w:hAnsi="Times New Roman" w:eastAsia="黑体" w:cs="Times New Roman"/>
                <w:sz w:val="24"/>
                <w:highlight w:val="none"/>
                <w:vertAlign w:val="superscript"/>
              </w:rPr>
              <w:t>2</w:t>
            </w:r>
          </w:p>
          <w:tbl>
            <w:tblPr>
              <w:tblStyle w:val="1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1839"/>
              <w:gridCol w:w="1038"/>
              <w:gridCol w:w="1050"/>
              <w:gridCol w:w="1161"/>
              <w:gridCol w:w="1250"/>
              <w:gridCol w:w="14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28"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占地区域</w:t>
                  </w:r>
                </w:p>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名称</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耕地</w:t>
                  </w:r>
                </w:p>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（01）</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草地（04）</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交通运输用</w:t>
                  </w:r>
                  <w:r>
                    <w:rPr>
                      <w:rFonts w:hint="eastAsia" w:cs="Times New Roman"/>
                      <w:b/>
                      <w:sz w:val="21"/>
                      <w:szCs w:val="21"/>
                      <w:highlight w:val="none"/>
                      <w:lang w:eastAsia="zh-CN"/>
                    </w:rPr>
                    <w:t>地</w:t>
                  </w:r>
                  <w:r>
                    <w:rPr>
                      <w:rFonts w:hint="default" w:ascii="Times New Roman" w:hAnsi="Times New Roman" w:cs="Times New Roman"/>
                      <w:b/>
                      <w:sz w:val="21"/>
                      <w:szCs w:val="21"/>
                      <w:highlight w:val="none"/>
                    </w:rPr>
                    <w:t>（10）</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其他土地（12）</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城镇村及工矿用地（20）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28"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旱地</w:t>
                  </w:r>
                </w:p>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（013）</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其他草地（043）</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铁路用地（101）</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裸地（127）</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采矿用地（204）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煤炭区</w:t>
                  </w:r>
                </w:p>
              </w:tc>
              <w:tc>
                <w:tcPr>
                  <w:tcW w:w="10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一号治理区（M1）</w:t>
                  </w:r>
                </w:p>
              </w:tc>
              <w:tc>
                <w:tcPr>
                  <w:tcW w:w="572"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9"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107907</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7605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p>
              </w:tc>
              <w:tc>
                <w:tcPr>
                  <w:tcW w:w="10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二号治理区（M2）</w:t>
                  </w:r>
                </w:p>
              </w:tc>
              <w:tc>
                <w:tcPr>
                  <w:tcW w:w="572"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79"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107157</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21310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p>
              </w:tc>
              <w:tc>
                <w:tcPr>
                  <w:tcW w:w="10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三号治理区（M3）</w:t>
                  </w:r>
                </w:p>
              </w:tc>
              <w:tc>
                <w:tcPr>
                  <w:tcW w:w="572"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79"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159335</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建筑用砂区</w:t>
                  </w:r>
                </w:p>
              </w:tc>
              <w:tc>
                <w:tcPr>
                  <w:tcW w:w="10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一号治理区（S1）</w:t>
                  </w:r>
                </w:p>
              </w:tc>
              <w:tc>
                <w:tcPr>
                  <w:tcW w:w="572"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lang w:val="en-US" w:eastAsia="zh-CN"/>
                    </w:rPr>
                    <w:t>18370</w:t>
                  </w:r>
                </w:p>
              </w:tc>
              <w:tc>
                <w:tcPr>
                  <w:tcW w:w="579"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lang w:val="en-US" w:eastAsia="zh-CN"/>
                    </w:rPr>
                    <w:t>297503</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cs="Times New Roman"/>
                      <w:sz w:val="21"/>
                      <w:szCs w:val="21"/>
                    </w:rPr>
                    <w:t>457</w:t>
                  </w:r>
                  <w:r>
                    <w:rPr>
                      <w:rFonts w:hint="default" w:ascii="Times New Roman" w:hAnsi="Times New Roman" w:cs="Times New Roman"/>
                      <w:sz w:val="21"/>
                      <w:szCs w:val="21"/>
                      <w:lang w:val="en-US" w:eastAsia="zh-CN"/>
                    </w:rPr>
                    <w:t>1</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20589</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合  计</w:t>
                  </w:r>
                </w:p>
              </w:tc>
              <w:tc>
                <w:tcPr>
                  <w:tcW w:w="572"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lang w:val="en-US" w:eastAsia="zh-CN"/>
                    </w:rPr>
                    <w:t>18370</w:t>
                  </w:r>
                </w:p>
              </w:tc>
              <w:tc>
                <w:tcPr>
                  <w:tcW w:w="579"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仿宋_GB2312" w:cs="Times New Roman"/>
                      <w:b/>
                      <w:sz w:val="21"/>
                      <w:szCs w:val="21"/>
                      <w:lang w:val="en-US" w:eastAsia="zh-CN"/>
                    </w:rPr>
                  </w:pPr>
                  <w:r>
                    <w:rPr>
                      <w:rFonts w:hint="default" w:ascii="Times New Roman" w:hAnsi="Times New Roman" w:cs="Times New Roman"/>
                      <w:b/>
                      <w:sz w:val="21"/>
                      <w:szCs w:val="21"/>
                      <w:lang w:val="en-US" w:eastAsia="zh-CN"/>
                    </w:rPr>
                    <w:t>671902</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仿宋_GB2312" w:cs="Times New Roman"/>
                      <w:b/>
                      <w:sz w:val="21"/>
                      <w:szCs w:val="21"/>
                      <w:lang w:eastAsia="zh-CN"/>
                    </w:rPr>
                  </w:pPr>
                  <w:r>
                    <w:rPr>
                      <w:rFonts w:hint="default" w:ascii="Times New Roman" w:hAnsi="Times New Roman" w:cs="Times New Roman"/>
                      <w:b/>
                      <w:sz w:val="21"/>
                      <w:szCs w:val="21"/>
                    </w:rPr>
                    <w:t>457</w:t>
                  </w:r>
                  <w:r>
                    <w:rPr>
                      <w:rFonts w:hint="default" w:ascii="Times New Roman" w:hAnsi="Times New Roman" w:cs="Times New Roman"/>
                      <w:b/>
                      <w:sz w:val="21"/>
                      <w:szCs w:val="21"/>
                      <w:lang w:val="en-US" w:eastAsia="zh-CN"/>
                    </w:rPr>
                    <w:t>1</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20589</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28915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highlight w:val="none"/>
                <w:lang w:val="en-US" w:eastAsia="zh-CN"/>
              </w:rPr>
            </w:pPr>
            <w:r>
              <w:rPr>
                <w:rFonts w:hint="eastAsia"/>
                <w:sz w:val="24"/>
                <w:highlight w:val="none"/>
                <w:lang w:val="en-US" w:eastAsia="zh-CN"/>
              </w:rPr>
              <w:t>煤炭治理区土地类型主要为其他草地和采矿用地</w:t>
            </w:r>
            <w:r>
              <w:rPr>
                <w:rFonts w:hint="eastAsia" w:ascii="Times New Roman" w:hAnsi="Times New Roman" w:cs="Times New Roman"/>
                <w:sz w:val="24"/>
                <w:highlight w:val="none"/>
                <w:lang w:val="en-US" w:eastAsia="zh-CN"/>
              </w:rPr>
              <w:t>，</w:t>
            </w:r>
            <w:r>
              <w:rPr>
                <w:rFonts w:hint="eastAsia" w:cs="Times New Roman"/>
                <w:sz w:val="24"/>
                <w:highlight w:val="none"/>
                <w:lang w:val="en-US" w:eastAsia="zh-CN"/>
              </w:rPr>
              <w:t>建筑用砂治理区土地类型主要为</w:t>
            </w:r>
            <w:bookmarkStart w:id="10" w:name="_GoBack"/>
            <w:bookmarkEnd w:id="10"/>
            <w:r>
              <w:rPr>
                <w:rFonts w:hint="eastAsia" w:cs="Times New Roman"/>
                <w:sz w:val="24"/>
                <w:highlight w:val="none"/>
                <w:lang w:val="en-US" w:eastAsia="zh-CN"/>
              </w:rPr>
              <w:t>旱地、其他草地、交通运输用地和裸地。</w:t>
            </w:r>
            <w:r>
              <w:rPr>
                <w:rFonts w:hint="eastAsia" w:ascii="Times New Roman" w:hAnsi="Times New Roman" w:cs="Times New Roman"/>
                <w:sz w:val="24"/>
                <w:highlight w:val="none"/>
                <w:lang w:val="en-US" w:eastAsia="zh-CN"/>
              </w:rPr>
              <w:t>本工程用地不在宁夏回族自治区的生态红线范围内，</w:t>
            </w:r>
            <w:r>
              <w:rPr>
                <w:rFonts w:hint="eastAsia" w:cs="Times New Roman"/>
                <w:sz w:val="24"/>
                <w:highlight w:val="none"/>
                <w:lang w:val="en-US" w:eastAsia="zh-CN"/>
              </w:rPr>
              <w:t>项目建设后不改变原有土地类型，</w:t>
            </w:r>
            <w:r>
              <w:rPr>
                <w:rFonts w:hint="eastAsia" w:ascii="Times New Roman" w:hAnsi="Times New Roman" w:cs="Times New Roman"/>
                <w:sz w:val="24"/>
                <w:highlight w:val="none"/>
                <w:lang w:val="en-US" w:eastAsia="zh-CN"/>
              </w:rPr>
              <w:t>因此工程建设符合“生态保护红线”的原则。本工程与生态红线的位置关系见</w:t>
            </w:r>
            <w:r>
              <w:rPr>
                <w:rFonts w:hint="eastAsia" w:cs="Times New Roman"/>
                <w:sz w:val="24"/>
                <w:highlight w:val="none"/>
                <w:lang w:val="en-US" w:eastAsia="zh-CN"/>
              </w:rPr>
              <w:t>附</w:t>
            </w:r>
            <w:r>
              <w:rPr>
                <w:rFonts w:hint="eastAsia" w:ascii="Times New Roman" w:hAnsi="Times New Roman" w:cs="Times New Roman"/>
                <w:sz w:val="24"/>
                <w:highlight w:val="none"/>
                <w:lang w:val="en-US" w:eastAsia="zh-CN"/>
              </w:rPr>
              <w:t>图1</w:t>
            </w:r>
            <w:r>
              <w:rPr>
                <w:rFonts w:hint="eastAsia" w:cs="Times New Roman"/>
                <w:sz w:val="24"/>
                <w:highlight w:val="none"/>
                <w:lang w:val="en-US" w:eastAsia="zh-CN"/>
              </w:rPr>
              <w:t>-3</w:t>
            </w:r>
            <w:r>
              <w:rPr>
                <w:rFonts w:hint="eastAsia" w:ascii="Times New Roman" w:hAnsi="Times New Roman" w:cs="Times New Roman"/>
                <w:sz w:val="24"/>
                <w:highlight w:val="none"/>
                <w:lang w:val="en-US" w:eastAsia="zh-CN"/>
              </w:rPr>
              <w:t>。</w:t>
            </w:r>
          </w:p>
          <w:p>
            <w:pPr>
              <w:adjustRightInd w:val="0"/>
              <w:spacing w:line="360" w:lineRule="auto"/>
              <w:ind w:firstLine="480" w:firstLineChars="200"/>
              <w:rPr>
                <w:rFonts w:hint="eastAsia" w:cs="Times New Roman"/>
                <w:sz w:val="24"/>
                <w:highlight w:val="none"/>
                <w:lang w:val="en-US" w:eastAsia="zh-CN"/>
              </w:rPr>
            </w:pPr>
            <w:r>
              <w:rPr>
                <w:rFonts w:hint="eastAsia" w:cs="Times New Roman"/>
                <w:sz w:val="24"/>
                <w:highlight w:val="none"/>
                <w:lang w:val="en-US" w:eastAsia="zh-CN"/>
              </w:rPr>
              <w:fldChar w:fldCharType="begin"/>
            </w:r>
            <w:r>
              <w:rPr>
                <w:rFonts w:hint="eastAsia" w:cs="Times New Roman"/>
                <w:sz w:val="24"/>
                <w:highlight w:val="none"/>
                <w:lang w:val="en-US" w:eastAsia="zh-CN"/>
              </w:rPr>
              <w:instrText xml:space="preserve"> = 2 \* GB3 </w:instrText>
            </w:r>
            <w:r>
              <w:rPr>
                <w:rFonts w:hint="eastAsia" w:cs="Times New Roman"/>
                <w:sz w:val="24"/>
                <w:highlight w:val="none"/>
                <w:lang w:val="en-US" w:eastAsia="zh-CN"/>
              </w:rPr>
              <w:fldChar w:fldCharType="separate"/>
            </w:r>
            <w:r>
              <w:rPr>
                <w:rFonts w:hint="eastAsia" w:cs="Times New Roman"/>
                <w:sz w:val="24"/>
                <w:highlight w:val="none"/>
                <w:lang w:val="en-US" w:eastAsia="zh-CN"/>
              </w:rPr>
              <w:t>②</w:t>
            </w:r>
            <w:r>
              <w:rPr>
                <w:rFonts w:hint="eastAsia" w:cs="Times New Roman"/>
                <w:sz w:val="24"/>
                <w:highlight w:val="none"/>
                <w:lang w:val="en-US" w:eastAsia="zh-CN"/>
              </w:rPr>
              <w:fldChar w:fldCharType="end"/>
            </w:r>
            <w:r>
              <w:rPr>
                <w:rFonts w:hint="eastAsia" w:cs="Times New Roman"/>
                <w:sz w:val="24"/>
                <w:highlight w:val="none"/>
                <w:lang w:val="en-US" w:eastAsia="zh-CN"/>
              </w:rPr>
              <w:t>环境质量底线</w:t>
            </w:r>
          </w:p>
          <w:p>
            <w:pPr>
              <w:adjustRightInd w:val="0"/>
              <w:spacing w:line="360" w:lineRule="auto"/>
              <w:ind w:firstLine="480" w:firstLineChars="200"/>
              <w:rPr>
                <w:rFonts w:hint="eastAsia" w:ascii="Times New Roman" w:hAnsi="Times New Roman" w:cs="Times New Roman"/>
                <w:sz w:val="24"/>
                <w:highlight w:val="none"/>
                <w:lang w:val="en-US" w:eastAsia="zh-CN"/>
              </w:rPr>
            </w:pPr>
            <w:r>
              <w:rPr>
                <w:rFonts w:hint="eastAsia"/>
                <w:sz w:val="24"/>
              </w:rPr>
              <w:t>根据《</w:t>
            </w:r>
            <w:r>
              <w:rPr>
                <w:sz w:val="24"/>
              </w:rPr>
              <w:t>2019年宁夏生态环境状况公报</w:t>
            </w:r>
            <w:r>
              <w:rPr>
                <w:rFonts w:hint="eastAsia"/>
                <w:sz w:val="24"/>
              </w:rPr>
              <w:t>》</w:t>
            </w:r>
            <w:r>
              <w:rPr>
                <w:rFonts w:hint="eastAsia"/>
                <w:sz w:val="24"/>
                <w:lang w:eastAsia="zh-CN"/>
              </w:rPr>
              <w:t>，</w:t>
            </w:r>
            <w:r>
              <w:rPr>
                <w:rFonts w:hint="eastAsia" w:ascii="Times New Roman" w:hAnsi="Times New Roman" w:cs="Times New Roman"/>
                <w:sz w:val="24"/>
                <w:highlight w:val="none"/>
                <w:lang w:val="en-US" w:eastAsia="zh-CN"/>
              </w:rPr>
              <w:t>红寺堡区2019年</w:t>
            </w:r>
            <w:r>
              <w:rPr>
                <w:rFonts w:hint="eastAsia" w:cs="Times New Roman"/>
                <w:sz w:val="24"/>
                <w:highlight w:val="none"/>
                <w:lang w:val="en-US" w:eastAsia="zh-CN"/>
              </w:rPr>
              <w:t>剔除沙尘天气后</w:t>
            </w:r>
            <w:r>
              <w:rPr>
                <w:rFonts w:hint="eastAsia" w:ascii="Times New Roman" w:hAnsi="Times New Roman" w:cs="Times New Roman"/>
                <w:sz w:val="24"/>
                <w:highlight w:val="none"/>
                <w:lang w:val="en-US" w:eastAsia="zh-CN"/>
              </w:rPr>
              <w:t>环境空气质量属达标区。</w:t>
            </w:r>
            <w:r>
              <w:rPr>
                <w:rFonts w:hint="eastAsia" w:ascii="Times New Roman" w:hAnsi="Times New Roman"/>
                <w:sz w:val="24"/>
                <w:highlight w:val="none"/>
                <w:lang w:eastAsia="zh-CN"/>
              </w:rPr>
              <w:t>根据现状监测数据可知</w:t>
            </w:r>
            <w:r>
              <w:rPr>
                <w:rFonts w:ascii="Times New Roman" w:hAnsi="Times New Roman"/>
                <w:sz w:val="24"/>
                <w:highlight w:val="none"/>
              </w:rPr>
              <w:t>，项目</w:t>
            </w:r>
            <w:r>
              <w:rPr>
                <w:rFonts w:hint="eastAsia"/>
                <w:sz w:val="24"/>
                <w:highlight w:val="none"/>
                <w:lang w:eastAsia="zh-CN"/>
              </w:rPr>
              <w:t>区域</w:t>
            </w:r>
            <w:r>
              <w:rPr>
                <w:rFonts w:ascii="Times New Roman" w:hAnsi="Times New Roman"/>
                <w:sz w:val="24"/>
                <w:highlight w:val="none"/>
              </w:rPr>
              <w:t>内的总悬浮颗粒物24小时平均浓度满足《环境空气质量标准》（GB3095-2012）及其2018年修改单中二级标准限值。</w:t>
            </w:r>
          </w:p>
          <w:p>
            <w:pPr>
              <w:adjustRightInd w:val="0"/>
              <w:spacing w:line="360" w:lineRule="auto"/>
              <w:ind w:firstLine="480" w:firstLineChars="200"/>
              <w:rPr>
                <w:rFonts w:hint="eastAsia" w:cs="Times New Roman"/>
                <w:sz w:val="24"/>
                <w:highlight w:val="none"/>
                <w:lang w:val="en-US" w:eastAsia="zh-CN"/>
              </w:rPr>
            </w:pPr>
            <w:r>
              <w:rPr>
                <w:rFonts w:hint="eastAsia" w:cs="Times New Roman"/>
                <w:sz w:val="24"/>
                <w:highlight w:val="none"/>
                <w:lang w:val="en-US" w:eastAsia="zh-CN"/>
              </w:rPr>
              <w:t>工程所在区域昼间和夜间噪声级均满足《声环境质量标准》(GB3096-2008)中昼间和夜间的2类标准（昼间60dB(A)、夜间50dB(A)），工程所在地的声环境质量良好。</w:t>
            </w:r>
          </w:p>
          <w:p>
            <w:pPr>
              <w:adjustRightInd w:val="0"/>
              <w:spacing w:line="360" w:lineRule="auto"/>
              <w:ind w:firstLine="480" w:firstLineChars="200"/>
              <w:rPr>
                <w:rFonts w:hint="eastAsia" w:cs="Times New Roman"/>
                <w:sz w:val="24"/>
                <w:highlight w:val="none"/>
                <w:lang w:val="en-US" w:eastAsia="zh-CN"/>
              </w:rPr>
            </w:pPr>
            <w:r>
              <w:rPr>
                <w:rFonts w:hint="eastAsia" w:cs="Times New Roman"/>
                <w:sz w:val="24"/>
                <w:highlight w:val="none"/>
                <w:lang w:val="en-US" w:eastAsia="zh-CN"/>
              </w:rPr>
              <w:t>本工程为地质恢复工程，不属于工业污染类项目，工程施工过程中产生一定的污染物，其主要表现在施工期。工程施工期间，将产生噪声、扬尘及废气、固体废弃物、污水等污染物，其排放量随工序和施工强度不同而变化，采取相应的污染防治措施后，各类污染物的排放对周围环境影响有限。建成运营期间，没有污染物产生，工程运营期将彻底改变项目区满目疮痍的地形地貌景观现状，使项目区治理完成后基本与周边环境相协调，并且会降低当地风沙引起的扬尘现象。项目建设不会降低当地环境质量。因此符合环境质量底线的要求。</w:t>
            </w:r>
          </w:p>
          <w:p>
            <w:pPr>
              <w:adjustRightInd w:val="0"/>
              <w:spacing w:line="360" w:lineRule="auto"/>
              <w:ind w:firstLine="480" w:firstLineChars="200"/>
              <w:rPr>
                <w:rFonts w:hint="eastAsia" w:cs="Times New Roman"/>
                <w:sz w:val="24"/>
                <w:highlight w:val="none"/>
                <w:lang w:val="en-US" w:eastAsia="zh-CN"/>
              </w:rPr>
            </w:pPr>
            <w:r>
              <w:rPr>
                <w:rFonts w:hint="eastAsia" w:cs="Times New Roman"/>
                <w:sz w:val="24"/>
                <w:highlight w:val="none"/>
                <w:lang w:val="en-US" w:eastAsia="zh-CN"/>
              </w:rPr>
              <w:t>③资源利用上线</w:t>
            </w:r>
          </w:p>
          <w:p>
            <w:pPr>
              <w:adjustRightInd w:val="0"/>
              <w:spacing w:line="360" w:lineRule="auto"/>
              <w:ind w:firstLine="480" w:firstLineChars="200"/>
              <w:rPr>
                <w:rFonts w:hint="eastAsia" w:cs="Times New Roman"/>
                <w:sz w:val="24"/>
                <w:highlight w:val="none"/>
                <w:lang w:val="en-US" w:eastAsia="zh-CN"/>
              </w:rPr>
            </w:pPr>
            <w:r>
              <w:rPr>
                <w:rFonts w:hint="eastAsia" w:cs="Times New Roman"/>
                <w:sz w:val="24"/>
                <w:highlight w:val="none"/>
                <w:lang w:val="en-US" w:eastAsia="zh-CN"/>
              </w:rPr>
              <w:t>项目建设用地属吴忠市红寺堡区境内，本项目属于其他污染治理项目，</w:t>
            </w:r>
            <w:r>
              <w:rPr>
                <w:rFonts w:hint="eastAsia"/>
                <w:sz w:val="24"/>
                <w:highlight w:val="none"/>
                <w:lang w:val="en-US" w:eastAsia="zh-CN"/>
              </w:rPr>
              <w:t>煤炭治理区土地类型主要为其他草地和采矿用地</w:t>
            </w:r>
            <w:r>
              <w:rPr>
                <w:rFonts w:hint="eastAsia" w:ascii="Times New Roman" w:hAnsi="Times New Roman" w:cs="Times New Roman"/>
                <w:sz w:val="24"/>
                <w:highlight w:val="none"/>
                <w:lang w:val="en-US" w:eastAsia="zh-CN"/>
              </w:rPr>
              <w:t>，</w:t>
            </w:r>
            <w:r>
              <w:rPr>
                <w:rFonts w:hint="eastAsia" w:cs="Times New Roman"/>
                <w:sz w:val="24"/>
                <w:highlight w:val="none"/>
                <w:lang w:val="en-US" w:eastAsia="zh-CN"/>
              </w:rPr>
              <w:t>建筑用砂治理区土地类型主要为为旱地、其他草地、交通运输用地和裸地，工程施工结束后，用地类型不变。土地资源消耗符合要求。</w:t>
            </w:r>
          </w:p>
          <w:p>
            <w:pPr>
              <w:adjustRightInd w:val="0"/>
              <w:spacing w:line="360" w:lineRule="auto"/>
              <w:ind w:firstLine="480" w:firstLineChars="200"/>
              <w:rPr>
                <w:rFonts w:hint="eastAsia" w:cs="Times New Roman"/>
                <w:sz w:val="24"/>
                <w:highlight w:val="none"/>
                <w:lang w:val="en-US" w:eastAsia="zh-CN"/>
              </w:rPr>
            </w:pPr>
            <w:r>
              <w:rPr>
                <w:rFonts w:hint="eastAsia" w:cs="Times New Roman"/>
                <w:sz w:val="24"/>
                <w:highlight w:val="none"/>
                <w:lang w:val="en-US" w:eastAsia="zh-CN"/>
              </w:rPr>
              <w:t>水资源：本项目运营期不消耗水量。项目建设后，可使废弃矿山地质环境问题及地质灾害隐患得到有效治理，矿山生态环境得到保护，彻底改变治理区满目疮痍的地形地貌景观现状，提高治理区植被覆盖率，可确保居民生活正常用水。</w:t>
            </w:r>
          </w:p>
          <w:p>
            <w:pPr>
              <w:adjustRightInd w:val="0"/>
              <w:spacing w:line="360" w:lineRule="auto"/>
              <w:ind w:firstLine="480" w:firstLineChars="200"/>
              <w:rPr>
                <w:rFonts w:hint="eastAsia" w:cs="Times New Roman"/>
                <w:sz w:val="24"/>
                <w:highlight w:val="none"/>
                <w:lang w:val="en-US" w:eastAsia="zh-CN"/>
              </w:rPr>
            </w:pPr>
            <w:r>
              <w:rPr>
                <w:rFonts w:hint="eastAsia" w:cs="Times New Roman"/>
                <w:sz w:val="24"/>
                <w:highlight w:val="none"/>
                <w:lang w:val="en-US" w:eastAsia="zh-CN"/>
              </w:rPr>
              <w:t>因此，项目资源利用满足要求。</w:t>
            </w:r>
          </w:p>
          <w:p>
            <w:pPr>
              <w:adjustRightInd w:val="0"/>
              <w:spacing w:line="360" w:lineRule="auto"/>
              <w:ind w:firstLine="480" w:firstLineChars="200"/>
              <w:rPr>
                <w:rFonts w:hint="eastAsia" w:cs="Times New Roman"/>
                <w:sz w:val="24"/>
                <w:highlight w:val="none"/>
                <w:lang w:val="en-US" w:eastAsia="zh-CN"/>
              </w:rPr>
            </w:pPr>
            <w:r>
              <w:rPr>
                <w:rFonts w:hint="eastAsia" w:cs="Times New Roman"/>
                <w:sz w:val="24"/>
                <w:highlight w:val="none"/>
                <w:lang w:val="en-US" w:eastAsia="zh-CN"/>
              </w:rPr>
              <w:t>④</w:t>
            </w:r>
            <w:r>
              <w:rPr>
                <w:rFonts w:hint="eastAsia"/>
                <w:sz w:val="24"/>
                <w:highlight w:val="none"/>
                <w:lang w:val="en-US" w:eastAsia="zh-CN"/>
              </w:rPr>
              <w:t>生态环境准入清单</w:t>
            </w:r>
          </w:p>
          <w:p>
            <w:pPr>
              <w:adjustRightInd w:val="0"/>
              <w:snapToGrid/>
              <w:spacing w:line="360" w:lineRule="auto"/>
              <w:ind w:firstLine="480" w:firstLineChars="200"/>
              <w:jc w:val="left"/>
              <w:rPr>
                <w:rFonts w:hint="eastAsia" w:ascii="Times New Roman" w:hAnsi="Times New Roman" w:eastAsia="黑体" w:cs="Times New Roman"/>
                <w:sz w:val="24"/>
                <w:lang w:val="en-US" w:eastAsia="zh-CN"/>
              </w:rPr>
            </w:pPr>
            <w:r>
              <w:rPr>
                <w:rFonts w:hint="eastAsia" w:cs="Times New Roman"/>
                <w:sz w:val="24"/>
                <w:highlight w:val="none"/>
                <w:lang w:val="en-US" w:eastAsia="zh-CN"/>
              </w:rPr>
              <w:t>本项目所在区域生态环境准入清单见下表所示。</w:t>
            </w:r>
          </w:p>
          <w:p>
            <w:pPr>
              <w:adjustRightInd w:val="0"/>
              <w:snapToGrid w:val="0"/>
              <w:spacing w:line="360" w:lineRule="auto"/>
              <w:ind w:firstLine="480" w:firstLineChars="200"/>
              <w:jc w:val="center"/>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表1-</w:t>
            </w:r>
            <w:r>
              <w:rPr>
                <w:rFonts w:hint="eastAsia" w:eastAsia="黑体" w:cs="Times New Roman"/>
                <w:sz w:val="24"/>
                <w:lang w:val="en-US" w:eastAsia="zh-CN"/>
              </w:rPr>
              <w:t>4</w:t>
            </w:r>
            <w:r>
              <w:rPr>
                <w:rFonts w:hint="eastAsia" w:ascii="Times New Roman" w:hAnsi="Times New Roman" w:eastAsia="黑体" w:cs="Times New Roman"/>
                <w:sz w:val="24"/>
                <w:lang w:val="en-US" w:eastAsia="zh-CN"/>
              </w:rPr>
              <w:t xml:space="preserve">    </w:t>
            </w:r>
            <w:r>
              <w:rPr>
                <w:rFonts w:hint="eastAsia" w:eastAsia="黑体" w:cs="Times New Roman"/>
                <w:sz w:val="24"/>
                <w:lang w:val="en-US" w:eastAsia="zh-CN"/>
              </w:rPr>
              <w:t>生态</w:t>
            </w:r>
            <w:r>
              <w:rPr>
                <w:rFonts w:hint="eastAsia" w:ascii="Times New Roman" w:hAnsi="Times New Roman" w:eastAsia="黑体" w:cs="Times New Roman"/>
                <w:sz w:val="24"/>
                <w:lang w:val="en-US" w:eastAsia="zh-CN"/>
              </w:rPr>
              <w:t>环境准入清单</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24"/>
              <w:gridCol w:w="7087"/>
              <w:gridCol w:w="11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b/>
                      <w:sz w:val="21"/>
                      <w:szCs w:val="21"/>
                    </w:rPr>
                  </w:pPr>
                  <w:r>
                    <w:rPr>
                      <w:b/>
                      <w:sz w:val="21"/>
                      <w:szCs w:val="21"/>
                    </w:rPr>
                    <w:t>序号</w:t>
                  </w:r>
                </w:p>
              </w:tc>
              <w:tc>
                <w:tcPr>
                  <w:tcW w:w="7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420"/>
                    <w:jc w:val="center"/>
                    <w:textAlignment w:val="auto"/>
                    <w:rPr>
                      <w:b/>
                      <w:sz w:val="21"/>
                      <w:szCs w:val="21"/>
                    </w:rPr>
                  </w:pPr>
                  <w:r>
                    <w:rPr>
                      <w:b/>
                      <w:sz w:val="21"/>
                      <w:szCs w:val="21"/>
                    </w:rPr>
                    <w:t>法律、法规、政府文件等</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b/>
                      <w:sz w:val="21"/>
                      <w:szCs w:val="21"/>
                    </w:rPr>
                  </w:pPr>
                  <w:r>
                    <w:rPr>
                      <w:b/>
                      <w:sz w:val="21"/>
                      <w:szCs w:val="21"/>
                    </w:rPr>
                    <w:t>是否属于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sz w:val="21"/>
                      <w:szCs w:val="21"/>
                    </w:rPr>
                  </w:pPr>
                  <w:r>
                    <w:rPr>
                      <w:sz w:val="21"/>
                      <w:szCs w:val="21"/>
                    </w:rPr>
                    <w:t>1</w:t>
                  </w:r>
                </w:p>
              </w:tc>
              <w:tc>
                <w:tcPr>
                  <w:tcW w:w="7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sz w:val="21"/>
                      <w:szCs w:val="21"/>
                    </w:rPr>
                  </w:pPr>
                  <w:r>
                    <w:rPr>
                      <w:sz w:val="21"/>
                      <w:szCs w:val="21"/>
                    </w:rPr>
                    <w:t>属于《产业结构调整指导目录》（201</w:t>
                  </w:r>
                  <w:r>
                    <w:rPr>
                      <w:rFonts w:hint="eastAsia"/>
                      <w:sz w:val="21"/>
                      <w:szCs w:val="21"/>
                      <w:lang w:val="en-US" w:eastAsia="zh-CN"/>
                    </w:rPr>
                    <w:t>9</w:t>
                  </w:r>
                  <w:r>
                    <w:rPr>
                      <w:sz w:val="21"/>
                      <w:szCs w:val="21"/>
                    </w:rPr>
                    <w:t>年本）中淘汰类、限制类项目</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sz w:val="21"/>
                      <w:szCs w:val="21"/>
                    </w:rPr>
                  </w:pPr>
                  <w:r>
                    <w:rPr>
                      <w:sz w:val="21"/>
                      <w:szCs w:val="21"/>
                    </w:rPr>
                    <w:t>不属于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sz w:val="21"/>
                      <w:szCs w:val="21"/>
                    </w:rPr>
                  </w:pPr>
                  <w:r>
                    <w:rPr>
                      <w:sz w:val="21"/>
                      <w:szCs w:val="21"/>
                    </w:rPr>
                    <w:t>2</w:t>
                  </w:r>
                </w:p>
              </w:tc>
              <w:tc>
                <w:tcPr>
                  <w:tcW w:w="7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420"/>
                    <w:jc w:val="center"/>
                    <w:textAlignment w:val="auto"/>
                    <w:rPr>
                      <w:sz w:val="21"/>
                      <w:szCs w:val="21"/>
                    </w:rPr>
                  </w:pPr>
                  <w:r>
                    <w:rPr>
                      <w:sz w:val="21"/>
                      <w:szCs w:val="21"/>
                    </w:rPr>
                    <w:t>不符合城市总体规划、土地利用规划、环境保护规划的建设项目</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sz w:val="21"/>
                      <w:szCs w:val="21"/>
                    </w:rPr>
                  </w:pPr>
                  <w:r>
                    <w:rPr>
                      <w:sz w:val="21"/>
                      <w:szCs w:val="21"/>
                    </w:rPr>
                    <w:t>不属于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sz w:val="21"/>
                      <w:szCs w:val="21"/>
                    </w:rPr>
                  </w:pPr>
                  <w:r>
                    <w:rPr>
                      <w:sz w:val="21"/>
                      <w:szCs w:val="21"/>
                    </w:rPr>
                    <w:t>3</w:t>
                  </w:r>
                </w:p>
              </w:tc>
              <w:tc>
                <w:tcPr>
                  <w:tcW w:w="7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420"/>
                    <w:jc w:val="center"/>
                    <w:textAlignment w:val="auto"/>
                    <w:rPr>
                      <w:sz w:val="21"/>
                      <w:szCs w:val="21"/>
                    </w:rPr>
                  </w:pPr>
                  <w:r>
                    <w:rPr>
                      <w:kern w:val="0"/>
                      <w:sz w:val="21"/>
                      <w:szCs w:val="21"/>
                    </w:rPr>
                    <w:t>环境污染严重、污染物排放总量指标未落实的项目</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sz w:val="21"/>
                      <w:szCs w:val="21"/>
                    </w:rPr>
                  </w:pPr>
                  <w:r>
                    <w:rPr>
                      <w:sz w:val="21"/>
                      <w:szCs w:val="21"/>
                    </w:rPr>
                    <w:t>不属于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sz w:val="21"/>
                      <w:szCs w:val="21"/>
                    </w:rPr>
                  </w:pPr>
                  <w:r>
                    <w:rPr>
                      <w:sz w:val="21"/>
                      <w:szCs w:val="21"/>
                    </w:rPr>
                    <w:t>4</w:t>
                  </w:r>
                </w:p>
              </w:tc>
              <w:tc>
                <w:tcPr>
                  <w:tcW w:w="7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420"/>
                    <w:jc w:val="center"/>
                    <w:textAlignment w:val="auto"/>
                    <w:rPr>
                      <w:sz w:val="21"/>
                      <w:szCs w:val="21"/>
                    </w:rPr>
                  </w:pPr>
                  <w:r>
                    <w:rPr>
                      <w:kern w:val="0"/>
                      <w:sz w:val="21"/>
                      <w:szCs w:val="21"/>
                    </w:rPr>
                    <w:t>国家、宁夏回族自治区明确规定不得审批的建设项目</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sz w:val="21"/>
                      <w:szCs w:val="21"/>
                    </w:rPr>
                  </w:pPr>
                  <w:r>
                    <w:rPr>
                      <w:sz w:val="21"/>
                      <w:szCs w:val="21"/>
                    </w:rPr>
                    <w:t>不属于</w:t>
                  </w:r>
                </w:p>
              </w:tc>
            </w:tr>
          </w:tbl>
          <w:p>
            <w:pPr>
              <w:pStyle w:val="7"/>
              <w:adjustRightInd w:val="0"/>
              <w:snapToGrid w:val="0"/>
              <w:spacing w:line="360" w:lineRule="auto"/>
              <w:rPr>
                <w:rFonts w:hint="eastAsia" w:eastAsia="宋体"/>
                <w:sz w:val="24"/>
                <w:highlight w:val="none"/>
                <w:lang w:val="en-US" w:eastAsia="zh-CN"/>
              </w:rPr>
            </w:pPr>
            <w:r>
              <w:rPr>
                <w:rFonts w:hint="eastAsia"/>
                <w:highlight w:val="none"/>
                <w:lang w:val="en-US" w:eastAsia="zh-CN"/>
              </w:rPr>
              <w:t>同时根据“重点生态功能区划分”分析，本项目不在产业负面清单内。因此，</w:t>
            </w:r>
            <w:r>
              <w:rPr>
                <w:rFonts w:hint="eastAsia" w:eastAsia="宋体"/>
                <w:sz w:val="24"/>
                <w:highlight w:val="none"/>
                <w:lang w:val="en-US" w:eastAsia="zh-CN"/>
              </w:rPr>
              <w:t>本项目</w:t>
            </w:r>
            <w:r>
              <w:rPr>
                <w:rFonts w:hint="eastAsia"/>
                <w:sz w:val="24"/>
                <w:highlight w:val="none"/>
                <w:lang w:val="en-US" w:eastAsia="zh-CN"/>
              </w:rPr>
              <w:t>属于生态</w:t>
            </w:r>
            <w:r>
              <w:rPr>
                <w:rFonts w:hint="eastAsia" w:cs="Times New Roman"/>
                <w:sz w:val="24"/>
                <w:highlight w:val="none"/>
                <w:lang w:val="en-US" w:eastAsia="zh-CN"/>
              </w:rPr>
              <w:t>环境准入</w:t>
            </w:r>
            <w:r>
              <w:rPr>
                <w:rFonts w:hint="eastAsia" w:eastAsia="宋体"/>
                <w:sz w:val="24"/>
                <w:highlight w:val="none"/>
                <w:lang w:val="en-US" w:eastAsia="zh-CN"/>
              </w:rPr>
              <w:t>清单内。</w:t>
            </w:r>
          </w:p>
          <w:p>
            <w:pPr>
              <w:adjustRightInd w:val="0"/>
              <w:snapToGrid w:val="0"/>
              <w:spacing w:line="360" w:lineRule="auto"/>
              <w:rPr>
                <w:rFonts w:eastAsia="黑体"/>
                <w:sz w:val="24"/>
              </w:rPr>
            </w:pPr>
            <w:r>
              <w:rPr>
                <w:rFonts w:eastAsia="黑体"/>
                <w:sz w:val="24"/>
              </w:rPr>
              <w:t>2、</w:t>
            </w:r>
            <w:r>
              <w:rPr>
                <w:rFonts w:hint="eastAsia" w:eastAsia="黑体"/>
                <w:sz w:val="24"/>
              </w:rPr>
              <w:t>编制依据</w:t>
            </w:r>
          </w:p>
          <w:p>
            <w:pPr>
              <w:adjustRightInd w:val="0"/>
              <w:snapToGrid w:val="0"/>
              <w:spacing w:line="360" w:lineRule="auto"/>
              <w:rPr>
                <w:rFonts w:eastAsia="黑体"/>
                <w:sz w:val="24"/>
              </w:rPr>
            </w:pPr>
            <w:r>
              <w:rPr>
                <w:rFonts w:eastAsia="黑体"/>
                <w:sz w:val="24"/>
              </w:rPr>
              <w:t>2.1 相关法律法规</w:t>
            </w:r>
          </w:p>
          <w:p>
            <w:pPr>
              <w:adjustRightInd w:val="0"/>
              <w:snapToGrid w:val="0"/>
              <w:spacing w:line="360" w:lineRule="auto"/>
              <w:ind w:firstLine="480" w:firstLineChars="200"/>
              <w:rPr>
                <w:sz w:val="24"/>
              </w:rPr>
            </w:pPr>
            <w:r>
              <w:rPr>
                <w:rFonts w:hint="eastAsia"/>
                <w:sz w:val="24"/>
              </w:rPr>
              <w:t>⑴</w:t>
            </w:r>
            <w:r>
              <w:rPr>
                <w:sz w:val="24"/>
              </w:rPr>
              <w:t>《中华人民共和国环境保护法》(2015</w:t>
            </w:r>
            <w:r>
              <w:rPr>
                <w:rFonts w:hint="eastAsia"/>
                <w:sz w:val="24"/>
              </w:rPr>
              <w:t>年</w:t>
            </w:r>
            <w:r>
              <w:rPr>
                <w:sz w:val="24"/>
              </w:rPr>
              <w:t>1</w:t>
            </w:r>
            <w:r>
              <w:rPr>
                <w:rFonts w:hint="eastAsia"/>
                <w:sz w:val="24"/>
              </w:rPr>
              <w:t>月</w:t>
            </w:r>
            <w:r>
              <w:rPr>
                <w:sz w:val="24"/>
              </w:rPr>
              <w:t>1</w:t>
            </w:r>
            <w:r>
              <w:rPr>
                <w:rFonts w:hint="eastAsia"/>
                <w:sz w:val="24"/>
              </w:rPr>
              <w:t>日施行</w:t>
            </w:r>
            <w:r>
              <w:rPr>
                <w:sz w:val="24"/>
              </w:rPr>
              <w:t>)；</w:t>
            </w:r>
          </w:p>
          <w:p>
            <w:pPr>
              <w:adjustRightInd w:val="0"/>
              <w:snapToGrid w:val="0"/>
              <w:spacing w:line="360" w:lineRule="auto"/>
              <w:ind w:firstLine="480" w:firstLineChars="200"/>
              <w:rPr>
                <w:sz w:val="24"/>
              </w:rPr>
            </w:pPr>
            <w:r>
              <w:rPr>
                <w:rFonts w:hint="eastAsia"/>
                <w:sz w:val="24"/>
              </w:rPr>
              <w:t>⑵</w:t>
            </w:r>
            <w:r>
              <w:rPr>
                <w:sz w:val="24"/>
              </w:rPr>
              <w:t>《中华人民共和国环境影响评价法》(2018</w:t>
            </w:r>
            <w:r>
              <w:rPr>
                <w:rFonts w:hint="eastAsia"/>
                <w:sz w:val="24"/>
              </w:rPr>
              <w:t>年</w:t>
            </w:r>
            <w:r>
              <w:rPr>
                <w:sz w:val="24"/>
              </w:rPr>
              <w:t>12</w:t>
            </w:r>
            <w:r>
              <w:rPr>
                <w:rFonts w:hint="eastAsia"/>
                <w:sz w:val="24"/>
              </w:rPr>
              <w:t>月</w:t>
            </w:r>
            <w:r>
              <w:rPr>
                <w:sz w:val="24"/>
              </w:rPr>
              <w:t>29</w:t>
            </w:r>
            <w:r>
              <w:rPr>
                <w:rFonts w:hint="eastAsia"/>
                <w:sz w:val="24"/>
              </w:rPr>
              <w:t>日施行</w:t>
            </w:r>
            <w:r>
              <w:rPr>
                <w:sz w:val="24"/>
              </w:rPr>
              <w:t>)；</w:t>
            </w:r>
          </w:p>
          <w:p>
            <w:pPr>
              <w:adjustRightInd w:val="0"/>
              <w:snapToGrid w:val="0"/>
              <w:spacing w:line="360" w:lineRule="auto"/>
              <w:ind w:firstLine="480" w:firstLineChars="200"/>
              <w:rPr>
                <w:sz w:val="24"/>
              </w:rPr>
            </w:pPr>
            <w:r>
              <w:rPr>
                <w:rFonts w:hint="eastAsia"/>
                <w:sz w:val="24"/>
              </w:rPr>
              <w:t>⑶</w:t>
            </w:r>
            <w:r>
              <w:rPr>
                <w:sz w:val="24"/>
              </w:rPr>
              <w:t>《中华人民共和国大气污染防治法》(2018</w:t>
            </w:r>
            <w:r>
              <w:rPr>
                <w:rFonts w:hint="eastAsia"/>
                <w:sz w:val="24"/>
              </w:rPr>
              <w:t>年</w:t>
            </w:r>
            <w:r>
              <w:rPr>
                <w:sz w:val="24"/>
              </w:rPr>
              <w:t>10</w:t>
            </w:r>
            <w:r>
              <w:rPr>
                <w:rFonts w:hint="eastAsia"/>
                <w:sz w:val="24"/>
              </w:rPr>
              <w:t>月</w:t>
            </w:r>
            <w:r>
              <w:rPr>
                <w:sz w:val="24"/>
              </w:rPr>
              <w:t>26</w:t>
            </w:r>
            <w:r>
              <w:rPr>
                <w:rFonts w:hint="eastAsia"/>
                <w:sz w:val="24"/>
              </w:rPr>
              <w:t>日施行</w:t>
            </w:r>
            <w:r>
              <w:rPr>
                <w:sz w:val="24"/>
              </w:rPr>
              <w:t>)；</w:t>
            </w:r>
          </w:p>
          <w:p>
            <w:pPr>
              <w:adjustRightInd w:val="0"/>
              <w:snapToGrid w:val="0"/>
              <w:spacing w:line="360" w:lineRule="auto"/>
              <w:ind w:firstLine="480" w:firstLineChars="200"/>
              <w:rPr>
                <w:sz w:val="24"/>
              </w:rPr>
            </w:pPr>
            <w:r>
              <w:rPr>
                <w:rFonts w:hint="eastAsia"/>
                <w:sz w:val="24"/>
              </w:rPr>
              <w:t>⑷</w:t>
            </w:r>
            <w:r>
              <w:rPr>
                <w:sz w:val="24"/>
              </w:rPr>
              <w:t>《中华人民共和国水污染防治法》(201</w:t>
            </w:r>
            <w:r>
              <w:rPr>
                <w:rFonts w:hint="eastAsia"/>
                <w:sz w:val="24"/>
              </w:rPr>
              <w:t>8年1月1日施行</w:t>
            </w:r>
            <w:r>
              <w:rPr>
                <w:sz w:val="24"/>
              </w:rPr>
              <w:t>)；</w:t>
            </w:r>
          </w:p>
          <w:p>
            <w:pPr>
              <w:adjustRightInd w:val="0"/>
              <w:snapToGrid w:val="0"/>
              <w:spacing w:line="360" w:lineRule="auto"/>
              <w:ind w:firstLine="480" w:firstLineChars="200"/>
              <w:rPr>
                <w:sz w:val="24"/>
              </w:rPr>
            </w:pPr>
            <w:r>
              <w:rPr>
                <w:rFonts w:hint="eastAsia"/>
                <w:sz w:val="24"/>
              </w:rPr>
              <w:t>⑸</w:t>
            </w:r>
            <w:r>
              <w:rPr>
                <w:sz w:val="24"/>
              </w:rPr>
              <w:t>《中华人民共和国环境噪声污染防治法》(2018</w:t>
            </w:r>
            <w:r>
              <w:rPr>
                <w:rFonts w:hint="eastAsia"/>
                <w:sz w:val="24"/>
              </w:rPr>
              <w:t>年</w:t>
            </w:r>
            <w:r>
              <w:rPr>
                <w:sz w:val="24"/>
              </w:rPr>
              <w:t>12</w:t>
            </w:r>
            <w:r>
              <w:rPr>
                <w:rFonts w:hint="eastAsia"/>
                <w:sz w:val="24"/>
              </w:rPr>
              <w:t>月</w:t>
            </w:r>
            <w:r>
              <w:rPr>
                <w:sz w:val="24"/>
              </w:rPr>
              <w:t>29</w:t>
            </w:r>
            <w:r>
              <w:rPr>
                <w:rFonts w:hint="eastAsia"/>
                <w:sz w:val="24"/>
              </w:rPr>
              <w:t>日施行</w:t>
            </w:r>
            <w:r>
              <w:rPr>
                <w:sz w:val="24"/>
              </w:rPr>
              <w:t>)；</w:t>
            </w:r>
          </w:p>
          <w:p>
            <w:pPr>
              <w:adjustRightInd w:val="0"/>
              <w:snapToGrid w:val="0"/>
              <w:spacing w:line="360" w:lineRule="auto"/>
              <w:ind w:firstLine="480" w:firstLineChars="200"/>
              <w:rPr>
                <w:sz w:val="24"/>
              </w:rPr>
            </w:pPr>
            <w:r>
              <w:rPr>
                <w:rFonts w:hint="eastAsia"/>
                <w:sz w:val="24"/>
              </w:rPr>
              <w:t>⑹</w:t>
            </w:r>
            <w:r>
              <w:rPr>
                <w:sz w:val="24"/>
              </w:rPr>
              <w:t>《中华人民共和国固体废物污染环境防治法》(20</w:t>
            </w:r>
            <w:r>
              <w:rPr>
                <w:rFonts w:hint="eastAsia"/>
                <w:sz w:val="24"/>
                <w:lang w:val="en-US" w:eastAsia="zh-CN"/>
              </w:rPr>
              <w:t>20</w:t>
            </w:r>
            <w:r>
              <w:rPr>
                <w:rFonts w:hint="eastAsia"/>
                <w:sz w:val="24"/>
              </w:rPr>
              <w:t>年</w:t>
            </w:r>
            <w:r>
              <w:rPr>
                <w:rFonts w:hint="eastAsia"/>
                <w:sz w:val="24"/>
                <w:lang w:val="en-US" w:eastAsia="zh-CN"/>
              </w:rPr>
              <w:t>9</w:t>
            </w:r>
            <w:r>
              <w:rPr>
                <w:rFonts w:hint="eastAsia"/>
                <w:sz w:val="24"/>
              </w:rPr>
              <w:t>月</w:t>
            </w:r>
            <w:r>
              <w:rPr>
                <w:rFonts w:hint="eastAsia"/>
                <w:sz w:val="24"/>
                <w:lang w:val="en-US" w:eastAsia="zh-CN"/>
              </w:rPr>
              <w:t>1</w:t>
            </w:r>
            <w:r>
              <w:rPr>
                <w:rFonts w:hint="eastAsia"/>
                <w:sz w:val="24"/>
              </w:rPr>
              <w:t>日施行</w:t>
            </w:r>
            <w:r>
              <w:rPr>
                <w:sz w:val="24"/>
              </w:rPr>
              <w:t>)；</w:t>
            </w:r>
          </w:p>
          <w:p>
            <w:pPr>
              <w:adjustRightInd w:val="0"/>
              <w:snapToGrid w:val="0"/>
              <w:spacing w:line="360" w:lineRule="auto"/>
              <w:ind w:firstLine="480" w:firstLineChars="200"/>
              <w:rPr>
                <w:sz w:val="24"/>
              </w:rPr>
            </w:pPr>
            <w:r>
              <w:rPr>
                <w:rFonts w:hint="eastAsia"/>
                <w:sz w:val="24"/>
              </w:rPr>
              <w:t>⑺</w:t>
            </w:r>
            <w:r>
              <w:rPr>
                <w:sz w:val="24"/>
              </w:rPr>
              <w:t>《中华人民共和国土壤</w:t>
            </w:r>
            <w:r>
              <w:rPr>
                <w:rFonts w:hint="eastAsia"/>
                <w:color w:val="000000" w:themeColor="text1"/>
                <w:sz w:val="24"/>
                <w:lang w:eastAsia="zh-CN"/>
                <w14:textFill>
                  <w14:solidFill>
                    <w14:schemeClr w14:val="tx1"/>
                  </w14:solidFill>
                </w14:textFill>
              </w:rPr>
              <w:t>污染</w:t>
            </w:r>
            <w:r>
              <w:rPr>
                <w:sz w:val="24"/>
              </w:rPr>
              <w:t>防治法》(2019年1月1日施行)；</w:t>
            </w:r>
          </w:p>
          <w:p>
            <w:pPr>
              <w:adjustRightInd w:val="0"/>
              <w:snapToGrid w:val="0"/>
              <w:spacing w:line="360" w:lineRule="auto"/>
              <w:ind w:firstLine="480" w:firstLineChars="200"/>
              <w:rPr>
                <w:sz w:val="24"/>
              </w:rPr>
            </w:pPr>
            <w:r>
              <w:rPr>
                <w:rFonts w:hint="eastAsia"/>
                <w:sz w:val="24"/>
              </w:rPr>
              <w:t>⑻</w:t>
            </w:r>
            <w:r>
              <w:rPr>
                <w:sz w:val="24"/>
              </w:rPr>
              <w:t>《产业结构调整指导目录(2019年本)》 (2020</w:t>
            </w:r>
            <w:r>
              <w:rPr>
                <w:rFonts w:hint="eastAsia"/>
                <w:sz w:val="24"/>
              </w:rPr>
              <w:t>年</w:t>
            </w:r>
            <w:r>
              <w:rPr>
                <w:sz w:val="24"/>
              </w:rPr>
              <w:t>1</w:t>
            </w:r>
            <w:r>
              <w:rPr>
                <w:rFonts w:hint="eastAsia"/>
                <w:sz w:val="24"/>
              </w:rPr>
              <w:t>月</w:t>
            </w:r>
            <w:r>
              <w:rPr>
                <w:sz w:val="24"/>
              </w:rPr>
              <w:t>1</w:t>
            </w:r>
            <w:r>
              <w:rPr>
                <w:rFonts w:hint="eastAsia"/>
                <w:sz w:val="24"/>
              </w:rPr>
              <w:t>日施行</w:t>
            </w:r>
            <w:r>
              <w:rPr>
                <w:sz w:val="24"/>
              </w:rPr>
              <w:t>)；</w:t>
            </w:r>
          </w:p>
          <w:p>
            <w:pPr>
              <w:adjustRightInd w:val="0"/>
              <w:snapToGrid w:val="0"/>
              <w:spacing w:line="360" w:lineRule="auto"/>
              <w:ind w:firstLine="480" w:firstLineChars="200"/>
              <w:rPr>
                <w:sz w:val="24"/>
              </w:rPr>
            </w:pPr>
            <w:r>
              <w:rPr>
                <w:rFonts w:hint="eastAsia"/>
                <w:sz w:val="24"/>
              </w:rPr>
              <w:t>⑼</w:t>
            </w:r>
            <w:r>
              <w:rPr>
                <w:sz w:val="24"/>
              </w:rPr>
              <w:t>《建设项目环境保护管理条例》(</w:t>
            </w:r>
            <w:r>
              <w:rPr>
                <w:rFonts w:hint="eastAsia"/>
                <w:sz w:val="24"/>
              </w:rPr>
              <w:t>国务院令第6</w:t>
            </w:r>
            <w:r>
              <w:rPr>
                <w:sz w:val="24"/>
              </w:rPr>
              <w:t>82</w:t>
            </w:r>
            <w:r>
              <w:rPr>
                <w:rFonts w:hint="eastAsia"/>
                <w:sz w:val="24"/>
              </w:rPr>
              <w:t>号，</w:t>
            </w:r>
            <w:r>
              <w:rPr>
                <w:sz w:val="24"/>
              </w:rPr>
              <w:t>2017</w:t>
            </w:r>
            <w:r>
              <w:rPr>
                <w:rFonts w:hint="eastAsia"/>
                <w:sz w:val="24"/>
              </w:rPr>
              <w:t>年</w:t>
            </w:r>
            <w:r>
              <w:rPr>
                <w:sz w:val="24"/>
              </w:rPr>
              <w:t>10</w:t>
            </w:r>
            <w:r>
              <w:rPr>
                <w:rFonts w:hint="eastAsia"/>
                <w:sz w:val="24"/>
              </w:rPr>
              <w:t>月</w:t>
            </w:r>
            <w:r>
              <w:rPr>
                <w:sz w:val="24"/>
              </w:rPr>
              <w:t>1</w:t>
            </w:r>
            <w:r>
              <w:rPr>
                <w:rFonts w:hint="eastAsia"/>
                <w:sz w:val="24"/>
              </w:rPr>
              <w:t>日施行</w:t>
            </w:r>
            <w:r>
              <w:rPr>
                <w:sz w:val="24"/>
              </w:rPr>
              <w:t>)；</w:t>
            </w:r>
          </w:p>
          <w:p>
            <w:pPr>
              <w:adjustRightInd w:val="0"/>
              <w:snapToGrid w:val="0"/>
              <w:spacing w:line="360" w:lineRule="auto"/>
              <w:ind w:firstLine="480" w:firstLineChars="200"/>
              <w:rPr>
                <w:sz w:val="24"/>
              </w:rPr>
            </w:pPr>
            <w:r>
              <w:rPr>
                <w:rFonts w:hint="eastAsia"/>
                <w:sz w:val="24"/>
              </w:rPr>
              <w:t>⑽《建设项目环境影响评价分类管理名录》(环境保护部令第</w:t>
            </w:r>
            <w:r>
              <w:rPr>
                <w:rFonts w:hint="eastAsia"/>
                <w:sz w:val="24"/>
                <w:lang w:val="en-US" w:eastAsia="zh-CN"/>
              </w:rPr>
              <w:t>16</w:t>
            </w:r>
            <w:r>
              <w:rPr>
                <w:rFonts w:hint="eastAsia"/>
                <w:sz w:val="24"/>
              </w:rPr>
              <w:t>号，</w:t>
            </w:r>
            <w:r>
              <w:rPr>
                <w:sz w:val="24"/>
              </w:rPr>
              <w:t>20</w:t>
            </w:r>
            <w:r>
              <w:rPr>
                <w:rFonts w:hint="eastAsia"/>
                <w:sz w:val="24"/>
                <w:lang w:val="en-US" w:eastAsia="zh-CN"/>
              </w:rPr>
              <w:t>21</w:t>
            </w:r>
            <w:r>
              <w:rPr>
                <w:rFonts w:hint="eastAsia"/>
                <w:sz w:val="24"/>
              </w:rPr>
              <w:t>年</w:t>
            </w:r>
            <w:r>
              <w:rPr>
                <w:rFonts w:hint="eastAsia"/>
                <w:sz w:val="24"/>
                <w:lang w:val="en-US" w:eastAsia="zh-CN"/>
              </w:rPr>
              <w:t>1</w:t>
            </w:r>
            <w:r>
              <w:rPr>
                <w:rFonts w:hint="eastAsia"/>
                <w:sz w:val="24"/>
              </w:rPr>
              <w:t>月1日施行)；</w:t>
            </w:r>
          </w:p>
          <w:p>
            <w:pPr>
              <w:adjustRightInd w:val="0"/>
              <w:snapToGrid w:val="0"/>
              <w:spacing w:line="360" w:lineRule="auto"/>
              <w:ind w:firstLine="480" w:firstLineChars="200"/>
              <w:rPr>
                <w:sz w:val="24"/>
              </w:rPr>
            </w:pPr>
            <w:r>
              <w:rPr>
                <w:rFonts w:hint="eastAsia"/>
                <w:sz w:val="24"/>
              </w:rPr>
              <w:t>⑾《宁夏回族自治区环境保护条例》</w:t>
            </w:r>
            <w:r>
              <w:rPr>
                <w:sz w:val="24"/>
              </w:rPr>
              <w:t>(2016</w:t>
            </w:r>
            <w:r>
              <w:rPr>
                <w:rFonts w:hint="eastAsia"/>
                <w:sz w:val="24"/>
              </w:rPr>
              <w:t>年</w:t>
            </w:r>
            <w:r>
              <w:rPr>
                <w:sz w:val="24"/>
              </w:rPr>
              <w:t>5</w:t>
            </w:r>
            <w:r>
              <w:rPr>
                <w:rFonts w:hint="eastAsia"/>
                <w:sz w:val="24"/>
              </w:rPr>
              <w:t>月</w:t>
            </w:r>
            <w:r>
              <w:rPr>
                <w:sz w:val="24"/>
              </w:rPr>
              <w:t>27</w:t>
            </w:r>
            <w:r>
              <w:rPr>
                <w:rFonts w:hint="eastAsia"/>
                <w:sz w:val="24"/>
              </w:rPr>
              <w:t>日施行</w:t>
            </w:r>
            <w:r>
              <w:rPr>
                <w:sz w:val="24"/>
              </w:rPr>
              <w:t>)</w:t>
            </w:r>
            <w:r>
              <w:rPr>
                <w:rFonts w:hint="eastAsia"/>
                <w:sz w:val="24"/>
              </w:rPr>
              <w:t>；</w:t>
            </w:r>
          </w:p>
          <w:p>
            <w:pPr>
              <w:adjustRightInd w:val="0"/>
              <w:snapToGrid w:val="0"/>
              <w:spacing w:line="360" w:lineRule="auto"/>
              <w:ind w:firstLine="480" w:firstLineChars="200"/>
              <w:rPr>
                <w:rFonts w:hint="eastAsia"/>
                <w:sz w:val="24"/>
              </w:rPr>
            </w:pPr>
            <w:r>
              <w:rPr>
                <w:rFonts w:hint="eastAsia"/>
                <w:sz w:val="24"/>
              </w:rPr>
              <w:t>⑿《宁夏回族自治区大气污染防治条例》(</w:t>
            </w:r>
            <w:r>
              <w:rPr>
                <w:sz w:val="24"/>
              </w:rPr>
              <w:t>2017</w:t>
            </w:r>
            <w:r>
              <w:rPr>
                <w:rFonts w:hint="eastAsia"/>
                <w:sz w:val="24"/>
              </w:rPr>
              <w:t>年</w:t>
            </w:r>
            <w:r>
              <w:rPr>
                <w:sz w:val="24"/>
              </w:rPr>
              <w:t>9</w:t>
            </w:r>
            <w:r>
              <w:rPr>
                <w:rFonts w:hint="eastAsia"/>
                <w:sz w:val="24"/>
              </w:rPr>
              <w:t>月</w:t>
            </w:r>
            <w:r>
              <w:rPr>
                <w:sz w:val="24"/>
              </w:rPr>
              <w:t>28</w:t>
            </w:r>
            <w:r>
              <w:rPr>
                <w:rFonts w:hint="eastAsia"/>
                <w:sz w:val="24"/>
              </w:rPr>
              <w:t>日施行</w:t>
            </w:r>
            <w:r>
              <w:rPr>
                <w:sz w:val="24"/>
              </w:rPr>
              <w:t>)</w:t>
            </w:r>
            <w:r>
              <w:rPr>
                <w:rFonts w:hint="eastAsia"/>
                <w:sz w:val="24"/>
              </w:rPr>
              <w:t>；</w:t>
            </w:r>
          </w:p>
          <w:p>
            <w:pPr>
              <w:adjustRightInd w:val="0"/>
              <w:snapToGrid w:val="0"/>
              <w:spacing w:line="360" w:lineRule="auto"/>
              <w:ind w:firstLine="480" w:firstLineChars="200"/>
              <w:rPr>
                <w:sz w:val="24"/>
              </w:rPr>
            </w:pPr>
            <w:r>
              <w:rPr>
                <w:rFonts w:hint="eastAsia"/>
                <w:sz w:val="24"/>
              </w:rPr>
              <w:t>⒀《关于落实绿色发展理念</w:t>
            </w:r>
            <w:r>
              <w:rPr>
                <w:sz w:val="24"/>
              </w:rPr>
              <w:t xml:space="preserve"> 加快美丽宁夏建设的意见</w:t>
            </w:r>
            <w:r>
              <w:rPr>
                <w:rFonts w:hint="eastAsia"/>
                <w:sz w:val="24"/>
              </w:rPr>
              <w:t>》(</w:t>
            </w:r>
            <w:r>
              <w:rPr>
                <w:sz w:val="24"/>
              </w:rPr>
              <w:t>2016</w:t>
            </w:r>
            <w:r>
              <w:rPr>
                <w:rFonts w:hint="eastAsia"/>
                <w:sz w:val="24"/>
              </w:rPr>
              <w:t>年</w:t>
            </w:r>
            <w:r>
              <w:rPr>
                <w:sz w:val="24"/>
              </w:rPr>
              <w:t>7</w:t>
            </w:r>
            <w:r>
              <w:rPr>
                <w:rFonts w:hint="eastAsia"/>
                <w:sz w:val="24"/>
              </w:rPr>
              <w:t>月</w:t>
            </w:r>
            <w:r>
              <w:rPr>
                <w:sz w:val="24"/>
              </w:rPr>
              <w:t>27</w:t>
            </w:r>
            <w:r>
              <w:rPr>
                <w:rFonts w:hint="eastAsia"/>
                <w:sz w:val="24"/>
              </w:rPr>
              <w:t>日施行</w:t>
            </w:r>
            <w:r>
              <w:rPr>
                <w:sz w:val="24"/>
              </w:rPr>
              <w:t>)</w:t>
            </w:r>
            <w:r>
              <w:rPr>
                <w:rFonts w:hint="eastAsia"/>
                <w:sz w:val="24"/>
              </w:rPr>
              <w:t>。</w:t>
            </w:r>
          </w:p>
          <w:p>
            <w:pPr>
              <w:adjustRightInd w:val="0"/>
              <w:snapToGrid w:val="0"/>
              <w:spacing w:line="360" w:lineRule="auto"/>
              <w:rPr>
                <w:rFonts w:eastAsia="黑体"/>
                <w:sz w:val="24"/>
              </w:rPr>
            </w:pPr>
            <w:r>
              <w:rPr>
                <w:rFonts w:eastAsia="黑体"/>
                <w:sz w:val="24"/>
              </w:rPr>
              <w:t>2.2 政策性文件</w:t>
            </w:r>
          </w:p>
          <w:p>
            <w:pPr>
              <w:adjustRightInd w:val="0"/>
              <w:snapToGrid w:val="0"/>
              <w:spacing w:line="360" w:lineRule="auto"/>
              <w:ind w:firstLine="480" w:firstLineChars="200"/>
              <w:rPr>
                <w:sz w:val="24"/>
              </w:rPr>
            </w:pPr>
            <w:r>
              <w:rPr>
                <w:rFonts w:hint="eastAsia"/>
                <w:sz w:val="24"/>
              </w:rPr>
              <w:t>⑴</w:t>
            </w:r>
            <w:r>
              <w:rPr>
                <w:sz w:val="24"/>
              </w:rPr>
              <w:t>《国务院关于印发水污染防治行动计划的通知》(国发</w:t>
            </w:r>
            <w:r>
              <w:rPr>
                <w:rFonts w:hint="eastAsia"/>
                <w:sz w:val="24"/>
              </w:rPr>
              <w:t>〔</w:t>
            </w:r>
            <w:r>
              <w:rPr>
                <w:sz w:val="24"/>
              </w:rPr>
              <w:t>2015〕17号</w:t>
            </w:r>
            <w:r>
              <w:rPr>
                <w:rFonts w:hint="eastAsia"/>
                <w:sz w:val="24"/>
              </w:rPr>
              <w:t>，</w:t>
            </w:r>
            <w:r>
              <w:rPr>
                <w:sz w:val="24"/>
              </w:rPr>
              <w:t>2015年4月16日)；</w:t>
            </w:r>
          </w:p>
          <w:p>
            <w:pPr>
              <w:adjustRightInd w:val="0"/>
              <w:snapToGrid w:val="0"/>
              <w:spacing w:line="360" w:lineRule="auto"/>
              <w:ind w:firstLine="480" w:firstLineChars="200"/>
              <w:rPr>
                <w:sz w:val="24"/>
              </w:rPr>
            </w:pPr>
            <w:r>
              <w:rPr>
                <w:rFonts w:hint="eastAsia"/>
                <w:sz w:val="24"/>
              </w:rPr>
              <w:t>⑵</w:t>
            </w:r>
            <w:r>
              <w:rPr>
                <w:sz w:val="24"/>
              </w:rPr>
              <w:t>《国务院关于印发土壤污染防治行动计划的通知》(国发</w:t>
            </w:r>
            <w:r>
              <w:rPr>
                <w:rFonts w:hint="eastAsia"/>
                <w:sz w:val="24"/>
              </w:rPr>
              <w:t>〔</w:t>
            </w:r>
            <w:r>
              <w:rPr>
                <w:sz w:val="24"/>
              </w:rPr>
              <w:t>2016〕31号</w:t>
            </w:r>
            <w:r>
              <w:rPr>
                <w:rFonts w:hint="eastAsia"/>
                <w:sz w:val="24"/>
              </w:rPr>
              <w:t>，</w:t>
            </w:r>
            <w:r>
              <w:rPr>
                <w:sz w:val="24"/>
              </w:rPr>
              <w:t>2016年5月28日)；</w:t>
            </w:r>
          </w:p>
          <w:p>
            <w:pPr>
              <w:adjustRightInd w:val="0"/>
              <w:snapToGrid w:val="0"/>
              <w:spacing w:line="360" w:lineRule="auto"/>
              <w:ind w:firstLine="480" w:firstLineChars="200"/>
              <w:rPr>
                <w:sz w:val="24"/>
              </w:rPr>
            </w:pPr>
            <w:r>
              <w:rPr>
                <w:rFonts w:hint="eastAsia"/>
                <w:sz w:val="24"/>
              </w:rPr>
              <w:t>⑶</w:t>
            </w:r>
            <w:r>
              <w:rPr>
                <w:sz w:val="24"/>
              </w:rPr>
              <w:t>《</w:t>
            </w:r>
            <w:r>
              <w:rPr>
                <w:bCs/>
                <w:sz w:val="24"/>
              </w:rPr>
              <w:t>国务院关于印发</w:t>
            </w:r>
            <w:r>
              <w:rPr>
                <w:rFonts w:ascii="宋体" w:hAnsi="宋体"/>
                <w:bCs/>
                <w:sz w:val="24"/>
              </w:rPr>
              <w:t>“十三五”</w:t>
            </w:r>
            <w:r>
              <w:rPr>
                <w:bCs/>
                <w:sz w:val="24"/>
              </w:rPr>
              <w:t>生态环境保护规划的通知</w:t>
            </w:r>
            <w:r>
              <w:rPr>
                <w:sz w:val="24"/>
              </w:rPr>
              <w:t>》(国发</w:t>
            </w:r>
            <w:r>
              <w:rPr>
                <w:rFonts w:hint="eastAsia"/>
                <w:sz w:val="24"/>
              </w:rPr>
              <w:t>〔</w:t>
            </w:r>
            <w:r>
              <w:rPr>
                <w:sz w:val="24"/>
              </w:rPr>
              <w:t>2016〕65号</w:t>
            </w:r>
            <w:r>
              <w:rPr>
                <w:rFonts w:hint="eastAsia"/>
                <w:sz w:val="24"/>
              </w:rPr>
              <w:t>，</w:t>
            </w:r>
            <w:r>
              <w:rPr>
                <w:sz w:val="24"/>
              </w:rPr>
              <w:t>2016年11月24日)；</w:t>
            </w:r>
          </w:p>
          <w:p>
            <w:pPr>
              <w:adjustRightInd w:val="0"/>
              <w:snapToGrid w:val="0"/>
              <w:spacing w:line="360" w:lineRule="auto"/>
              <w:ind w:firstLine="480" w:firstLineChars="200"/>
              <w:rPr>
                <w:sz w:val="24"/>
              </w:rPr>
            </w:pPr>
            <w:r>
              <w:rPr>
                <w:rFonts w:hint="eastAsia"/>
                <w:sz w:val="24"/>
              </w:rPr>
              <w:t>⑷</w:t>
            </w:r>
            <w:r>
              <w:rPr>
                <w:sz w:val="24"/>
              </w:rPr>
              <w:t>《</w:t>
            </w:r>
            <w:r>
              <w:rPr>
                <w:rFonts w:hint="eastAsia"/>
                <w:sz w:val="24"/>
              </w:rPr>
              <w:t>自治区人民政府</w:t>
            </w:r>
            <w:r>
              <w:rPr>
                <w:sz w:val="24"/>
              </w:rPr>
              <w:t>关于印发宁夏回族自治区水污染防治工作方案的通知》(宁政发〔2015〕106号</w:t>
            </w:r>
            <w:r>
              <w:rPr>
                <w:rFonts w:hint="eastAsia"/>
                <w:sz w:val="24"/>
              </w:rPr>
              <w:t>，</w:t>
            </w:r>
            <w:r>
              <w:rPr>
                <w:sz w:val="24"/>
              </w:rPr>
              <w:t>2015年12月30日)；</w:t>
            </w:r>
          </w:p>
          <w:p>
            <w:pPr>
              <w:adjustRightInd w:val="0"/>
              <w:snapToGrid w:val="0"/>
              <w:spacing w:line="360" w:lineRule="auto"/>
              <w:ind w:firstLine="480" w:firstLineChars="200"/>
              <w:rPr>
                <w:sz w:val="24"/>
              </w:rPr>
            </w:pPr>
            <w:r>
              <w:rPr>
                <w:rFonts w:hint="eastAsia"/>
                <w:sz w:val="24"/>
              </w:rPr>
              <w:t>⑸</w:t>
            </w:r>
            <w:r>
              <w:rPr>
                <w:sz w:val="24"/>
              </w:rPr>
              <w:t>《</w:t>
            </w:r>
            <w:r>
              <w:rPr>
                <w:rFonts w:hint="eastAsia"/>
                <w:sz w:val="24"/>
              </w:rPr>
              <w:t>自治区人民政府</w:t>
            </w:r>
            <w:r>
              <w:rPr>
                <w:sz w:val="24"/>
              </w:rPr>
              <w:t>关于印发土壤污染防治工作实施方案的通知》(宁政发〔2016〕108号</w:t>
            </w:r>
            <w:r>
              <w:rPr>
                <w:rFonts w:hint="eastAsia"/>
                <w:sz w:val="24"/>
              </w:rPr>
              <w:t>，</w:t>
            </w:r>
            <w:r>
              <w:rPr>
                <w:sz w:val="24"/>
              </w:rPr>
              <w:t>2016年12月30日)；</w:t>
            </w:r>
          </w:p>
          <w:p>
            <w:pPr>
              <w:adjustRightInd w:val="0"/>
              <w:snapToGrid w:val="0"/>
              <w:spacing w:line="360" w:lineRule="auto"/>
              <w:ind w:firstLine="480" w:firstLineChars="200"/>
              <w:rPr>
                <w:sz w:val="24"/>
              </w:rPr>
            </w:pPr>
            <w:r>
              <w:rPr>
                <w:rFonts w:hint="eastAsia"/>
                <w:sz w:val="24"/>
              </w:rPr>
              <w:t>⑹《自治区人民政府关于发布宁夏回族自治区生态保护红线的通知》(宁政发〔</w:t>
            </w:r>
            <w:r>
              <w:rPr>
                <w:sz w:val="24"/>
              </w:rPr>
              <w:t>2018〕23号</w:t>
            </w:r>
            <w:r>
              <w:rPr>
                <w:rFonts w:hint="eastAsia"/>
                <w:sz w:val="24"/>
              </w:rPr>
              <w:t>，</w:t>
            </w:r>
            <w:r>
              <w:rPr>
                <w:sz w:val="24"/>
              </w:rPr>
              <w:t>2018</w:t>
            </w:r>
            <w:r>
              <w:rPr>
                <w:rFonts w:hint="eastAsia"/>
                <w:sz w:val="24"/>
              </w:rPr>
              <w:t>年</w:t>
            </w:r>
            <w:r>
              <w:rPr>
                <w:sz w:val="24"/>
              </w:rPr>
              <w:t>6</w:t>
            </w:r>
            <w:r>
              <w:rPr>
                <w:rFonts w:hint="eastAsia"/>
                <w:sz w:val="24"/>
              </w:rPr>
              <w:t>月</w:t>
            </w:r>
            <w:r>
              <w:rPr>
                <w:sz w:val="24"/>
              </w:rPr>
              <w:t>30</w:t>
            </w:r>
            <w:r>
              <w:rPr>
                <w:rFonts w:hint="eastAsia"/>
                <w:sz w:val="24"/>
              </w:rPr>
              <w:t>日</w:t>
            </w:r>
            <w:r>
              <w:rPr>
                <w:sz w:val="24"/>
              </w:rPr>
              <w:t>)</w:t>
            </w:r>
            <w:r>
              <w:rPr>
                <w:rFonts w:hint="eastAsia"/>
                <w:sz w:val="24"/>
              </w:rPr>
              <w:t>；</w:t>
            </w:r>
          </w:p>
          <w:p>
            <w:pPr>
              <w:adjustRightInd w:val="0"/>
              <w:snapToGrid w:val="0"/>
              <w:spacing w:line="360" w:lineRule="auto"/>
              <w:ind w:firstLine="480" w:firstLineChars="200"/>
              <w:rPr>
                <w:sz w:val="24"/>
              </w:rPr>
            </w:pPr>
            <w:r>
              <w:rPr>
                <w:rFonts w:hint="eastAsia"/>
                <w:sz w:val="24"/>
              </w:rPr>
              <w:t>⑺《自治区人民政府关于印发打赢蓝天保卫战三年行动计划的通知》(宁政发〔</w:t>
            </w:r>
            <w:r>
              <w:rPr>
                <w:sz w:val="24"/>
              </w:rPr>
              <w:t>2018〕34号</w:t>
            </w:r>
            <w:r>
              <w:rPr>
                <w:rFonts w:hint="eastAsia"/>
                <w:sz w:val="24"/>
              </w:rPr>
              <w:t>，</w:t>
            </w:r>
            <w:r>
              <w:rPr>
                <w:sz w:val="24"/>
              </w:rPr>
              <w:t>2018</w:t>
            </w:r>
            <w:r>
              <w:rPr>
                <w:rFonts w:hint="eastAsia"/>
                <w:sz w:val="24"/>
              </w:rPr>
              <w:t>年</w:t>
            </w:r>
            <w:r>
              <w:rPr>
                <w:sz w:val="24"/>
              </w:rPr>
              <w:t>10</w:t>
            </w:r>
            <w:r>
              <w:rPr>
                <w:rFonts w:hint="eastAsia"/>
                <w:sz w:val="24"/>
              </w:rPr>
              <w:t>月</w:t>
            </w:r>
            <w:r>
              <w:rPr>
                <w:sz w:val="24"/>
              </w:rPr>
              <w:t>1</w:t>
            </w:r>
            <w:r>
              <w:rPr>
                <w:rFonts w:hint="eastAsia"/>
                <w:sz w:val="24"/>
              </w:rPr>
              <w:t>日</w:t>
            </w:r>
            <w:r>
              <w:rPr>
                <w:sz w:val="24"/>
              </w:rPr>
              <w:t>)</w:t>
            </w:r>
            <w:r>
              <w:rPr>
                <w:rFonts w:hint="eastAsia"/>
                <w:sz w:val="24"/>
              </w:rPr>
              <w:t>；</w:t>
            </w:r>
          </w:p>
          <w:p>
            <w:pPr>
              <w:adjustRightInd w:val="0"/>
              <w:snapToGrid w:val="0"/>
              <w:spacing w:line="360" w:lineRule="auto"/>
              <w:ind w:firstLine="480" w:firstLineChars="200"/>
              <w:rPr>
                <w:sz w:val="24"/>
              </w:rPr>
            </w:pPr>
            <w:r>
              <w:rPr>
                <w:rFonts w:hint="eastAsia"/>
                <w:sz w:val="24"/>
              </w:rPr>
              <w:t>⑻《吴忠市人民政府办公室关于印发&lt;吴忠市扬尘污染治理工作方案&gt;的通知》(吴政办发〔2017〕26号，2017年4月5日)；</w:t>
            </w:r>
          </w:p>
          <w:p>
            <w:pPr>
              <w:adjustRightInd w:val="0"/>
              <w:snapToGrid w:val="0"/>
              <w:spacing w:line="360" w:lineRule="auto"/>
              <w:ind w:firstLine="480" w:firstLineChars="200"/>
              <w:rPr>
                <w:rFonts w:hint="default"/>
                <w:color w:val="auto"/>
                <w:sz w:val="24"/>
                <w:highlight w:val="none"/>
                <w:lang w:val="en-US" w:eastAsia="zh-CN"/>
              </w:rPr>
            </w:pPr>
            <w:r>
              <w:rPr>
                <w:rFonts w:hint="eastAsia"/>
                <w:sz w:val="24"/>
              </w:rPr>
              <w:t>⑼《吴忠市人民政府关于印发&lt;吴忠市打赢蓝天保卫战三年行动计划(2018年-2020年)&gt;的通知》(吴政发〔2018〕35号，2018年11月14日)。</w:t>
            </w:r>
          </w:p>
          <w:p>
            <w:pPr>
              <w:adjustRightInd w:val="0"/>
              <w:snapToGrid w:val="0"/>
              <w:spacing w:line="360" w:lineRule="auto"/>
              <w:rPr>
                <w:rFonts w:eastAsia="黑体"/>
                <w:sz w:val="24"/>
              </w:rPr>
            </w:pPr>
            <w:r>
              <w:rPr>
                <w:rFonts w:eastAsia="黑体"/>
                <w:sz w:val="24"/>
              </w:rPr>
              <w:t xml:space="preserve">2.3 </w:t>
            </w:r>
            <w:r>
              <w:rPr>
                <w:rFonts w:hint="eastAsia" w:eastAsia="黑体"/>
                <w:sz w:val="24"/>
              </w:rPr>
              <w:t>技术导则与规范</w:t>
            </w:r>
          </w:p>
          <w:p>
            <w:pPr>
              <w:adjustRightInd w:val="0"/>
              <w:snapToGrid w:val="0"/>
              <w:spacing w:line="360" w:lineRule="auto"/>
              <w:ind w:firstLine="480" w:firstLineChars="200"/>
              <w:rPr>
                <w:sz w:val="24"/>
              </w:rPr>
            </w:pPr>
            <w:r>
              <w:rPr>
                <w:rFonts w:hint="eastAsia"/>
                <w:sz w:val="24"/>
              </w:rPr>
              <w:t>⑴《建设项目环境影响评价技术导则</w:t>
            </w:r>
            <w:r>
              <w:rPr>
                <w:sz w:val="24"/>
              </w:rPr>
              <w:t xml:space="preserve"> 总纲》(HJ2.1-2016)；</w:t>
            </w:r>
          </w:p>
          <w:p>
            <w:pPr>
              <w:adjustRightInd w:val="0"/>
              <w:snapToGrid w:val="0"/>
              <w:spacing w:line="360" w:lineRule="auto"/>
              <w:ind w:firstLine="480" w:firstLineChars="200"/>
              <w:rPr>
                <w:sz w:val="24"/>
              </w:rPr>
            </w:pPr>
            <w:r>
              <w:rPr>
                <w:rFonts w:hint="eastAsia"/>
                <w:sz w:val="24"/>
              </w:rPr>
              <w:t>⑵《环境影响评价技术导则</w:t>
            </w:r>
            <w:r>
              <w:rPr>
                <w:sz w:val="24"/>
              </w:rPr>
              <w:t xml:space="preserve"> 大气环境》(HJ2.2-20</w:t>
            </w:r>
            <w:r>
              <w:rPr>
                <w:rFonts w:hint="eastAsia"/>
                <w:sz w:val="24"/>
              </w:rPr>
              <w:t>1</w:t>
            </w:r>
            <w:r>
              <w:rPr>
                <w:sz w:val="24"/>
              </w:rPr>
              <w:t>8)；</w:t>
            </w:r>
          </w:p>
          <w:p>
            <w:pPr>
              <w:adjustRightInd w:val="0"/>
              <w:snapToGrid w:val="0"/>
              <w:spacing w:line="360" w:lineRule="auto"/>
              <w:ind w:firstLine="480" w:firstLineChars="200"/>
              <w:rPr>
                <w:sz w:val="24"/>
              </w:rPr>
            </w:pPr>
            <w:r>
              <w:rPr>
                <w:rFonts w:hint="eastAsia"/>
                <w:sz w:val="24"/>
              </w:rPr>
              <w:t>⑶《环境影响评价技术导则</w:t>
            </w:r>
            <w:r>
              <w:rPr>
                <w:sz w:val="24"/>
              </w:rPr>
              <w:t xml:space="preserve"> 地</w:t>
            </w:r>
            <w:r>
              <w:rPr>
                <w:rFonts w:hint="eastAsia"/>
                <w:sz w:val="24"/>
              </w:rPr>
              <w:t>表</w:t>
            </w:r>
            <w:r>
              <w:rPr>
                <w:sz w:val="24"/>
              </w:rPr>
              <w:t>水环境》(HJ2.3-2018)；</w:t>
            </w:r>
          </w:p>
          <w:p>
            <w:pPr>
              <w:adjustRightInd w:val="0"/>
              <w:snapToGrid w:val="0"/>
              <w:spacing w:line="360" w:lineRule="auto"/>
              <w:ind w:firstLine="480" w:firstLineChars="200"/>
              <w:rPr>
                <w:sz w:val="24"/>
              </w:rPr>
            </w:pPr>
            <w:r>
              <w:rPr>
                <w:rFonts w:hint="eastAsia"/>
                <w:sz w:val="24"/>
              </w:rPr>
              <w:t>⑷《环境影响评价技术导则</w:t>
            </w:r>
            <w:r>
              <w:rPr>
                <w:sz w:val="24"/>
              </w:rPr>
              <w:t xml:space="preserve"> 地下水环境》(HJ610-2016)；</w:t>
            </w:r>
          </w:p>
          <w:p>
            <w:pPr>
              <w:adjustRightInd w:val="0"/>
              <w:snapToGrid w:val="0"/>
              <w:spacing w:line="360" w:lineRule="auto"/>
              <w:ind w:firstLine="480" w:firstLineChars="200"/>
              <w:rPr>
                <w:sz w:val="24"/>
              </w:rPr>
            </w:pPr>
            <w:r>
              <w:rPr>
                <w:rFonts w:hint="eastAsia"/>
                <w:sz w:val="24"/>
              </w:rPr>
              <w:t>⑸《环境影响评价技术导则</w:t>
            </w:r>
            <w:r>
              <w:rPr>
                <w:sz w:val="24"/>
              </w:rPr>
              <w:t xml:space="preserve"> 声环境》(HJ2.4-2009)；</w:t>
            </w:r>
          </w:p>
          <w:p>
            <w:pPr>
              <w:adjustRightInd w:val="0"/>
              <w:snapToGrid w:val="0"/>
              <w:spacing w:line="360" w:lineRule="auto"/>
              <w:ind w:firstLine="480" w:firstLineChars="200"/>
              <w:rPr>
                <w:sz w:val="24"/>
              </w:rPr>
            </w:pPr>
            <w:r>
              <w:rPr>
                <w:rFonts w:hint="eastAsia"/>
                <w:sz w:val="24"/>
              </w:rPr>
              <w:t>⑹《环境影响评价技术导则</w:t>
            </w:r>
            <w:r>
              <w:rPr>
                <w:sz w:val="24"/>
              </w:rPr>
              <w:t xml:space="preserve"> 生态影响》(HJ19-2011)；</w:t>
            </w:r>
          </w:p>
          <w:p>
            <w:pPr>
              <w:adjustRightInd w:val="0"/>
              <w:snapToGrid w:val="0"/>
              <w:spacing w:line="360" w:lineRule="auto"/>
              <w:ind w:firstLine="480" w:firstLineChars="200"/>
              <w:rPr>
                <w:sz w:val="24"/>
              </w:rPr>
            </w:pPr>
            <w:r>
              <w:rPr>
                <w:rFonts w:hint="eastAsia"/>
                <w:sz w:val="24"/>
              </w:rPr>
              <w:t>⑺《环境影响评价技术导则</w:t>
            </w:r>
            <w:r>
              <w:rPr>
                <w:sz w:val="24"/>
              </w:rPr>
              <w:t xml:space="preserve"> </w:t>
            </w:r>
            <w:r>
              <w:rPr>
                <w:rFonts w:hint="eastAsia"/>
                <w:sz w:val="24"/>
              </w:rPr>
              <w:t>土壤环境</w:t>
            </w:r>
            <w:r>
              <w:rPr>
                <w:sz w:val="24"/>
              </w:rPr>
              <w:t>(</w:t>
            </w:r>
            <w:r>
              <w:rPr>
                <w:rFonts w:hint="eastAsia"/>
                <w:sz w:val="24"/>
              </w:rPr>
              <w:t>试行</w:t>
            </w:r>
            <w:r>
              <w:rPr>
                <w:sz w:val="24"/>
              </w:rPr>
              <w:t>)》(HJ964-2018)；</w:t>
            </w:r>
          </w:p>
          <w:p>
            <w:pPr>
              <w:adjustRightInd w:val="0"/>
              <w:snapToGrid w:val="0"/>
              <w:spacing w:line="360" w:lineRule="auto"/>
              <w:ind w:firstLine="480" w:firstLineChars="200"/>
              <w:rPr>
                <w:sz w:val="24"/>
              </w:rPr>
            </w:pPr>
            <w:r>
              <w:rPr>
                <w:rFonts w:hint="eastAsia"/>
                <w:sz w:val="24"/>
              </w:rPr>
              <w:t>⑻《建设项目环境风险评价技术导则》</w:t>
            </w:r>
            <w:r>
              <w:rPr>
                <w:sz w:val="24"/>
              </w:rPr>
              <w:t>(HJ169-2018)</w:t>
            </w:r>
            <w:r>
              <w:rPr>
                <w:rFonts w:hint="eastAsia"/>
                <w:sz w:val="24"/>
              </w:rPr>
              <w:t>；</w:t>
            </w:r>
          </w:p>
          <w:p>
            <w:pPr>
              <w:adjustRightInd w:val="0"/>
              <w:snapToGrid w:val="0"/>
              <w:spacing w:line="360" w:lineRule="auto"/>
              <w:ind w:firstLine="480" w:firstLineChars="200"/>
              <w:rPr>
                <w:rFonts w:hint="default"/>
                <w:color w:val="auto"/>
                <w:sz w:val="24"/>
                <w:szCs w:val="24"/>
                <w:lang w:val="en-US" w:eastAsia="zh-CN"/>
              </w:rPr>
            </w:pPr>
            <w:r>
              <w:rPr>
                <w:rFonts w:hint="eastAsia"/>
                <w:sz w:val="24"/>
              </w:rPr>
              <w:t>⑼《污染源源强核算技术指南 准则》(HJ884-2018)</w:t>
            </w:r>
            <w:r>
              <w:rPr>
                <w:rFonts w:hint="eastAsia"/>
                <w:sz w:val="24"/>
                <w:szCs w:val="22"/>
              </w:rPr>
              <w:t>。</w:t>
            </w:r>
          </w:p>
          <w:p>
            <w:pPr>
              <w:adjustRightInd w:val="0"/>
              <w:snapToGrid w:val="0"/>
              <w:spacing w:line="360" w:lineRule="auto"/>
              <w:rPr>
                <w:rFonts w:eastAsia="黑体"/>
                <w:sz w:val="24"/>
              </w:rPr>
            </w:pPr>
            <w:r>
              <w:rPr>
                <w:rFonts w:eastAsia="黑体"/>
                <w:sz w:val="24"/>
              </w:rPr>
              <w:t xml:space="preserve">2.4 </w:t>
            </w:r>
            <w:r>
              <w:rPr>
                <w:rFonts w:hint="eastAsia" w:eastAsia="黑体"/>
                <w:sz w:val="24"/>
              </w:rPr>
              <w:t>项目依据</w:t>
            </w:r>
          </w:p>
          <w:p>
            <w:pPr>
              <w:adjustRightInd w:val="0"/>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⑴</w:t>
            </w:r>
            <w:r>
              <w:rPr>
                <w:rFonts w:hint="default"/>
                <w:color w:val="auto"/>
                <w:sz w:val="24"/>
                <w:szCs w:val="24"/>
                <w:highlight w:val="none"/>
                <w:lang w:val="en-US" w:eastAsia="zh-CN"/>
              </w:rPr>
              <w:t>环境影响评价委托书；</w:t>
            </w:r>
          </w:p>
          <w:p>
            <w:pPr>
              <w:adjustRightInd w:val="0"/>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⑵红寺堡区历史遗留废弃矿山生态修复治理项目可行性研究报告</w:t>
            </w:r>
            <w:r>
              <w:rPr>
                <w:rFonts w:hint="default"/>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⑶</w:t>
            </w:r>
            <w:r>
              <w:rPr>
                <w:rFonts w:hint="default"/>
                <w:color w:val="auto"/>
                <w:sz w:val="24"/>
                <w:szCs w:val="24"/>
                <w:highlight w:val="none"/>
                <w:lang w:val="en-US" w:eastAsia="zh-CN"/>
              </w:rPr>
              <w:t>红寺堡区历史遗留废弃矿山</w:t>
            </w:r>
            <w:r>
              <w:rPr>
                <w:rFonts w:hint="eastAsia"/>
                <w:color w:val="auto"/>
                <w:sz w:val="24"/>
                <w:szCs w:val="24"/>
                <w:highlight w:val="none"/>
                <w:lang w:val="en-US" w:eastAsia="zh-CN"/>
              </w:rPr>
              <w:t>生态修复治理项目</w:t>
            </w:r>
            <w:r>
              <w:rPr>
                <w:rFonts w:hint="default"/>
                <w:color w:val="auto"/>
                <w:sz w:val="24"/>
                <w:szCs w:val="24"/>
                <w:highlight w:val="none"/>
                <w:lang w:val="en-US" w:eastAsia="zh-CN"/>
              </w:rPr>
              <w:t>初设报告。</w:t>
            </w:r>
          </w:p>
          <w:p>
            <w:pPr>
              <w:adjustRightInd w:val="0"/>
              <w:snapToGrid w:val="0"/>
              <w:spacing w:line="360" w:lineRule="auto"/>
              <w:rPr>
                <w:sz w:val="24"/>
              </w:rPr>
            </w:pPr>
            <w:r>
              <w:rPr>
                <w:rFonts w:eastAsia="黑体"/>
                <w:sz w:val="24"/>
              </w:rPr>
              <w:t>3</w:t>
            </w:r>
            <w:r>
              <w:rPr>
                <w:rFonts w:hint="eastAsia" w:eastAsia="黑体"/>
                <w:sz w:val="24"/>
              </w:rPr>
              <w:t>、基本情况</w:t>
            </w:r>
          </w:p>
          <w:p>
            <w:pPr>
              <w:adjustRightInd w:val="0"/>
              <w:spacing w:line="360" w:lineRule="auto"/>
              <w:ind w:firstLine="480" w:firstLineChars="200"/>
              <w:rPr>
                <w:rFonts w:hint="eastAsia" w:eastAsia="宋体"/>
                <w:sz w:val="24"/>
                <w:lang w:val="en-US" w:eastAsia="zh-CN"/>
              </w:rPr>
            </w:pPr>
            <w:r>
              <w:rPr>
                <w:rFonts w:hint="eastAsia"/>
                <w:sz w:val="24"/>
              </w:rPr>
              <w:t>⑴</w:t>
            </w:r>
            <w:r>
              <w:rPr>
                <w:rFonts w:hint="eastAsia"/>
                <w:sz w:val="24"/>
                <w:lang w:val="en-US" w:eastAsia="zh-CN"/>
              </w:rPr>
              <w:t>项目名称：</w:t>
            </w:r>
            <w:r>
              <w:rPr>
                <w:rFonts w:hint="eastAsia"/>
                <w:color w:val="auto"/>
                <w:sz w:val="24"/>
                <w:szCs w:val="24"/>
                <w:highlight w:val="none"/>
                <w:lang w:val="en-US" w:eastAsia="zh-CN"/>
              </w:rPr>
              <w:t>红寺堡区历史遗留废弃矿山生态修复治理项目</w:t>
            </w:r>
            <w:r>
              <w:rPr>
                <w:rFonts w:hint="eastAsia"/>
                <w:sz w:val="24"/>
                <w:lang w:eastAsia="zh-CN"/>
              </w:rPr>
              <w:t>。</w:t>
            </w:r>
          </w:p>
          <w:p>
            <w:pPr>
              <w:adjustRightInd w:val="0"/>
              <w:spacing w:line="360" w:lineRule="auto"/>
              <w:ind w:firstLine="480" w:firstLineChars="200"/>
              <w:rPr>
                <w:rFonts w:hint="eastAsia"/>
                <w:b/>
                <w:bCs/>
                <w:sz w:val="24"/>
                <w:lang w:eastAsia="zh-CN"/>
              </w:rPr>
            </w:pPr>
            <w:r>
              <w:rPr>
                <w:rFonts w:hint="eastAsia" w:ascii="宋体" w:hAnsi="宋体" w:cs="宋体"/>
                <w:sz w:val="24"/>
              </w:rPr>
              <w:t>⑵</w:t>
            </w:r>
            <w:r>
              <w:rPr>
                <w:rFonts w:hint="eastAsia"/>
                <w:sz w:val="24"/>
                <w:lang w:eastAsia="zh-CN"/>
              </w:rPr>
              <w:t>建设</w:t>
            </w:r>
            <w:r>
              <w:rPr>
                <w:rFonts w:hint="eastAsia"/>
                <w:sz w:val="24"/>
                <w:lang w:val="en-US" w:eastAsia="zh-CN"/>
              </w:rPr>
              <w:t>性质</w:t>
            </w:r>
            <w:r>
              <w:rPr>
                <w:rFonts w:hint="eastAsia"/>
                <w:sz w:val="24"/>
                <w:lang w:eastAsia="zh-CN"/>
              </w:rPr>
              <w:t>：</w:t>
            </w:r>
            <w:r>
              <w:rPr>
                <w:rFonts w:hint="eastAsia"/>
                <w:sz w:val="24"/>
                <w:lang w:val="en-US" w:eastAsia="zh-CN"/>
              </w:rPr>
              <w:t>新建</w:t>
            </w:r>
            <w:r>
              <w:rPr>
                <w:rFonts w:hint="eastAsia"/>
                <w:sz w:val="24"/>
                <w:lang w:eastAsia="zh-CN"/>
              </w:rPr>
              <w:t>。</w:t>
            </w:r>
          </w:p>
          <w:p>
            <w:pPr>
              <w:adjustRightInd w:val="0"/>
              <w:spacing w:line="360" w:lineRule="auto"/>
              <w:ind w:firstLine="480" w:firstLineChars="200"/>
              <w:rPr>
                <w:rFonts w:hint="default"/>
                <w:sz w:val="24"/>
                <w:lang w:val="en-US" w:eastAsia="zh-CN"/>
              </w:rPr>
            </w:pPr>
            <w:r>
              <w:rPr>
                <w:rFonts w:hint="eastAsia"/>
                <w:sz w:val="24"/>
              </w:rPr>
              <w:t>⑶</w:t>
            </w:r>
            <w:r>
              <w:rPr>
                <w:rFonts w:hint="eastAsia"/>
                <w:sz w:val="24"/>
                <w:lang w:val="en-US" w:eastAsia="zh-CN"/>
              </w:rPr>
              <w:t>建设单位：</w:t>
            </w:r>
            <w:r>
              <w:rPr>
                <w:rFonts w:hint="default" w:eastAsia="宋体"/>
                <w:sz w:val="24"/>
                <w:lang w:val="en-US" w:eastAsia="zh-CN"/>
              </w:rPr>
              <w:t>吴忠市红寺堡区自然资源局</w:t>
            </w:r>
            <w:r>
              <w:rPr>
                <w:rFonts w:hint="eastAsia" w:eastAsia="宋体"/>
                <w:sz w:val="24"/>
                <w:lang w:val="en-US" w:eastAsia="zh-CN"/>
              </w:rPr>
              <w:t>。</w:t>
            </w:r>
          </w:p>
          <w:p>
            <w:pPr>
              <w:adjustRightInd w:val="0"/>
              <w:spacing w:line="360" w:lineRule="auto"/>
              <w:ind w:firstLine="480" w:firstLineChars="200"/>
              <w:rPr>
                <w:rFonts w:hint="eastAsia"/>
                <w:sz w:val="24"/>
                <w:lang w:val="en-US" w:eastAsia="zh-CN"/>
              </w:rPr>
            </w:pPr>
            <w:r>
              <w:rPr>
                <w:rFonts w:hint="eastAsia" w:ascii="宋体" w:hAnsi="宋体" w:cs="宋体"/>
                <w:sz w:val="24"/>
              </w:rPr>
              <w:t>⑷</w:t>
            </w:r>
            <w:r>
              <w:rPr>
                <w:rFonts w:hint="eastAsia"/>
                <w:sz w:val="24"/>
                <w:lang w:val="en-US" w:eastAsia="zh-CN"/>
              </w:rPr>
              <w:t>投资金额，项目总投资816万元，全部为环保投资。</w:t>
            </w:r>
          </w:p>
          <w:p>
            <w:pPr>
              <w:adjustRightInd w:val="0"/>
              <w:spacing w:line="360" w:lineRule="auto"/>
              <w:ind w:firstLine="480" w:firstLineChars="200"/>
              <w:rPr>
                <w:rFonts w:hint="default" w:ascii="Times New Roman" w:hAnsi="Times New Roman" w:cs="Times New Roman"/>
                <w:sz w:val="24"/>
                <w:szCs w:val="24"/>
                <w:lang w:val="en-US" w:eastAsia="zh-CN"/>
              </w:rPr>
            </w:pPr>
            <w:r>
              <w:rPr>
                <w:rFonts w:hint="eastAsia" w:ascii="宋体" w:hAnsi="宋体" w:cs="宋体"/>
                <w:sz w:val="24"/>
              </w:rPr>
              <w:t>⑸</w:t>
            </w:r>
            <w:r>
              <w:rPr>
                <w:rFonts w:hint="eastAsia"/>
                <w:sz w:val="24"/>
                <w:lang w:val="en-US" w:eastAsia="zh-CN"/>
              </w:rPr>
              <w:t>建设地点</w:t>
            </w:r>
            <w:r>
              <w:rPr>
                <w:rFonts w:hint="eastAsia" w:ascii="Times New Roman" w:hAnsi="Times New Roman"/>
                <w:sz w:val="24"/>
                <w:szCs w:val="24"/>
                <w:lang w:eastAsia="zh-CN"/>
              </w:rPr>
              <w:t>：</w:t>
            </w:r>
            <w:r>
              <w:rPr>
                <w:rFonts w:hint="eastAsia" w:ascii="Times New Roman" w:hAnsi="Times New Roman"/>
                <w:sz w:val="24"/>
                <w:szCs w:val="24"/>
                <w:lang w:val="en-US" w:eastAsia="zh-CN"/>
              </w:rPr>
              <w:t>煤炭煤炭治理区位于线驮石矿区罗花崖煤矿同土公路两侧，</w:t>
            </w:r>
            <w:r>
              <w:rPr>
                <w:rFonts w:hint="eastAsia" w:ascii="Times New Roman" w:hAnsi="Times New Roman" w:cs="Times New Roman"/>
                <w:sz w:val="24"/>
                <w:szCs w:val="24"/>
                <w:lang w:val="en-US" w:eastAsia="zh-CN"/>
              </w:rPr>
              <w:t>建筑用砂区位于京藏高速、太中银铁路两侧，具体地理坐标见表1-</w:t>
            </w:r>
            <w:r>
              <w:rPr>
                <w:rFonts w:hint="eastAsia" w:cs="Times New Roman"/>
                <w:sz w:val="24"/>
                <w:szCs w:val="24"/>
                <w:lang w:val="en-US" w:eastAsia="zh-CN"/>
              </w:rPr>
              <w:t>5</w:t>
            </w:r>
            <w:r>
              <w:rPr>
                <w:rFonts w:hint="eastAsia" w:ascii="Times New Roman" w:hAnsi="Times New Roman" w:cs="Times New Roman"/>
                <w:sz w:val="24"/>
                <w:szCs w:val="24"/>
                <w:lang w:val="en-US" w:eastAsia="zh-CN"/>
              </w:rPr>
              <w:t>。</w:t>
            </w:r>
          </w:p>
          <w:p>
            <w:pPr>
              <w:adjustRightInd w:val="0"/>
              <w:snapToGrid w:val="0"/>
              <w:spacing w:line="360" w:lineRule="auto"/>
              <w:ind w:firstLine="480" w:firstLineChars="200"/>
              <w:jc w:val="center"/>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表1</w:t>
            </w:r>
            <w:r>
              <w:rPr>
                <w:rFonts w:hint="eastAsia" w:eastAsia="黑体" w:cs="Times New Roman"/>
                <w:sz w:val="24"/>
                <w:lang w:val="en-US" w:eastAsia="zh-CN"/>
              </w:rPr>
              <w:t xml:space="preserve">-5  </w:t>
            </w:r>
            <w:r>
              <w:rPr>
                <w:rFonts w:hint="eastAsia" w:ascii="Times New Roman" w:hAnsi="Times New Roman" w:eastAsia="黑体" w:cs="Times New Roman"/>
                <w:sz w:val="24"/>
                <w:lang w:val="en-US" w:eastAsia="zh-CN"/>
              </w:rPr>
              <w:t xml:space="preserve">  项目区域地理坐标一览表</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1203"/>
              <w:gridCol w:w="3025"/>
              <w:gridCol w:w="3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6" w:type="dxa"/>
                  <w:gridSpan w:val="2"/>
                  <w:vMerge w:val="restart"/>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编号</w:t>
                  </w:r>
                </w:p>
              </w:tc>
              <w:tc>
                <w:tcPr>
                  <w:tcW w:w="605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6" w:type="dxa"/>
                  <w:gridSpan w:val="2"/>
                  <w:vMerge w:val="continue"/>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kern w:val="2"/>
                      <w:sz w:val="21"/>
                      <w:szCs w:val="21"/>
                      <w:highlight w:val="none"/>
                      <w:lang w:val="en-US" w:eastAsia="zh-CN" w:bidi="ar-SA"/>
                    </w:rPr>
                  </w:pPr>
                </w:p>
              </w:tc>
              <w:tc>
                <w:tcPr>
                  <w:tcW w:w="30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N</w:t>
                  </w:r>
                </w:p>
              </w:tc>
              <w:tc>
                <w:tcPr>
                  <w:tcW w:w="30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3" w:type="dxa"/>
                  <w:vMerge w:val="restart"/>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煤炭治理区</w:t>
                  </w:r>
                </w:p>
              </w:tc>
              <w:tc>
                <w:tcPr>
                  <w:tcW w:w="1203"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M1</w:t>
                  </w:r>
                </w:p>
              </w:tc>
              <w:tc>
                <w:tcPr>
                  <w:tcW w:w="30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37°13′52.1″</w:t>
                  </w:r>
                </w:p>
              </w:tc>
              <w:tc>
                <w:tcPr>
                  <w:tcW w:w="30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105°54′54.4″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13" w:type="dxa"/>
                  <w:vMerge w:val="continue"/>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kern w:val="2"/>
                      <w:sz w:val="21"/>
                      <w:szCs w:val="21"/>
                      <w:highlight w:val="none"/>
                      <w:lang w:val="en-US" w:eastAsia="zh-CN" w:bidi="ar-SA"/>
                    </w:rPr>
                  </w:pPr>
                </w:p>
              </w:tc>
              <w:tc>
                <w:tcPr>
                  <w:tcW w:w="1203"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M2</w:t>
                  </w:r>
                </w:p>
              </w:tc>
              <w:tc>
                <w:tcPr>
                  <w:tcW w:w="3025"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37°13′43.7″</w:t>
                  </w:r>
                </w:p>
              </w:tc>
              <w:tc>
                <w:tcPr>
                  <w:tcW w:w="3029"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105°55′32.4″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3" w:type="dxa"/>
                  <w:vMerge w:val="continue"/>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kern w:val="2"/>
                      <w:sz w:val="21"/>
                      <w:szCs w:val="21"/>
                      <w:highlight w:val="none"/>
                      <w:lang w:val="en-US" w:eastAsia="zh-CN" w:bidi="ar-SA"/>
                    </w:rPr>
                  </w:pPr>
                </w:p>
              </w:tc>
              <w:tc>
                <w:tcPr>
                  <w:tcW w:w="1203"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M3</w:t>
                  </w:r>
                </w:p>
              </w:tc>
              <w:tc>
                <w:tcPr>
                  <w:tcW w:w="3025"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37°13′29″</w:t>
                  </w:r>
                </w:p>
              </w:tc>
              <w:tc>
                <w:tcPr>
                  <w:tcW w:w="3029"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105°56′5.24″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3" w:type="dxa"/>
                  <w:vMerge w:val="restart"/>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建筑用砂治理区</w:t>
                  </w:r>
                </w:p>
              </w:tc>
              <w:tc>
                <w:tcPr>
                  <w:tcW w:w="1203"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S1-1</w:t>
                  </w:r>
                </w:p>
              </w:tc>
              <w:tc>
                <w:tcPr>
                  <w:tcW w:w="3025"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37°26′52.2″</w:t>
                  </w:r>
                </w:p>
              </w:tc>
              <w:tc>
                <w:tcPr>
                  <w:tcW w:w="3029"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106°0′23.5″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3" w:type="dxa"/>
                  <w:vMerge w:val="continue"/>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textAlignment w:val="auto"/>
                    <w:rPr>
                      <w:rFonts w:hint="default" w:ascii="Times New Roman" w:hAnsi="Times New Roman" w:eastAsia="宋体" w:cs="Times New Roman"/>
                      <w:kern w:val="2"/>
                      <w:sz w:val="21"/>
                      <w:szCs w:val="21"/>
                      <w:highlight w:val="none"/>
                      <w:lang w:val="en-US" w:eastAsia="zh-CN" w:bidi="ar-SA"/>
                    </w:rPr>
                  </w:pPr>
                </w:p>
              </w:tc>
              <w:tc>
                <w:tcPr>
                  <w:tcW w:w="12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S1-2</w:t>
                  </w:r>
                </w:p>
              </w:tc>
              <w:tc>
                <w:tcPr>
                  <w:tcW w:w="3025"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37°27′8.69″</w:t>
                  </w:r>
                </w:p>
              </w:tc>
              <w:tc>
                <w:tcPr>
                  <w:tcW w:w="3029"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105°59′35.8″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13" w:type="dxa"/>
                  <w:vMerge w:val="continue"/>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textAlignment w:val="auto"/>
                    <w:rPr>
                      <w:rFonts w:hint="default" w:ascii="Times New Roman" w:hAnsi="Times New Roman" w:eastAsia="宋体" w:cs="Times New Roman"/>
                      <w:kern w:val="2"/>
                      <w:sz w:val="21"/>
                      <w:szCs w:val="21"/>
                      <w:highlight w:val="none"/>
                      <w:lang w:val="en-US" w:eastAsia="zh-CN" w:bidi="ar-SA"/>
                    </w:rPr>
                  </w:pPr>
                </w:p>
              </w:tc>
              <w:tc>
                <w:tcPr>
                  <w:tcW w:w="12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S1-3</w:t>
                  </w:r>
                </w:p>
              </w:tc>
              <w:tc>
                <w:tcPr>
                  <w:tcW w:w="3025"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37°27′12.4″</w:t>
                  </w:r>
                </w:p>
              </w:tc>
              <w:tc>
                <w:tcPr>
                  <w:tcW w:w="3029"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105°59′55.4″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3" w:type="dxa"/>
                  <w:vMerge w:val="continue"/>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textAlignment w:val="auto"/>
                    <w:rPr>
                      <w:rFonts w:hint="default" w:ascii="Times New Roman" w:hAnsi="Times New Roman" w:eastAsia="宋体" w:cs="Times New Roman"/>
                      <w:kern w:val="2"/>
                      <w:sz w:val="21"/>
                      <w:szCs w:val="21"/>
                      <w:highlight w:val="none"/>
                      <w:lang w:val="en-US" w:eastAsia="zh-CN" w:bidi="ar-SA"/>
                    </w:rPr>
                  </w:pPr>
                </w:p>
              </w:tc>
              <w:tc>
                <w:tcPr>
                  <w:tcW w:w="12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S1-4</w:t>
                  </w:r>
                </w:p>
              </w:tc>
              <w:tc>
                <w:tcPr>
                  <w:tcW w:w="3025"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37°27′30.7″</w:t>
                  </w:r>
                </w:p>
              </w:tc>
              <w:tc>
                <w:tcPr>
                  <w:tcW w:w="3029"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105°59′52.2″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3" w:type="dxa"/>
                  <w:vMerge w:val="continue"/>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textAlignment w:val="auto"/>
                    <w:rPr>
                      <w:rFonts w:hint="default" w:ascii="Times New Roman" w:hAnsi="Times New Roman" w:eastAsia="宋体" w:cs="Times New Roman"/>
                      <w:kern w:val="2"/>
                      <w:sz w:val="21"/>
                      <w:szCs w:val="21"/>
                      <w:highlight w:val="none"/>
                      <w:lang w:val="en-US" w:eastAsia="zh-CN" w:bidi="ar-SA"/>
                    </w:rPr>
                  </w:pPr>
                </w:p>
              </w:tc>
              <w:tc>
                <w:tcPr>
                  <w:tcW w:w="12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S1-5</w:t>
                  </w:r>
                </w:p>
              </w:tc>
              <w:tc>
                <w:tcPr>
                  <w:tcW w:w="3025"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37°27′36.8″</w:t>
                  </w:r>
                </w:p>
              </w:tc>
              <w:tc>
                <w:tcPr>
                  <w:tcW w:w="3029" w:type="dxa"/>
                  <w:tcBorders>
                    <w:tl2br w:val="nil"/>
                    <w:tr2bl w:val="nil"/>
                  </w:tcBorders>
                  <w:noWrap w:val="0"/>
                  <w:vAlign w:val="center"/>
                </w:tcPr>
                <w:p>
                  <w:pPr>
                    <w:pStyle w:val="12"/>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105°59′30.7″</w:t>
                  </w:r>
                </w:p>
              </w:tc>
            </w:tr>
          </w:tbl>
          <w:p>
            <w:pPr>
              <w:spacing w:line="360" w:lineRule="auto"/>
              <w:ind w:firstLine="480" w:firstLineChars="200"/>
              <w:rPr>
                <w:rFonts w:hint="default"/>
                <w:sz w:val="24"/>
                <w:highlight w:val="none"/>
                <w:lang w:val="en-US" w:eastAsia="zh-CN"/>
              </w:rPr>
            </w:pPr>
            <w:r>
              <w:rPr>
                <w:rFonts w:hint="eastAsia"/>
                <w:sz w:val="24"/>
                <w:highlight w:val="none"/>
                <w:lang w:val="en-US" w:eastAsia="zh-CN"/>
              </w:rPr>
              <w:t>项目地理位置图见附图1-4，煤炭区周边关系图见附图1-5，建筑用砂区周边关系图见附图1-6。</w:t>
            </w:r>
          </w:p>
          <w:p>
            <w:pPr>
              <w:adjustRightInd w:val="0"/>
              <w:snapToGrid w:val="0"/>
              <w:spacing w:line="360" w:lineRule="auto"/>
              <w:rPr>
                <w:sz w:val="24"/>
              </w:rPr>
            </w:pPr>
            <w:r>
              <w:rPr>
                <w:rFonts w:eastAsia="黑体"/>
                <w:sz w:val="24"/>
              </w:rPr>
              <w:t>4</w:t>
            </w:r>
            <w:r>
              <w:rPr>
                <w:rFonts w:hint="eastAsia" w:eastAsia="黑体"/>
                <w:sz w:val="24"/>
              </w:rPr>
              <w:t>、建设内容与规模</w:t>
            </w:r>
          </w:p>
          <w:p>
            <w:pPr>
              <w:widowControl/>
              <w:adjustRightInd/>
              <w:snapToGrid/>
              <w:spacing w:line="360" w:lineRule="auto"/>
              <w:ind w:firstLine="480" w:firstLineChars="200"/>
              <w:jc w:val="both"/>
              <w:rPr>
                <w:rFonts w:hint="eastAsia" w:ascii="Times New Roman" w:hAnsi="Times New Roman" w:eastAsia="黑体" w:cs="Times New Roman"/>
                <w:sz w:val="24"/>
                <w:lang w:val="en-US" w:eastAsia="zh-CN"/>
              </w:rPr>
            </w:pPr>
            <w:r>
              <w:rPr>
                <w:rFonts w:hint="eastAsia"/>
                <w:sz w:val="24"/>
                <w:highlight w:val="none"/>
                <w:lang w:val="en-US" w:eastAsia="zh-CN"/>
              </w:rPr>
              <w:t>本项目主要是对</w:t>
            </w:r>
            <w:r>
              <w:rPr>
                <w:rFonts w:hint="eastAsia" w:cs="Times New Roman"/>
                <w:snapToGrid/>
                <w:kern w:val="2"/>
                <w:sz w:val="24"/>
                <w:highlight w:val="none"/>
                <w:lang w:val="en-US" w:eastAsia="zh-CN"/>
              </w:rPr>
              <w:t>废弃矿山的生态环境进行综合治理</w:t>
            </w:r>
            <w:r>
              <w:rPr>
                <w:rFonts w:hint="eastAsia"/>
                <w:sz w:val="24"/>
                <w:highlight w:val="none"/>
                <w:lang w:val="en-US" w:eastAsia="zh-CN"/>
              </w:rPr>
              <w:t>，为共分为两个片区，分别为煤炭治理区和建筑用砂治理区。</w:t>
            </w:r>
            <w:r>
              <w:rPr>
                <w:rFonts w:hint="eastAsia" w:ascii="Times New Roman" w:hAnsi="Times New Roman" w:eastAsia="宋体" w:cs="Times New Roman"/>
                <w:color w:val="auto"/>
                <w:kern w:val="2"/>
                <w:sz w:val="24"/>
                <w:szCs w:val="24"/>
                <w:highlight w:val="none"/>
                <w:lang w:val="en-US" w:eastAsia="zh-CN" w:bidi="ar"/>
              </w:rPr>
              <w:t>本项目土方回填压实</w:t>
            </w:r>
            <w:r>
              <w:rPr>
                <w:rFonts w:hint="eastAsia" w:ascii="Times New Roman" w:hAnsi="Times New Roman" w:eastAsia="宋体" w:cs="Times New Roman"/>
                <w:i w:val="0"/>
                <w:kern w:val="2"/>
                <w:sz w:val="24"/>
                <w:szCs w:val="24"/>
                <w:highlight w:val="none"/>
                <w:u w:val="none"/>
                <w:lang w:val="en-US" w:eastAsia="zh-CN" w:bidi="ar"/>
              </w:rPr>
              <w:t>1393339.23</w:t>
            </w:r>
            <w:r>
              <w:rPr>
                <w:rFonts w:hint="eastAsia" w:ascii="Times New Roman" w:hAnsi="Times New Roman" w:eastAsia="宋体" w:cs="Times New Roman"/>
                <w:color w:val="auto"/>
                <w:kern w:val="2"/>
                <w:sz w:val="24"/>
                <w:szCs w:val="24"/>
                <w:highlight w:val="none"/>
                <w:lang w:val="en-US" w:eastAsia="zh-CN" w:bidi="ar"/>
              </w:rPr>
              <w:t>m</w:t>
            </w:r>
            <w:r>
              <w:rPr>
                <w:rFonts w:hint="eastAsia" w:ascii="Times New Roman" w:hAnsi="Times New Roman" w:eastAsia="宋体" w:cs="Times New Roman"/>
                <w:color w:val="auto"/>
                <w:kern w:val="2"/>
                <w:sz w:val="24"/>
                <w:szCs w:val="24"/>
                <w:highlight w:val="none"/>
                <w:vertAlign w:val="superscript"/>
                <w:lang w:val="en-US" w:eastAsia="zh-CN" w:bidi="ar"/>
              </w:rPr>
              <w:t>3</w:t>
            </w:r>
            <w:r>
              <w:rPr>
                <w:rFonts w:hint="eastAsia" w:ascii="Times New Roman" w:hAnsi="Times New Roman" w:eastAsia="宋体" w:cs="Times New Roman"/>
                <w:color w:val="auto"/>
                <w:kern w:val="2"/>
                <w:sz w:val="24"/>
                <w:szCs w:val="24"/>
                <w:highlight w:val="none"/>
                <w:lang w:val="en-US" w:eastAsia="zh-CN" w:bidi="ar"/>
              </w:rPr>
              <w:t>、土地平整133770m</w:t>
            </w:r>
            <w:r>
              <w:rPr>
                <w:rFonts w:hint="eastAsia" w:ascii="Times New Roman" w:hAnsi="Times New Roman" w:eastAsia="宋体" w:cs="Times New Roman"/>
                <w:color w:val="auto"/>
                <w:kern w:val="2"/>
                <w:sz w:val="24"/>
                <w:szCs w:val="24"/>
                <w:highlight w:val="none"/>
                <w:vertAlign w:val="superscript"/>
                <w:lang w:val="en-US" w:eastAsia="zh-CN" w:bidi="ar"/>
              </w:rPr>
              <w:t>3</w:t>
            </w:r>
            <w:r>
              <w:rPr>
                <w:rFonts w:hint="eastAsia" w:cs="Times New Roman"/>
                <w:kern w:val="2"/>
                <w:sz w:val="24"/>
                <w:szCs w:val="24"/>
                <w:highlight w:val="none"/>
                <w:vertAlign w:val="baseline"/>
                <w:lang w:val="en-US" w:eastAsia="zh-CN" w:bidi="ar"/>
              </w:rPr>
              <w:t>、</w:t>
            </w:r>
            <w:r>
              <w:rPr>
                <w:rFonts w:hint="eastAsia" w:ascii="Times New Roman" w:hAnsi="Times New Roman" w:eastAsia="宋体" w:cs="Times New Roman"/>
                <w:color w:val="auto"/>
                <w:kern w:val="2"/>
                <w:sz w:val="24"/>
                <w:szCs w:val="24"/>
                <w:highlight w:val="none"/>
                <w:lang w:val="en-US" w:eastAsia="zh-CN" w:bidi="ar"/>
              </w:rPr>
              <w:t>土地翻耕60.76hm</w:t>
            </w:r>
            <w:r>
              <w:rPr>
                <w:rFonts w:hint="eastAsia" w:ascii="Times New Roman" w:hAnsi="Times New Roman" w:eastAsia="宋体" w:cs="Times New Roman"/>
                <w:color w:val="auto"/>
                <w:kern w:val="2"/>
                <w:sz w:val="24"/>
                <w:szCs w:val="24"/>
                <w:highlight w:val="none"/>
                <w:vertAlign w:val="superscript"/>
                <w:lang w:val="en-US" w:eastAsia="zh-CN" w:bidi="ar"/>
              </w:rPr>
              <w:t>2</w:t>
            </w:r>
            <w:r>
              <w:rPr>
                <w:rFonts w:hint="eastAsia" w:ascii="Times New Roman" w:hAnsi="Times New Roman" w:eastAsia="宋体" w:cs="Times New Roman"/>
                <w:color w:val="auto"/>
                <w:kern w:val="2"/>
                <w:sz w:val="24"/>
                <w:szCs w:val="24"/>
                <w:highlight w:val="none"/>
                <w:lang w:val="en-US" w:eastAsia="zh-CN" w:bidi="ar"/>
              </w:rPr>
              <w:t>、土地翻耕培肥1.82hm</w:t>
            </w:r>
            <w:r>
              <w:rPr>
                <w:rFonts w:hint="eastAsia" w:ascii="Times New Roman" w:hAnsi="Times New Roman" w:eastAsia="宋体" w:cs="Times New Roman"/>
                <w:color w:val="auto"/>
                <w:kern w:val="2"/>
                <w:sz w:val="24"/>
                <w:szCs w:val="24"/>
                <w:highlight w:val="none"/>
                <w:vertAlign w:val="superscript"/>
                <w:lang w:val="en-US" w:eastAsia="zh-CN" w:bidi="ar"/>
              </w:rPr>
              <w:t>2</w:t>
            </w:r>
            <w:r>
              <w:rPr>
                <w:rFonts w:hint="eastAsia" w:ascii="Times New Roman" w:hAnsi="Times New Roman" w:eastAsia="宋体" w:cs="Times New Roman"/>
                <w:color w:val="auto"/>
                <w:kern w:val="2"/>
                <w:sz w:val="24"/>
                <w:szCs w:val="24"/>
                <w:highlight w:val="none"/>
                <w:lang w:val="en-US" w:eastAsia="zh-CN" w:bidi="ar"/>
              </w:rPr>
              <w:t>、植被恢复62.58hm</w:t>
            </w:r>
            <w:r>
              <w:rPr>
                <w:rFonts w:hint="eastAsia" w:ascii="Times New Roman" w:hAnsi="Times New Roman" w:eastAsia="宋体" w:cs="Times New Roman"/>
                <w:color w:val="auto"/>
                <w:kern w:val="2"/>
                <w:sz w:val="24"/>
                <w:szCs w:val="24"/>
                <w:highlight w:val="none"/>
                <w:vertAlign w:val="superscript"/>
                <w:lang w:val="en-US" w:eastAsia="zh-CN" w:bidi="ar"/>
              </w:rPr>
              <w:t>2</w:t>
            </w:r>
            <w:r>
              <w:rPr>
                <w:rFonts w:hint="eastAsia" w:ascii="Times New Roman" w:hAnsi="Times New Roman" w:eastAsia="宋体" w:cs="Times New Roman"/>
                <w:color w:val="auto"/>
                <w:kern w:val="2"/>
                <w:sz w:val="24"/>
                <w:szCs w:val="24"/>
                <w:highlight w:val="none"/>
                <w:lang w:val="en-US" w:eastAsia="zh-CN" w:bidi="ar"/>
              </w:rPr>
              <w:t>。各治理区工程量汇总见表</w:t>
            </w:r>
            <w:r>
              <w:rPr>
                <w:rFonts w:hint="eastAsia" w:cs="Times New Roman"/>
                <w:kern w:val="2"/>
                <w:sz w:val="24"/>
                <w:szCs w:val="24"/>
                <w:highlight w:val="none"/>
                <w:lang w:val="en-US" w:eastAsia="zh-CN" w:bidi="ar"/>
              </w:rPr>
              <w:t>1-6</w:t>
            </w:r>
            <w:r>
              <w:rPr>
                <w:rFonts w:hint="eastAsia" w:ascii="Times New Roman" w:hAnsi="Times New Roman" w:eastAsia="宋体" w:cs="Times New Roman"/>
                <w:color w:val="auto"/>
                <w:kern w:val="2"/>
                <w:sz w:val="24"/>
                <w:szCs w:val="24"/>
                <w:highlight w:val="none"/>
                <w:lang w:val="en-US" w:eastAsia="zh-CN" w:bidi="ar"/>
              </w:rPr>
              <w:t>。</w:t>
            </w:r>
          </w:p>
          <w:p>
            <w:pPr>
              <w:adjustRightInd w:val="0"/>
              <w:snapToGrid w:val="0"/>
              <w:spacing w:line="360" w:lineRule="auto"/>
              <w:ind w:firstLine="480" w:firstLineChars="200"/>
              <w:jc w:val="center"/>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表1-</w:t>
            </w:r>
            <w:r>
              <w:rPr>
                <w:rFonts w:hint="eastAsia" w:eastAsia="黑体" w:cs="Times New Roman"/>
                <w:sz w:val="24"/>
                <w:lang w:val="en-US" w:eastAsia="zh-CN"/>
              </w:rPr>
              <w:t>6</w:t>
            </w:r>
            <w:r>
              <w:rPr>
                <w:rFonts w:hint="eastAsia" w:ascii="Times New Roman" w:hAnsi="Times New Roman" w:eastAsia="黑体" w:cs="Times New Roman"/>
                <w:sz w:val="24"/>
                <w:lang w:val="en-US" w:eastAsia="zh-CN"/>
              </w:rPr>
              <w:t xml:space="preserve">    治理措施工程量</w:t>
            </w:r>
            <w:r>
              <w:rPr>
                <w:rFonts w:hint="eastAsia" w:eastAsia="黑体" w:cs="Times New Roman"/>
                <w:sz w:val="24"/>
                <w:lang w:val="en-US" w:eastAsia="zh-CN"/>
              </w:rPr>
              <w:t xml:space="preserve">  </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0"/>
              <w:gridCol w:w="1935"/>
              <w:gridCol w:w="1468"/>
              <w:gridCol w:w="1570"/>
              <w:gridCol w:w="1975"/>
              <w:gridCol w:w="15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cs="Times New Roman"/>
                      <w:b/>
                      <w:bCs/>
                      <w:sz w:val="21"/>
                      <w:szCs w:val="21"/>
                      <w:highlight w:val="none"/>
                      <w:u w:val="none"/>
                      <w:vertAlign w:val="baseline"/>
                      <w:lang w:val="en-US" w:eastAsia="zh-CN"/>
                    </w:rPr>
                    <w:t>分区</w:t>
                  </w:r>
                </w:p>
              </w:tc>
              <w:tc>
                <w:tcPr>
                  <w:tcW w:w="1066"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ascii="Times New Roman" w:hAnsi="Times New Roman" w:eastAsia="宋体" w:cs="Times New Roman"/>
                      <w:kern w:val="2"/>
                      <w:sz w:val="21"/>
                      <w:szCs w:val="21"/>
                      <w:highlight w:val="none"/>
                      <w:u w:val="none"/>
                      <w:lang w:val="en-US" w:eastAsia="zh-CN" w:bidi="ar"/>
                    </w:rPr>
                    <w:t>土方回填压实</w:t>
                  </w:r>
                  <w:r>
                    <w:rPr>
                      <w:rFonts w:hint="eastAsia" w:cs="Times New Roman"/>
                      <w:b w:val="0"/>
                      <w:bCs w:val="0"/>
                      <w:sz w:val="21"/>
                      <w:szCs w:val="21"/>
                      <w:highlight w:val="none"/>
                      <w:u w:val="none"/>
                      <w:vertAlign w:val="baseline"/>
                      <w:lang w:val="en-US" w:eastAsia="zh-CN"/>
                    </w:rPr>
                    <w:t>（m</w:t>
                  </w:r>
                  <w:r>
                    <w:rPr>
                      <w:rFonts w:hint="eastAsia" w:cs="Times New Roman"/>
                      <w:b w:val="0"/>
                      <w:bCs w:val="0"/>
                      <w:sz w:val="21"/>
                      <w:szCs w:val="21"/>
                      <w:highlight w:val="none"/>
                      <w:u w:val="none"/>
                      <w:vertAlign w:val="superscript"/>
                      <w:lang w:val="en-US" w:eastAsia="zh-CN"/>
                    </w:rPr>
                    <w:t>3</w:t>
                  </w:r>
                  <w:r>
                    <w:rPr>
                      <w:rFonts w:hint="eastAsia" w:cs="Times New Roman"/>
                      <w:b w:val="0"/>
                      <w:bCs w:val="0"/>
                      <w:sz w:val="21"/>
                      <w:szCs w:val="21"/>
                      <w:highlight w:val="none"/>
                      <w:u w:val="none"/>
                      <w:vertAlign w:val="baseline"/>
                      <w:lang w:val="en-US" w:eastAsia="zh-CN"/>
                    </w:rPr>
                    <w:t>）</w:t>
                  </w:r>
                </w:p>
              </w:tc>
              <w:tc>
                <w:tcPr>
                  <w:tcW w:w="809"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土地平整（m</w:t>
                  </w:r>
                  <w:r>
                    <w:rPr>
                      <w:rFonts w:hint="eastAsia" w:cs="Times New Roman"/>
                      <w:b w:val="0"/>
                      <w:bCs w:val="0"/>
                      <w:sz w:val="21"/>
                      <w:szCs w:val="21"/>
                      <w:highlight w:val="none"/>
                      <w:u w:val="none"/>
                      <w:vertAlign w:val="superscript"/>
                      <w:lang w:val="en-US" w:eastAsia="zh-CN"/>
                    </w:rPr>
                    <w:t>3</w:t>
                  </w:r>
                  <w:r>
                    <w:rPr>
                      <w:rFonts w:hint="eastAsia" w:cs="Times New Roman"/>
                      <w:b w:val="0"/>
                      <w:bCs w:val="0"/>
                      <w:sz w:val="21"/>
                      <w:szCs w:val="21"/>
                      <w:highlight w:val="none"/>
                      <w:u w:val="none"/>
                      <w:vertAlign w:val="baseline"/>
                      <w:lang w:val="en-US" w:eastAsia="zh-CN"/>
                    </w:rPr>
                    <w:t>）</w:t>
                  </w:r>
                </w:p>
              </w:tc>
              <w:tc>
                <w:tcPr>
                  <w:tcW w:w="865"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土地翻耕</w:t>
                  </w:r>
                  <w:r>
                    <w:rPr>
                      <w:rFonts w:hint="eastAsia" w:cs="Times New Roman"/>
                      <w:b w:val="0"/>
                      <w:bCs w:val="0"/>
                      <w:sz w:val="21"/>
                      <w:szCs w:val="21"/>
                      <w:highlight w:val="none"/>
                      <w:u w:val="none"/>
                      <w:vertAlign w:val="baseline"/>
                      <w:lang w:val="en-US" w:eastAsia="zh-CN"/>
                    </w:rPr>
                    <w:t>（hm</w:t>
                  </w:r>
                  <w:r>
                    <w:rPr>
                      <w:rFonts w:hint="eastAsia" w:cs="Times New Roman"/>
                      <w:b w:val="0"/>
                      <w:bCs w:val="0"/>
                      <w:sz w:val="21"/>
                      <w:szCs w:val="21"/>
                      <w:highlight w:val="none"/>
                      <w:u w:val="none"/>
                      <w:vertAlign w:val="superscript"/>
                      <w:lang w:val="en-US" w:eastAsia="zh-CN"/>
                    </w:rPr>
                    <w:t>2</w:t>
                  </w:r>
                  <w:r>
                    <w:rPr>
                      <w:rFonts w:hint="eastAsia" w:cs="Times New Roman"/>
                      <w:b w:val="0"/>
                      <w:bCs w:val="0"/>
                      <w:sz w:val="21"/>
                      <w:szCs w:val="21"/>
                      <w:highlight w:val="none"/>
                      <w:u w:val="none"/>
                      <w:vertAlign w:val="baseline"/>
                      <w:lang w:val="en-US" w:eastAsia="zh-CN"/>
                    </w:rPr>
                    <w:t>）</w:t>
                  </w:r>
                </w:p>
              </w:tc>
              <w:tc>
                <w:tcPr>
                  <w:tcW w:w="108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土地翻耕培肥（hm</w:t>
                  </w:r>
                  <w:r>
                    <w:rPr>
                      <w:rFonts w:hint="eastAsia" w:cs="Times New Roman"/>
                      <w:b w:val="0"/>
                      <w:bCs w:val="0"/>
                      <w:sz w:val="21"/>
                      <w:szCs w:val="21"/>
                      <w:highlight w:val="none"/>
                      <w:u w:val="none"/>
                      <w:vertAlign w:val="superscript"/>
                      <w:lang w:val="en-US" w:eastAsia="zh-CN"/>
                    </w:rPr>
                    <w:t>2</w:t>
                  </w:r>
                  <w:r>
                    <w:rPr>
                      <w:rFonts w:hint="eastAsia" w:cs="Times New Roman"/>
                      <w:b w:val="0"/>
                      <w:bCs w:val="0"/>
                      <w:sz w:val="21"/>
                      <w:szCs w:val="21"/>
                      <w:highlight w:val="none"/>
                      <w:u w:val="none"/>
                      <w:vertAlign w:val="baseline"/>
                      <w:lang w:val="en-US" w:eastAsia="zh-CN"/>
                    </w:rPr>
                    <w:t>）</w:t>
                  </w:r>
                </w:p>
              </w:tc>
              <w:tc>
                <w:tcPr>
                  <w:tcW w:w="866"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植被恢复（hm</w:t>
                  </w:r>
                  <w:r>
                    <w:rPr>
                      <w:rFonts w:hint="eastAsia" w:cs="Times New Roman"/>
                      <w:b w:val="0"/>
                      <w:bCs w:val="0"/>
                      <w:sz w:val="21"/>
                      <w:szCs w:val="21"/>
                      <w:highlight w:val="none"/>
                      <w:u w:val="none"/>
                      <w:vertAlign w:val="superscript"/>
                      <w:lang w:val="en-US" w:eastAsia="zh-CN"/>
                    </w:rPr>
                    <w:t>2</w:t>
                  </w:r>
                  <w:r>
                    <w:rPr>
                      <w:rFonts w:hint="eastAsia" w:cs="Times New Roman"/>
                      <w:b w:val="0"/>
                      <w:bCs w:val="0"/>
                      <w:sz w:val="21"/>
                      <w:szCs w:val="21"/>
                      <w:highlight w:val="none"/>
                      <w:u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M1</w:t>
                  </w:r>
                </w:p>
              </w:tc>
              <w:tc>
                <w:tcPr>
                  <w:tcW w:w="1066" w:type="pct"/>
                  <w:tcBorders>
                    <w:tl2br w:val="nil"/>
                    <w:tr2bl w:val="nil"/>
                  </w:tcBorders>
                  <w:noWrap/>
                  <w:tcMar>
                    <w:top w:w="15" w:type="dxa"/>
                    <w:left w:w="15" w:type="dxa"/>
                    <w:right w:w="15" w:type="dxa"/>
                  </w:tcMar>
                  <w:vAlign w:val="center"/>
                </w:tcPr>
                <w:p>
                  <w:pPr>
                    <w:keepNext w:val="0"/>
                    <w:keepLines w:val="0"/>
                    <w:widowControl w:val="0"/>
                    <w:suppressLineNumbers w:val="0"/>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i w:val="0"/>
                      <w:color w:val="auto"/>
                      <w:kern w:val="2"/>
                      <w:sz w:val="21"/>
                      <w:szCs w:val="21"/>
                      <w:highlight w:val="none"/>
                      <w:u w:val="none"/>
                      <w:lang w:val="en-US" w:eastAsia="zh-CN" w:bidi="ar"/>
                    </w:rPr>
                    <w:t>168147</w:t>
                  </w:r>
                </w:p>
              </w:tc>
              <w:tc>
                <w:tcPr>
                  <w:tcW w:w="80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29384</w:t>
                  </w:r>
                </w:p>
              </w:tc>
              <w:tc>
                <w:tcPr>
                  <w:tcW w:w="865"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9.64</w:t>
                  </w:r>
                </w:p>
              </w:tc>
              <w:tc>
                <w:tcPr>
                  <w:tcW w:w="108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w:t>
                  </w:r>
                </w:p>
              </w:tc>
              <w:tc>
                <w:tcPr>
                  <w:tcW w:w="86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9.64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M2</w:t>
                  </w:r>
                </w:p>
              </w:tc>
              <w:tc>
                <w:tcPr>
                  <w:tcW w:w="1066" w:type="pct"/>
                  <w:tcBorders>
                    <w:tl2br w:val="nil"/>
                    <w:tr2bl w:val="nil"/>
                  </w:tcBorders>
                  <w:noWrap/>
                  <w:tcMar>
                    <w:top w:w="15" w:type="dxa"/>
                    <w:left w:w="15" w:type="dxa"/>
                    <w:right w:w="15" w:type="dxa"/>
                  </w:tcMar>
                  <w:vAlign w:val="center"/>
                </w:tcPr>
                <w:p>
                  <w:pPr>
                    <w:keepNext w:val="0"/>
                    <w:keepLines w:val="0"/>
                    <w:widowControl w:val="0"/>
                    <w:suppressLineNumbers w:val="0"/>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i w:val="0"/>
                      <w:color w:val="auto"/>
                      <w:kern w:val="2"/>
                      <w:sz w:val="21"/>
                      <w:szCs w:val="21"/>
                      <w:highlight w:val="none"/>
                      <w:u w:val="none"/>
                      <w:lang w:val="en-US" w:eastAsia="zh-CN" w:bidi="ar"/>
                    </w:rPr>
                    <w:t>212341.5</w:t>
                  </w:r>
                </w:p>
              </w:tc>
              <w:tc>
                <w:tcPr>
                  <w:tcW w:w="80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16898</w:t>
                  </w:r>
                </w:p>
              </w:tc>
              <w:tc>
                <w:tcPr>
                  <w:tcW w:w="865"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8.80</w:t>
                  </w:r>
                </w:p>
              </w:tc>
              <w:tc>
                <w:tcPr>
                  <w:tcW w:w="108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w:t>
                  </w:r>
                </w:p>
              </w:tc>
              <w:tc>
                <w:tcPr>
                  <w:tcW w:w="86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M3</w:t>
                  </w:r>
                </w:p>
              </w:tc>
              <w:tc>
                <w:tcPr>
                  <w:tcW w:w="1066" w:type="pct"/>
                  <w:tcBorders>
                    <w:tl2br w:val="nil"/>
                    <w:tr2bl w:val="nil"/>
                  </w:tcBorders>
                  <w:noWrap/>
                  <w:tcMar>
                    <w:top w:w="15" w:type="dxa"/>
                    <w:left w:w="15" w:type="dxa"/>
                    <w:right w:w="15" w:type="dxa"/>
                  </w:tcMar>
                  <w:vAlign w:val="center"/>
                </w:tcPr>
                <w:p>
                  <w:pPr>
                    <w:keepNext w:val="0"/>
                    <w:keepLines w:val="0"/>
                    <w:widowControl w:val="0"/>
                    <w:suppressLineNumbers w:val="0"/>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i w:val="0"/>
                      <w:color w:val="auto"/>
                      <w:kern w:val="2"/>
                      <w:sz w:val="21"/>
                      <w:szCs w:val="21"/>
                      <w:highlight w:val="none"/>
                      <w:u w:val="none"/>
                      <w:lang w:val="en-US" w:eastAsia="zh-CN" w:bidi="ar"/>
                    </w:rPr>
                    <w:t>447496.78</w:t>
                  </w:r>
                </w:p>
              </w:tc>
              <w:tc>
                <w:tcPr>
                  <w:tcW w:w="80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25028</w:t>
                  </w:r>
                </w:p>
              </w:tc>
              <w:tc>
                <w:tcPr>
                  <w:tcW w:w="865"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12.51</w:t>
                  </w:r>
                </w:p>
              </w:tc>
              <w:tc>
                <w:tcPr>
                  <w:tcW w:w="108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w:t>
                  </w:r>
                </w:p>
              </w:tc>
              <w:tc>
                <w:tcPr>
                  <w:tcW w:w="86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12.51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S1-1</w:t>
                  </w:r>
                </w:p>
              </w:tc>
              <w:tc>
                <w:tcPr>
                  <w:tcW w:w="1066" w:type="pct"/>
                  <w:tcBorders>
                    <w:tl2br w:val="nil"/>
                    <w:tr2bl w:val="nil"/>
                  </w:tcBorders>
                  <w:noWrap/>
                  <w:tcMar>
                    <w:top w:w="15" w:type="dxa"/>
                    <w:left w:w="15" w:type="dxa"/>
                    <w:right w:w="15" w:type="dxa"/>
                  </w:tcMar>
                  <w:vAlign w:val="center"/>
                </w:tcPr>
                <w:p>
                  <w:pPr>
                    <w:keepNext w:val="0"/>
                    <w:keepLines w:val="0"/>
                    <w:widowControl w:val="0"/>
                    <w:suppressLineNumbers w:val="0"/>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i w:val="0"/>
                      <w:color w:val="auto"/>
                      <w:kern w:val="2"/>
                      <w:sz w:val="21"/>
                      <w:szCs w:val="21"/>
                      <w:highlight w:val="none"/>
                      <w:u w:val="none"/>
                      <w:lang w:val="en-US" w:eastAsia="zh-CN" w:bidi="ar"/>
                    </w:rPr>
                    <w:t>159013.85</w:t>
                  </w:r>
                </w:p>
              </w:tc>
              <w:tc>
                <w:tcPr>
                  <w:tcW w:w="80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15654</w:t>
                  </w:r>
                </w:p>
              </w:tc>
              <w:tc>
                <w:tcPr>
                  <w:tcW w:w="865"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6.79</w:t>
                  </w:r>
                </w:p>
              </w:tc>
              <w:tc>
                <w:tcPr>
                  <w:tcW w:w="108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1.04</w:t>
                  </w:r>
                </w:p>
              </w:tc>
              <w:tc>
                <w:tcPr>
                  <w:tcW w:w="86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7.83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S1-2</w:t>
                  </w:r>
                </w:p>
              </w:tc>
              <w:tc>
                <w:tcPr>
                  <w:tcW w:w="1066" w:type="pct"/>
                  <w:tcBorders>
                    <w:tl2br w:val="nil"/>
                    <w:tr2bl w:val="nil"/>
                  </w:tcBorders>
                  <w:noWrap/>
                  <w:tcMar>
                    <w:top w:w="15" w:type="dxa"/>
                    <w:left w:w="15" w:type="dxa"/>
                    <w:right w:w="15" w:type="dxa"/>
                  </w:tcMar>
                  <w:vAlign w:val="center"/>
                </w:tcPr>
                <w:p>
                  <w:pPr>
                    <w:keepNext w:val="0"/>
                    <w:keepLines w:val="0"/>
                    <w:widowControl w:val="0"/>
                    <w:suppressLineNumbers w:val="0"/>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i w:val="0"/>
                      <w:color w:val="auto"/>
                      <w:kern w:val="2"/>
                      <w:sz w:val="21"/>
                      <w:szCs w:val="21"/>
                      <w:highlight w:val="none"/>
                      <w:u w:val="none"/>
                      <w:lang w:val="en-US" w:eastAsia="zh-CN" w:bidi="ar"/>
                    </w:rPr>
                    <w:t>67564.51</w:t>
                  </w:r>
                </w:p>
              </w:tc>
              <w:tc>
                <w:tcPr>
                  <w:tcW w:w="80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5590</w:t>
                  </w:r>
                </w:p>
              </w:tc>
              <w:tc>
                <w:tcPr>
                  <w:tcW w:w="865"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3.05</w:t>
                  </w:r>
                </w:p>
              </w:tc>
              <w:tc>
                <w:tcPr>
                  <w:tcW w:w="108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w:t>
                  </w:r>
                </w:p>
              </w:tc>
              <w:tc>
                <w:tcPr>
                  <w:tcW w:w="86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3.05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S1-3</w:t>
                  </w:r>
                </w:p>
              </w:tc>
              <w:tc>
                <w:tcPr>
                  <w:tcW w:w="1066" w:type="pct"/>
                  <w:tcBorders>
                    <w:tl2br w:val="nil"/>
                    <w:tr2bl w:val="nil"/>
                  </w:tcBorders>
                  <w:noWrap/>
                  <w:tcMar>
                    <w:top w:w="15" w:type="dxa"/>
                    <w:left w:w="15" w:type="dxa"/>
                    <w:right w:w="15" w:type="dxa"/>
                  </w:tcMar>
                  <w:vAlign w:val="center"/>
                </w:tcPr>
                <w:p>
                  <w:pPr>
                    <w:keepNext w:val="0"/>
                    <w:keepLines w:val="0"/>
                    <w:widowControl w:val="0"/>
                    <w:suppressLineNumbers w:val="0"/>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i w:val="0"/>
                      <w:color w:val="auto"/>
                      <w:kern w:val="2"/>
                      <w:sz w:val="21"/>
                      <w:szCs w:val="21"/>
                      <w:highlight w:val="none"/>
                      <w:u w:val="none"/>
                      <w:lang w:val="en-US" w:eastAsia="zh-CN" w:bidi="ar"/>
                    </w:rPr>
                    <w:t>97926.71</w:t>
                  </w:r>
                </w:p>
              </w:tc>
              <w:tc>
                <w:tcPr>
                  <w:tcW w:w="80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9394</w:t>
                  </w:r>
                </w:p>
              </w:tc>
              <w:tc>
                <w:tcPr>
                  <w:tcW w:w="865"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4.51</w:t>
                  </w:r>
                </w:p>
              </w:tc>
              <w:tc>
                <w:tcPr>
                  <w:tcW w:w="108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0.19</w:t>
                  </w:r>
                </w:p>
              </w:tc>
              <w:tc>
                <w:tcPr>
                  <w:tcW w:w="86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S1-4</w:t>
                  </w:r>
                </w:p>
              </w:tc>
              <w:tc>
                <w:tcPr>
                  <w:tcW w:w="1066" w:type="pct"/>
                  <w:tcBorders>
                    <w:tl2br w:val="nil"/>
                    <w:tr2bl w:val="nil"/>
                  </w:tcBorders>
                  <w:noWrap/>
                  <w:tcMar>
                    <w:top w:w="15" w:type="dxa"/>
                    <w:left w:w="15" w:type="dxa"/>
                    <w:right w:w="15" w:type="dxa"/>
                  </w:tcMar>
                  <w:vAlign w:val="center"/>
                </w:tcPr>
                <w:p>
                  <w:pPr>
                    <w:keepNext w:val="0"/>
                    <w:keepLines w:val="0"/>
                    <w:widowControl w:val="0"/>
                    <w:suppressLineNumbers w:val="0"/>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i w:val="0"/>
                      <w:color w:val="auto"/>
                      <w:kern w:val="2"/>
                      <w:sz w:val="21"/>
                      <w:szCs w:val="21"/>
                      <w:highlight w:val="none"/>
                      <w:u w:val="none"/>
                      <w:lang w:val="en-US" w:eastAsia="zh-CN" w:bidi="ar"/>
                    </w:rPr>
                    <w:t>188594.98</w:t>
                  </w:r>
                </w:p>
              </w:tc>
              <w:tc>
                <w:tcPr>
                  <w:tcW w:w="80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22198</w:t>
                  </w:r>
                </w:p>
              </w:tc>
              <w:tc>
                <w:tcPr>
                  <w:tcW w:w="865"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10.50</w:t>
                  </w:r>
                </w:p>
              </w:tc>
              <w:tc>
                <w:tcPr>
                  <w:tcW w:w="108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0.59</w:t>
                  </w:r>
                </w:p>
              </w:tc>
              <w:tc>
                <w:tcPr>
                  <w:tcW w:w="86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11.09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S1-5</w:t>
                  </w:r>
                </w:p>
              </w:tc>
              <w:tc>
                <w:tcPr>
                  <w:tcW w:w="1066" w:type="pct"/>
                  <w:tcBorders>
                    <w:tl2br w:val="nil"/>
                    <w:tr2bl w:val="nil"/>
                  </w:tcBorders>
                  <w:noWrap/>
                  <w:tcMar>
                    <w:top w:w="15" w:type="dxa"/>
                    <w:left w:w="15" w:type="dxa"/>
                    <w:right w:w="15" w:type="dxa"/>
                  </w:tcMar>
                  <w:vAlign w:val="center"/>
                </w:tcPr>
                <w:p>
                  <w:pPr>
                    <w:keepNext w:val="0"/>
                    <w:keepLines w:val="0"/>
                    <w:widowControl w:val="0"/>
                    <w:suppressLineNumbers w:val="0"/>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i w:val="0"/>
                      <w:color w:val="auto"/>
                      <w:kern w:val="2"/>
                      <w:sz w:val="21"/>
                      <w:szCs w:val="21"/>
                      <w:highlight w:val="none"/>
                      <w:u w:val="none"/>
                      <w:lang w:val="en-US" w:eastAsia="zh-CN" w:bidi="ar"/>
                    </w:rPr>
                    <w:t>52253.9</w:t>
                  </w:r>
                </w:p>
              </w:tc>
              <w:tc>
                <w:tcPr>
                  <w:tcW w:w="80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9624</w:t>
                  </w:r>
                </w:p>
              </w:tc>
              <w:tc>
                <w:tcPr>
                  <w:tcW w:w="865"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4.96</w:t>
                  </w:r>
                </w:p>
              </w:tc>
              <w:tc>
                <w:tcPr>
                  <w:tcW w:w="108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w:t>
                  </w:r>
                </w:p>
              </w:tc>
              <w:tc>
                <w:tcPr>
                  <w:tcW w:w="86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4.96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合计</w:t>
                  </w:r>
                </w:p>
              </w:tc>
              <w:tc>
                <w:tcPr>
                  <w:tcW w:w="1066" w:type="pct"/>
                  <w:tcBorders>
                    <w:tl2br w:val="nil"/>
                    <w:tr2bl w:val="nil"/>
                  </w:tcBorders>
                  <w:noWrap/>
                  <w:tcMar>
                    <w:top w:w="15" w:type="dxa"/>
                    <w:left w:w="15" w:type="dxa"/>
                    <w:right w:w="15" w:type="dxa"/>
                  </w:tcMar>
                  <w:vAlign w:val="center"/>
                </w:tcPr>
                <w:p>
                  <w:pPr>
                    <w:keepNext w:val="0"/>
                    <w:keepLines w:val="0"/>
                    <w:widowControl w:val="0"/>
                    <w:suppressLineNumbers w:val="0"/>
                    <w:jc w:val="center"/>
                    <w:textAlignment w:val="auto"/>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kern w:val="2"/>
                      <w:sz w:val="21"/>
                      <w:szCs w:val="21"/>
                      <w:highlight w:val="none"/>
                      <w:u w:val="none"/>
                      <w:lang w:val="en-US" w:eastAsia="zh-CN" w:bidi="ar"/>
                    </w:rPr>
                    <w:t>1393339.23</w:t>
                  </w:r>
                </w:p>
              </w:tc>
              <w:tc>
                <w:tcPr>
                  <w:tcW w:w="80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133770</w:t>
                  </w:r>
                </w:p>
              </w:tc>
              <w:tc>
                <w:tcPr>
                  <w:tcW w:w="865"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60.76</w:t>
                  </w:r>
                </w:p>
              </w:tc>
              <w:tc>
                <w:tcPr>
                  <w:tcW w:w="108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1.82</w:t>
                  </w:r>
                </w:p>
              </w:tc>
              <w:tc>
                <w:tcPr>
                  <w:tcW w:w="86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62.58</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lang w:val="en-US" w:eastAsia="zh-CN"/>
              </w:rPr>
            </w:pPr>
            <w:r>
              <w:rPr>
                <w:rFonts w:hint="eastAsia"/>
                <w:sz w:val="24"/>
                <w:lang w:val="en-US" w:eastAsia="zh-CN"/>
              </w:rPr>
              <w:t>本组成的主要建设内容见表1-7。</w:t>
            </w:r>
          </w:p>
          <w:p>
            <w:pPr>
              <w:adjustRightInd w:val="0"/>
              <w:snapToGrid w:val="0"/>
              <w:spacing w:line="360" w:lineRule="auto"/>
              <w:ind w:firstLine="480" w:firstLineChars="200"/>
              <w:jc w:val="center"/>
              <w:rPr>
                <w:rFonts w:hint="eastAsia"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表1-</w:t>
            </w:r>
            <w:r>
              <w:rPr>
                <w:rFonts w:hint="eastAsia" w:eastAsia="黑体" w:cs="Times New Roman"/>
                <w:sz w:val="24"/>
                <w:lang w:val="en-US" w:eastAsia="zh-CN"/>
              </w:rPr>
              <w:t>7</w:t>
            </w:r>
            <w:r>
              <w:rPr>
                <w:rFonts w:hint="eastAsia" w:ascii="Times New Roman" w:hAnsi="Times New Roman" w:eastAsia="黑体" w:cs="Times New Roman"/>
                <w:sz w:val="24"/>
                <w:lang w:val="en-US" w:eastAsia="zh-CN"/>
              </w:rPr>
              <w:t xml:space="preserve">  项目组成情况表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361"/>
              <w:gridCol w:w="64"/>
              <w:gridCol w:w="1119"/>
              <w:gridCol w:w="6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default" w:ascii="Times New Roman" w:hAnsi="Times New Roman" w:eastAsia="宋体" w:cs="Times New Roman"/>
                      <w:b/>
                      <w:bCs/>
                      <w:sz w:val="21"/>
                      <w:szCs w:val="21"/>
                      <w:highlight w:val="none"/>
                      <w:u w:val="none"/>
                      <w:vertAlign w:val="baseline"/>
                      <w:lang w:val="en-US" w:eastAsia="zh-CN"/>
                    </w:rPr>
                    <w:t>工程</w:t>
                  </w:r>
                  <w:r>
                    <w:rPr>
                      <w:rFonts w:hint="eastAsia" w:eastAsia="宋体" w:cs="Times New Roman"/>
                      <w:b/>
                      <w:bCs/>
                      <w:sz w:val="21"/>
                      <w:szCs w:val="21"/>
                      <w:highlight w:val="none"/>
                      <w:u w:val="none"/>
                      <w:vertAlign w:val="baseline"/>
                      <w:lang w:val="en-US" w:eastAsia="zh-CN"/>
                    </w:rPr>
                    <w:t>类别</w:t>
                  </w:r>
                </w:p>
              </w:tc>
              <w:tc>
                <w:tcPr>
                  <w:tcW w:w="85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default" w:ascii="Times New Roman" w:hAnsi="Times New Roman" w:eastAsia="宋体" w:cs="Times New Roman"/>
                      <w:b/>
                      <w:bCs/>
                      <w:sz w:val="21"/>
                      <w:szCs w:val="21"/>
                      <w:highlight w:val="none"/>
                      <w:u w:val="none"/>
                      <w:vertAlign w:val="baseline"/>
                      <w:lang w:val="en-US" w:eastAsia="zh-CN"/>
                    </w:rPr>
                    <w:t>工程名称</w:t>
                  </w:r>
                </w:p>
              </w:tc>
              <w:tc>
                <w:tcPr>
                  <w:tcW w:w="37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default" w:ascii="Times New Roman" w:hAnsi="Times New Roman" w:eastAsia="宋体" w:cs="Times New Roman"/>
                      <w:b/>
                      <w:bCs/>
                      <w:sz w:val="21"/>
                      <w:szCs w:val="21"/>
                      <w:highlight w:val="none"/>
                      <w:u w:val="none"/>
                      <w:vertAlign w:val="baseline"/>
                      <w:lang w:val="en-US" w:eastAsia="zh-CN"/>
                    </w:rPr>
                    <w:t>主要内容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主体工程</w:t>
                  </w:r>
                </w:p>
              </w:tc>
              <w:tc>
                <w:tcPr>
                  <w:tcW w:w="234"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煤炭区</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highlight w:val="none"/>
                      <w:lang w:val="en-US" w:eastAsia="zh-CN"/>
                    </w:rPr>
                  </w:pPr>
                  <w:r>
                    <w:rPr>
                      <w:rFonts w:hint="eastAsia" w:cs="Times New Roman"/>
                      <w:b w:val="0"/>
                      <w:bCs w:val="0"/>
                      <w:sz w:val="21"/>
                      <w:szCs w:val="21"/>
                      <w:highlight w:val="none"/>
                      <w:u w:val="none"/>
                      <w:vertAlign w:val="baseline"/>
                      <w:lang w:val="en-US" w:eastAsia="zh-CN"/>
                    </w:rPr>
                    <w:t>土方回填压实</w:t>
                  </w:r>
                </w:p>
              </w:tc>
              <w:tc>
                <w:tcPr>
                  <w:tcW w:w="37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rPr>
                    <w:t>采用</w:t>
                  </w:r>
                  <w:r>
                    <w:rPr>
                      <w:rFonts w:hint="eastAsia" w:ascii="Times New Roman" w:hAnsi="Times New Roman" w:eastAsia="宋体" w:cs="Times New Roman"/>
                      <w:highlight w:val="none"/>
                      <w:lang w:val="en-US" w:eastAsia="zh-CN"/>
                    </w:rPr>
                    <w:t>3~4</w:t>
                  </w:r>
                  <w:r>
                    <w:rPr>
                      <w:rFonts w:hint="default" w:ascii="Times New Roman" w:hAnsi="Times New Roman" w:eastAsia="宋体" w:cs="Times New Roman"/>
                      <w:highlight w:val="none"/>
                    </w:rPr>
                    <w:t>m</w:t>
                  </w:r>
                  <w:r>
                    <w:rPr>
                      <w:rFonts w:hint="default" w:ascii="Times New Roman" w:hAnsi="Times New Roman" w:eastAsia="宋体" w:cs="Times New Roman"/>
                      <w:highlight w:val="none"/>
                      <w:vertAlign w:val="superscript"/>
                    </w:rPr>
                    <w:t>3</w:t>
                  </w:r>
                  <w:r>
                    <w:rPr>
                      <w:rFonts w:hint="eastAsia" w:ascii="Times New Roman" w:hAnsi="Times New Roman" w:eastAsia="宋体" w:cs="Times New Roman"/>
                      <w:highlight w:val="none"/>
                      <w:lang w:eastAsia="zh-CN"/>
                    </w:rPr>
                    <w:t>拖式铲运机铲运</w:t>
                  </w:r>
                  <w:r>
                    <w:rPr>
                      <w:rFonts w:hint="default" w:ascii="Times New Roman" w:hAnsi="Times New Roman" w:eastAsia="宋体" w:cs="Times New Roman"/>
                      <w:highlight w:val="none"/>
                    </w:rPr>
                    <w:t>，自卸汽车拉运土方回填采坑</w:t>
                  </w:r>
                  <w:r>
                    <w:rPr>
                      <w:rFonts w:hint="default" w:ascii="Times New Roman" w:hAnsi="Times New Roman" w:eastAsia="宋体" w:cs="Times New Roman"/>
                      <w:highlight w:val="none"/>
                      <w:lang w:eastAsia="zh-CN"/>
                    </w:rPr>
                    <w:t>。</w:t>
                  </w:r>
                  <w:r>
                    <w:rPr>
                      <w:rFonts w:hint="eastAsia" w:cs="Times New Roman"/>
                      <w:b w:val="0"/>
                      <w:bCs w:val="0"/>
                      <w:sz w:val="21"/>
                      <w:szCs w:val="21"/>
                      <w:highlight w:val="none"/>
                      <w:u w:val="none"/>
                      <w:vertAlign w:val="baseline"/>
                      <w:lang w:val="en-US" w:eastAsia="zh-CN"/>
                    </w:rPr>
                    <w:t>土方回填压实</w:t>
                  </w:r>
                  <w:r>
                    <w:rPr>
                      <w:rFonts w:hint="eastAsia" w:ascii="Times New Roman" w:hAnsi="Times New Roman" w:eastAsia="宋体" w:cs="Times New Roman"/>
                      <w:highlight w:val="none"/>
                      <w:lang w:eastAsia="zh-CN"/>
                    </w:rPr>
                    <w:t>土</w:t>
                  </w:r>
                  <w:r>
                    <w:rPr>
                      <w:rFonts w:hint="default" w:ascii="Times New Roman" w:hAnsi="Times New Roman" w:eastAsia="宋体" w:cs="Times New Roman"/>
                      <w:highlight w:val="none"/>
                    </w:rPr>
                    <w:t>方量为</w:t>
                  </w:r>
                  <w:r>
                    <w:rPr>
                      <w:rFonts w:hint="eastAsia" w:cs="Times New Roman"/>
                      <w:highlight w:val="none"/>
                      <w:lang w:val="en-US" w:eastAsia="zh-CN"/>
                    </w:rPr>
                    <w:t>867985.28</w:t>
                  </w:r>
                  <w:r>
                    <w:rPr>
                      <w:rFonts w:hint="default" w:ascii="Times New Roman" w:hAnsi="Times New Roman" w:eastAsia="宋体" w:cs="Times New Roman"/>
                      <w:highlight w:val="none"/>
                    </w:rPr>
                    <w:t>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highlight w:val="none"/>
                    </w:rPr>
                    <w:t>，</w:t>
                  </w:r>
                  <w:r>
                    <w:rPr>
                      <w:rFonts w:hint="eastAsia" w:cs="Times New Roman"/>
                      <w:highlight w:val="none"/>
                      <w:lang w:eastAsia="zh-CN"/>
                    </w:rPr>
                    <w:t>挖填方</w:t>
                  </w:r>
                  <w:r>
                    <w:rPr>
                      <w:rFonts w:hint="default" w:ascii="Times New Roman" w:hAnsi="Times New Roman" w:eastAsia="宋体" w:cs="Times New Roman"/>
                      <w:highlight w:val="none"/>
                    </w:rPr>
                    <w:t>运距</w:t>
                  </w:r>
                  <w:r>
                    <w:rPr>
                      <w:rFonts w:hint="eastAsia" w:cs="Times New Roman"/>
                      <w:highlight w:val="none"/>
                      <w:lang w:val="en-US" w:eastAsia="zh-CN"/>
                    </w:rPr>
                    <w:t>500</w:t>
                  </w:r>
                  <w:r>
                    <w:rPr>
                      <w:rFonts w:hint="default" w:ascii="Times New Roman" w:hAnsi="Times New Roman" w:eastAsia="宋体" w:cs="Times New Roman"/>
                      <w:highlight w:val="none"/>
                    </w:rPr>
                    <w:t>m</w:t>
                  </w:r>
                  <w:r>
                    <w:rPr>
                      <w:rFonts w:hint="eastAsia" w:cs="Times New Roman"/>
                      <w:highlight w:val="none"/>
                      <w:lang w:eastAsia="zh-CN"/>
                    </w:rPr>
                    <w:t>以内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pPr>
                </w:p>
              </w:tc>
              <w:tc>
                <w:tcPr>
                  <w:tcW w:w="234"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pP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sz w:val="21"/>
                      <w:szCs w:val="21"/>
                      <w:highlight w:val="none"/>
                      <w:u w:val="none"/>
                      <w:vertAlign w:val="baseline"/>
                      <w:lang w:val="en-US" w:eastAsia="zh-CN"/>
                    </w:rPr>
                  </w:pPr>
                  <w:r>
                    <w:rPr>
                      <w:rFonts w:hint="eastAsia" w:ascii="Times New Roman" w:hAnsi="Times New Roman" w:eastAsia="宋体" w:cs="Times New Roman"/>
                      <w:highlight w:val="none"/>
                    </w:rPr>
                    <w:t>土地平整</w:t>
                  </w:r>
                </w:p>
              </w:tc>
              <w:tc>
                <w:tcPr>
                  <w:tcW w:w="37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ascii="Times New Roman" w:hAnsi="Times New Roman" w:eastAsia="宋体" w:cs="Times New Roman"/>
                      <w:highlight w:val="none"/>
                      <w:lang w:eastAsia="zh-CN"/>
                    </w:rPr>
                    <w:t>推土机推土，额定单位：</w:t>
                  </w:r>
                  <w:r>
                    <w:rPr>
                      <w:rFonts w:hint="eastAsia" w:ascii="Times New Roman" w:hAnsi="Times New Roman" w:eastAsia="宋体" w:cs="Times New Roman"/>
                      <w:highlight w:val="none"/>
                      <w:lang w:val="en-US" w:eastAsia="zh-CN"/>
                    </w:rPr>
                    <w:t>100m</w:t>
                  </w:r>
                  <w:r>
                    <w:rPr>
                      <w:rFonts w:hint="eastAsia" w:ascii="Times New Roman" w:hAnsi="Times New Roman" w:eastAsia="宋体" w:cs="Times New Roman"/>
                      <w:highlight w:val="none"/>
                      <w:vertAlign w:val="superscript"/>
                      <w:lang w:val="en-US" w:eastAsia="zh-CN"/>
                    </w:rPr>
                    <w:t>3</w:t>
                  </w:r>
                  <w:r>
                    <w:rPr>
                      <w:rFonts w:hint="eastAsia" w:ascii="Times New Roman" w:hAnsi="Times New Roman" w:eastAsia="宋体" w:cs="Times New Roman"/>
                      <w:highlight w:val="none"/>
                    </w:rPr>
                    <w:t>，</w:t>
                  </w:r>
                  <w:r>
                    <w:rPr>
                      <w:rFonts w:hint="eastAsia" w:ascii="Times New Roman" w:hAnsi="Times New Roman" w:eastAsia="宋体" w:cs="Times New Roman"/>
                      <w:kern w:val="2"/>
                      <w:sz w:val="21"/>
                      <w:szCs w:val="24"/>
                      <w:highlight w:val="none"/>
                      <w:lang w:val="en-US" w:eastAsia="zh-CN" w:bidi="ar"/>
                    </w:rPr>
                    <w:t>将回填后的土方进行平整，土地平整工程量</w:t>
                  </w:r>
                  <w:r>
                    <w:rPr>
                      <w:rFonts w:hint="eastAsia" w:ascii="Times New Roman" w:hAnsi="Times New Roman" w:eastAsia="宋体" w:cs="Times New Roman"/>
                      <w:highlight w:val="none"/>
                    </w:rPr>
                    <w:t>为</w:t>
                  </w:r>
                  <w:r>
                    <w:rPr>
                      <w:rFonts w:hint="eastAsia" w:cs="Times New Roman"/>
                      <w:highlight w:val="none"/>
                      <w:lang w:val="en-US" w:eastAsia="zh-CN"/>
                    </w:rPr>
                    <w:t>71310</w:t>
                  </w:r>
                  <w:r>
                    <w:rPr>
                      <w:rFonts w:hint="eastAsia" w:ascii="Times New Roman" w:hAnsi="Times New Roman" w:eastAsia="宋体" w:cs="Times New Roman"/>
                      <w:highlight w:val="none"/>
                    </w:rPr>
                    <w:t>m</w:t>
                  </w:r>
                  <w:r>
                    <w:rPr>
                      <w:rFonts w:hint="eastAsia" w:ascii="Times New Roman" w:hAnsi="Times New Roman" w:eastAsia="宋体" w:cs="Times New Roman"/>
                      <w:highlight w:val="none"/>
                      <w:vertAlign w:val="superscript"/>
                    </w:rPr>
                    <w:t>3</w:t>
                  </w:r>
                  <w:r>
                    <w:rPr>
                      <w:rFonts w:hint="eastAsia" w:ascii="Times New Roman" w:hAnsi="Times New Roman" w:eastAsia="宋体" w:cs="Times New Roman"/>
                      <w:highlight w:val="none"/>
                      <w:lang w:val="en-US" w:eastAsia="zh-CN"/>
                    </w:rPr>
                    <w:t>；运距</w:t>
                  </w:r>
                  <w:r>
                    <w:rPr>
                      <w:rFonts w:hint="eastAsia" w:cs="Times New Roman"/>
                      <w:highlight w:val="none"/>
                      <w:lang w:val="en-US" w:eastAsia="zh-CN"/>
                    </w:rPr>
                    <w:t>500</w:t>
                  </w:r>
                  <w:r>
                    <w:rPr>
                      <w:rFonts w:hint="eastAsia" w:ascii="Times New Roman" w:hAnsi="Times New Roman" w:eastAsia="宋体" w:cs="Times New Roman"/>
                      <w:highlight w:val="none"/>
                      <w:lang w:val="en-US" w:eastAsia="zh-CN"/>
                    </w:rPr>
                    <w:t>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p>
              </w:tc>
              <w:tc>
                <w:tcPr>
                  <w:tcW w:w="234"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highlight w:val="none"/>
                      <w:lang w:eastAsia="zh-CN"/>
                    </w:rPr>
                  </w:pPr>
                  <w:r>
                    <w:rPr>
                      <w:rFonts w:hint="eastAsia" w:cs="Times New Roman"/>
                      <w:highlight w:val="none"/>
                      <w:lang w:eastAsia="zh-CN"/>
                    </w:rPr>
                    <w:t>植被恢复</w:t>
                  </w:r>
                </w:p>
              </w:tc>
              <w:tc>
                <w:tcPr>
                  <w:tcW w:w="37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highlight w:val="none"/>
                    </w:rPr>
                  </w:pPr>
                  <w:r>
                    <w:rPr>
                      <w:rFonts w:hint="eastAsia" w:ascii="Times New Roman" w:hAnsi="Times New Roman" w:eastAsia="宋体" w:cs="Times New Roman"/>
                      <w:highlight w:val="none"/>
                    </w:rPr>
                    <w:t xml:space="preserve"> </w:t>
                  </w:r>
                  <w:r>
                    <w:rPr>
                      <w:rFonts w:hint="eastAsia"/>
                      <w:lang w:eastAsia="zh-CN"/>
                    </w:rPr>
                    <w:t>采用条播种草方式，种草</w:t>
                  </w:r>
                  <w:r>
                    <w:rPr>
                      <w:rFonts w:hint="eastAsia"/>
                    </w:rPr>
                    <w:t>区</w:t>
                  </w:r>
                  <w:r>
                    <w:rPr>
                      <w:rFonts w:hint="eastAsia" w:ascii="Times New Roman" w:hAnsi="Times New Roman" w:eastAsia="宋体" w:cs="Times New Roman"/>
                      <w:highlight w:val="none"/>
                    </w:rPr>
                    <w:t>域为</w:t>
                  </w:r>
                  <w:r>
                    <w:rPr>
                      <w:rFonts w:hint="eastAsia" w:ascii="Times New Roman" w:hAnsi="Times New Roman" w:eastAsia="宋体" w:cs="Times New Roman"/>
                      <w:highlight w:val="none"/>
                      <w:lang w:val="en-US" w:eastAsia="zh-CN"/>
                    </w:rPr>
                    <w:t>位于线驮石矿区罗花崖煤矿同土公路两侧</w:t>
                  </w:r>
                  <w:r>
                    <w:rPr>
                      <w:rFonts w:hint="eastAsia" w:ascii="Times New Roman" w:hAnsi="Times New Roman" w:eastAsia="宋体" w:cs="Times New Roman"/>
                      <w:highlight w:val="none"/>
                    </w:rPr>
                    <w:t>整个</w:t>
                  </w:r>
                  <w:r>
                    <w:rPr>
                      <w:rFonts w:hint="eastAsia" w:ascii="Times New Roman" w:hAnsi="Times New Roman" w:eastAsia="宋体" w:cs="Times New Roman"/>
                      <w:highlight w:val="none"/>
                      <w:lang w:val="en-US" w:eastAsia="zh-CN"/>
                    </w:rPr>
                    <w:t>煤炭区</w:t>
                  </w:r>
                  <w:r>
                    <w:rPr>
                      <w:rFonts w:hint="eastAsia" w:ascii="Times New Roman" w:hAnsi="Times New Roman" w:eastAsia="宋体" w:cs="Times New Roman"/>
                      <w:highlight w:val="none"/>
                    </w:rPr>
                    <w:t>土方施工区域</w:t>
                  </w:r>
                  <w:r>
                    <w:rPr>
                      <w:rFonts w:hint="eastAsia" w:ascii="Times New Roman" w:hAnsi="Times New Roman" w:cs="Times New Roman"/>
                      <w:highlight w:val="none"/>
                      <w:lang w:eastAsia="zh-CN"/>
                    </w:rPr>
                    <w:t>，</w:t>
                  </w:r>
                  <w:r>
                    <w:rPr>
                      <w:rFonts w:hint="eastAsia"/>
                      <w:lang w:eastAsia="zh-CN"/>
                    </w:rPr>
                    <w:t>种草</w:t>
                  </w:r>
                  <w:r>
                    <w:rPr>
                      <w:rFonts w:hint="eastAsia"/>
                    </w:rPr>
                    <w:t>总面积</w:t>
                  </w:r>
                  <w:r>
                    <w:rPr>
                      <w:rFonts w:hint="eastAsia"/>
                      <w:lang w:val="en-US" w:eastAsia="zh-CN"/>
                    </w:rPr>
                    <w:t>30.95</w:t>
                  </w:r>
                  <w:r>
                    <w:rPr>
                      <w:rFonts w:hint="eastAsia"/>
                    </w:rPr>
                    <w:t>hm</w:t>
                  </w:r>
                  <w:r>
                    <w:rPr>
                      <w:rFonts w:hint="eastAsia"/>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pPr>
                </w:p>
              </w:tc>
              <w:tc>
                <w:tcPr>
                  <w:tcW w:w="234"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pP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cs="Times New Roman"/>
                      <w:highlight w:val="none"/>
                      <w:lang w:val="en-US" w:eastAsia="zh-CN"/>
                    </w:rPr>
                    <w:t>土地翻耕</w:t>
                  </w:r>
                </w:p>
              </w:tc>
              <w:tc>
                <w:tcPr>
                  <w:tcW w:w="37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lang w:val="en-US" w:eastAsia="zh-CN"/>
                    </w:rPr>
                  </w:pPr>
                  <w:r>
                    <w:rPr>
                      <w:rFonts w:hint="eastAsia" w:ascii="Times New Roman" w:hAnsi="Times New Roman" w:eastAsia="宋体" w:cs="Times New Roman"/>
                      <w:color w:val="auto"/>
                      <w:kern w:val="2"/>
                      <w:sz w:val="21"/>
                      <w:szCs w:val="24"/>
                      <w:highlight w:val="none"/>
                      <w:lang w:val="en-US" w:eastAsia="zh-CN" w:bidi="ar"/>
                    </w:rPr>
                    <w:t>用犁地机、旋耕机，对土壤进行松土，翻耕深度</w:t>
                  </w:r>
                  <w:r>
                    <w:rPr>
                      <w:rFonts w:hint="eastAsia" w:cs="Times New Roman"/>
                      <w:kern w:val="2"/>
                      <w:sz w:val="21"/>
                      <w:szCs w:val="24"/>
                      <w:highlight w:val="none"/>
                      <w:lang w:val="en-US" w:eastAsia="zh-CN" w:bidi="ar"/>
                    </w:rPr>
                    <w:t>为</w:t>
                  </w:r>
                  <w:r>
                    <w:rPr>
                      <w:rFonts w:hint="eastAsia" w:ascii="Times New Roman" w:hAnsi="Times New Roman" w:eastAsia="宋体" w:cs="Times New Roman"/>
                      <w:color w:val="auto"/>
                      <w:kern w:val="2"/>
                      <w:sz w:val="21"/>
                      <w:szCs w:val="24"/>
                      <w:highlight w:val="none"/>
                      <w:lang w:val="en-US" w:eastAsia="zh-CN" w:bidi="ar"/>
                    </w:rPr>
                    <w:t xml:space="preserve">20cm，翻耕面积 </w:t>
                  </w:r>
                  <w:r>
                    <w:rPr>
                      <w:rFonts w:hint="eastAsia" w:cs="Times New Roman"/>
                      <w:kern w:val="2"/>
                      <w:sz w:val="21"/>
                      <w:szCs w:val="24"/>
                      <w:highlight w:val="none"/>
                      <w:lang w:val="en-US" w:eastAsia="zh-CN" w:bidi="ar"/>
                    </w:rPr>
                    <w:t>30.95</w:t>
                  </w:r>
                  <w:r>
                    <w:rPr>
                      <w:rFonts w:hint="eastAsia" w:ascii="Times New Roman" w:hAnsi="Times New Roman" w:eastAsia="宋体" w:cs="Times New Roman"/>
                      <w:color w:val="auto"/>
                      <w:kern w:val="2"/>
                      <w:sz w:val="21"/>
                      <w:szCs w:val="24"/>
                      <w:highlight w:val="none"/>
                      <w:lang w:val="en-US" w:eastAsia="zh-CN" w:bidi="ar"/>
                    </w:rPr>
                    <w:t>hm</w:t>
                  </w:r>
                  <w:r>
                    <w:rPr>
                      <w:rFonts w:hint="eastAsia" w:ascii="Times New Roman" w:hAnsi="Times New Roman" w:eastAsia="宋体" w:cs="Times New Roman"/>
                      <w:color w:val="auto"/>
                      <w:kern w:val="2"/>
                      <w:sz w:val="21"/>
                      <w:szCs w:val="24"/>
                      <w:highlight w:val="none"/>
                      <w:vertAlign w:val="superscript"/>
                      <w:lang w:val="en-US" w:eastAsia="zh-CN" w:bidi="ar"/>
                    </w:rPr>
                    <w:t>2</w:t>
                  </w:r>
                  <w:r>
                    <w:rPr>
                      <w:rFonts w:hint="eastAsia" w:ascii="Times New Roman" w:hAnsi="Times New Roman" w:eastAsia="宋体" w:cs="Times New Roman"/>
                      <w:color w:val="auto"/>
                      <w:kern w:val="2"/>
                      <w:sz w:val="21"/>
                      <w:szCs w:val="24"/>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p>
              </w:tc>
              <w:tc>
                <w:tcPr>
                  <w:tcW w:w="234"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建筑用砂区</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b w:val="0"/>
                      <w:bCs w:val="0"/>
                      <w:sz w:val="21"/>
                      <w:szCs w:val="21"/>
                      <w:highlight w:val="none"/>
                      <w:u w:val="none"/>
                      <w:vertAlign w:val="baseline"/>
                      <w:lang w:val="en-US" w:eastAsia="zh-CN"/>
                    </w:rPr>
                    <w:t>土方回填压实</w:t>
                  </w:r>
                </w:p>
              </w:tc>
              <w:tc>
                <w:tcPr>
                  <w:tcW w:w="37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lang w:val="en-US" w:eastAsia="zh-CN"/>
                    </w:rPr>
                  </w:pPr>
                  <w:r>
                    <w:rPr>
                      <w:rFonts w:hint="default" w:ascii="Times New Roman" w:hAnsi="Times New Roman" w:eastAsia="宋体" w:cs="Times New Roman"/>
                      <w:highlight w:val="none"/>
                    </w:rPr>
                    <w:t>采用</w:t>
                  </w:r>
                  <w:r>
                    <w:rPr>
                      <w:rFonts w:hint="eastAsia" w:ascii="Times New Roman" w:hAnsi="Times New Roman" w:eastAsia="宋体" w:cs="Times New Roman"/>
                      <w:highlight w:val="none"/>
                      <w:lang w:val="en-US" w:eastAsia="zh-CN"/>
                    </w:rPr>
                    <w:t>3~4</w:t>
                  </w:r>
                  <w:r>
                    <w:rPr>
                      <w:rFonts w:hint="default" w:ascii="Times New Roman" w:hAnsi="Times New Roman" w:eastAsia="宋体" w:cs="Times New Roman"/>
                      <w:highlight w:val="none"/>
                    </w:rPr>
                    <w:t>m</w:t>
                  </w:r>
                  <w:r>
                    <w:rPr>
                      <w:rFonts w:hint="default" w:ascii="Times New Roman" w:hAnsi="Times New Roman" w:eastAsia="宋体" w:cs="Times New Roman"/>
                      <w:highlight w:val="none"/>
                      <w:vertAlign w:val="superscript"/>
                    </w:rPr>
                    <w:t>3</w:t>
                  </w:r>
                  <w:r>
                    <w:rPr>
                      <w:rFonts w:hint="eastAsia" w:ascii="Times New Roman" w:hAnsi="Times New Roman" w:eastAsia="宋体" w:cs="Times New Roman"/>
                      <w:highlight w:val="none"/>
                      <w:lang w:eastAsia="zh-CN"/>
                    </w:rPr>
                    <w:t>拖式铲运机铲运</w:t>
                  </w:r>
                  <w:r>
                    <w:rPr>
                      <w:rFonts w:hint="default" w:ascii="Times New Roman" w:hAnsi="Times New Roman" w:eastAsia="宋体" w:cs="Times New Roman"/>
                      <w:highlight w:val="none"/>
                    </w:rPr>
                    <w:t>，自卸汽车拉运土方回填采坑</w:t>
                  </w:r>
                  <w:r>
                    <w:rPr>
                      <w:rFonts w:hint="default" w:ascii="Times New Roman" w:hAnsi="Times New Roman" w:eastAsia="宋体" w:cs="Times New Roman"/>
                      <w:highlight w:val="none"/>
                      <w:lang w:eastAsia="zh-CN"/>
                    </w:rPr>
                    <w:t>。</w:t>
                  </w:r>
                  <w:r>
                    <w:rPr>
                      <w:rFonts w:hint="eastAsia" w:cs="Times New Roman"/>
                      <w:b w:val="0"/>
                      <w:bCs w:val="0"/>
                      <w:sz w:val="21"/>
                      <w:szCs w:val="21"/>
                      <w:highlight w:val="none"/>
                      <w:u w:val="none"/>
                      <w:vertAlign w:val="baseline"/>
                      <w:lang w:val="en-US" w:eastAsia="zh-CN"/>
                    </w:rPr>
                    <w:t>土方回填压实</w:t>
                  </w:r>
                  <w:r>
                    <w:rPr>
                      <w:rFonts w:hint="eastAsia" w:ascii="Times New Roman" w:hAnsi="Times New Roman" w:eastAsia="宋体" w:cs="Times New Roman"/>
                      <w:highlight w:val="none"/>
                      <w:lang w:eastAsia="zh-CN"/>
                    </w:rPr>
                    <w:t>土</w:t>
                  </w:r>
                  <w:r>
                    <w:rPr>
                      <w:rFonts w:hint="default" w:ascii="Times New Roman" w:hAnsi="Times New Roman" w:eastAsia="宋体" w:cs="Times New Roman"/>
                      <w:highlight w:val="none"/>
                    </w:rPr>
                    <w:t>方量为</w:t>
                  </w:r>
                  <w:r>
                    <w:rPr>
                      <w:rFonts w:hint="eastAsia" w:cs="Times New Roman"/>
                      <w:highlight w:val="none"/>
                      <w:lang w:val="en-US" w:eastAsia="zh-CN"/>
                    </w:rPr>
                    <w:t>565353.95</w:t>
                  </w:r>
                  <w:r>
                    <w:rPr>
                      <w:rFonts w:hint="default" w:ascii="Times New Roman" w:hAnsi="Times New Roman" w:eastAsia="宋体" w:cs="Times New Roman"/>
                      <w:highlight w:val="none"/>
                    </w:rPr>
                    <w:t>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highlight w:val="none"/>
                    </w:rPr>
                    <w:t>，</w:t>
                  </w:r>
                  <w:r>
                    <w:rPr>
                      <w:rFonts w:hint="eastAsia" w:cs="Times New Roman"/>
                      <w:highlight w:val="none"/>
                      <w:lang w:eastAsia="zh-CN"/>
                    </w:rPr>
                    <w:t>挖填方</w:t>
                  </w:r>
                  <w:r>
                    <w:rPr>
                      <w:rFonts w:hint="default" w:ascii="Times New Roman" w:hAnsi="Times New Roman" w:eastAsia="宋体" w:cs="Times New Roman"/>
                      <w:highlight w:val="none"/>
                    </w:rPr>
                    <w:t>运距</w:t>
                  </w:r>
                  <w:r>
                    <w:rPr>
                      <w:rFonts w:hint="eastAsia" w:cs="Times New Roman"/>
                      <w:highlight w:val="none"/>
                      <w:lang w:val="en-US" w:eastAsia="zh-CN"/>
                    </w:rPr>
                    <w:t>500</w:t>
                  </w:r>
                  <w:r>
                    <w:rPr>
                      <w:rFonts w:hint="default" w:ascii="Times New Roman" w:hAnsi="Times New Roman" w:eastAsia="宋体" w:cs="Times New Roman"/>
                      <w:highlight w:val="none"/>
                    </w:rPr>
                    <w:t>m</w:t>
                  </w:r>
                  <w:r>
                    <w:rPr>
                      <w:rFonts w:hint="eastAsia" w:cs="Times New Roman"/>
                      <w:highlight w:val="none"/>
                      <w:lang w:eastAsia="zh-CN"/>
                    </w:rPr>
                    <w:t>以内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pPr>
                </w:p>
              </w:tc>
              <w:tc>
                <w:tcPr>
                  <w:tcW w:w="234"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pP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sz w:val="21"/>
                      <w:szCs w:val="21"/>
                      <w:highlight w:val="none"/>
                      <w:u w:val="none"/>
                      <w:vertAlign w:val="baseline"/>
                      <w:lang w:val="en-US" w:eastAsia="zh-CN"/>
                    </w:rPr>
                  </w:pPr>
                  <w:r>
                    <w:rPr>
                      <w:rFonts w:hint="eastAsia" w:ascii="Times New Roman" w:hAnsi="Times New Roman" w:eastAsia="宋体" w:cs="Times New Roman"/>
                      <w:highlight w:val="none"/>
                    </w:rPr>
                    <w:t>土地平整</w:t>
                  </w:r>
                </w:p>
              </w:tc>
              <w:tc>
                <w:tcPr>
                  <w:tcW w:w="37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ascii="Times New Roman" w:hAnsi="Times New Roman" w:eastAsia="宋体" w:cs="Times New Roman"/>
                      <w:highlight w:val="none"/>
                      <w:lang w:eastAsia="zh-CN"/>
                    </w:rPr>
                    <w:t>推土机推土，额定单位：</w:t>
                  </w:r>
                  <w:r>
                    <w:rPr>
                      <w:rFonts w:hint="eastAsia" w:ascii="Times New Roman" w:hAnsi="Times New Roman" w:eastAsia="宋体" w:cs="Times New Roman"/>
                      <w:highlight w:val="none"/>
                      <w:lang w:val="en-US" w:eastAsia="zh-CN"/>
                    </w:rPr>
                    <w:t>100m</w:t>
                  </w:r>
                  <w:r>
                    <w:rPr>
                      <w:rFonts w:hint="eastAsia" w:ascii="Times New Roman" w:hAnsi="Times New Roman" w:eastAsia="宋体" w:cs="Times New Roman"/>
                      <w:highlight w:val="none"/>
                      <w:vertAlign w:val="superscript"/>
                      <w:lang w:val="en-US" w:eastAsia="zh-CN"/>
                    </w:rPr>
                    <w:t>3</w:t>
                  </w:r>
                  <w:r>
                    <w:rPr>
                      <w:rFonts w:hint="eastAsia" w:ascii="Times New Roman" w:hAnsi="Times New Roman" w:eastAsia="宋体" w:cs="Times New Roman"/>
                      <w:highlight w:val="none"/>
                    </w:rPr>
                    <w:t>，</w:t>
                  </w:r>
                  <w:r>
                    <w:rPr>
                      <w:rFonts w:hint="eastAsia" w:ascii="Times New Roman" w:hAnsi="Times New Roman" w:eastAsia="宋体" w:cs="Times New Roman"/>
                      <w:kern w:val="2"/>
                      <w:sz w:val="21"/>
                      <w:szCs w:val="24"/>
                      <w:highlight w:val="none"/>
                      <w:lang w:val="en-US" w:eastAsia="zh-CN" w:bidi="ar"/>
                    </w:rPr>
                    <w:t>将回填后的土方进行平整，土地平整工程量</w:t>
                  </w:r>
                  <w:r>
                    <w:rPr>
                      <w:rFonts w:hint="eastAsia" w:ascii="Times New Roman" w:hAnsi="Times New Roman" w:eastAsia="宋体" w:cs="Times New Roman"/>
                      <w:highlight w:val="none"/>
                    </w:rPr>
                    <w:t>为</w:t>
                  </w:r>
                  <w:r>
                    <w:rPr>
                      <w:rFonts w:hint="eastAsia" w:cs="Times New Roman"/>
                      <w:highlight w:val="none"/>
                      <w:lang w:val="en-US" w:eastAsia="zh-CN"/>
                    </w:rPr>
                    <w:t>62460</w:t>
                  </w:r>
                  <w:r>
                    <w:rPr>
                      <w:rFonts w:hint="eastAsia" w:ascii="Times New Roman" w:hAnsi="Times New Roman" w:eastAsia="宋体" w:cs="Times New Roman"/>
                      <w:highlight w:val="none"/>
                    </w:rPr>
                    <w:t>m</w:t>
                  </w:r>
                  <w:r>
                    <w:rPr>
                      <w:rFonts w:hint="eastAsia" w:ascii="Times New Roman" w:hAnsi="Times New Roman" w:eastAsia="宋体" w:cs="Times New Roman"/>
                      <w:highlight w:val="none"/>
                      <w:vertAlign w:val="superscript"/>
                    </w:rPr>
                    <w:t>3</w:t>
                  </w:r>
                  <w:r>
                    <w:rPr>
                      <w:rFonts w:hint="eastAsia" w:ascii="Times New Roman" w:hAnsi="Times New Roman" w:eastAsia="宋体" w:cs="Times New Roman"/>
                      <w:highlight w:val="none"/>
                      <w:lang w:val="en-US" w:eastAsia="zh-CN"/>
                    </w:rPr>
                    <w:t>；运距</w:t>
                  </w:r>
                  <w:r>
                    <w:rPr>
                      <w:rFonts w:hint="eastAsia" w:cs="Times New Roman"/>
                      <w:highlight w:val="none"/>
                      <w:lang w:val="en-US" w:eastAsia="zh-CN"/>
                    </w:rPr>
                    <w:t>500</w:t>
                  </w:r>
                  <w:r>
                    <w:rPr>
                      <w:rFonts w:hint="eastAsia" w:ascii="Times New Roman" w:hAnsi="Times New Roman" w:eastAsia="宋体" w:cs="Times New Roman"/>
                      <w:highlight w:val="none"/>
                      <w:lang w:val="en-US" w:eastAsia="zh-CN"/>
                    </w:rPr>
                    <w:t>米</w:t>
                  </w:r>
                  <w:r>
                    <w:rPr>
                      <w:rFonts w:hint="eastAsia" w:cs="Times New Roman"/>
                      <w:highlight w:val="none"/>
                      <w:lang w:val="en-US" w:eastAsia="zh-CN"/>
                    </w:rPr>
                    <w:t>以内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p>
              </w:tc>
              <w:tc>
                <w:tcPr>
                  <w:tcW w:w="234"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cs="Times New Roman"/>
                      <w:highlight w:val="none"/>
                      <w:lang w:eastAsia="zh-CN"/>
                    </w:rPr>
                    <w:t>植被恢复</w:t>
                  </w:r>
                </w:p>
              </w:tc>
              <w:tc>
                <w:tcPr>
                  <w:tcW w:w="37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lang w:eastAsia="zh-CN"/>
                    </w:rPr>
                    <w:t>采用条播种草方式，种草</w:t>
                  </w:r>
                  <w:r>
                    <w:rPr>
                      <w:rFonts w:hint="eastAsia"/>
                    </w:rPr>
                    <w:t>区</w:t>
                  </w:r>
                  <w:r>
                    <w:rPr>
                      <w:rFonts w:hint="eastAsia" w:ascii="Times New Roman" w:hAnsi="Times New Roman" w:eastAsia="宋体" w:cs="Times New Roman"/>
                      <w:highlight w:val="none"/>
                    </w:rPr>
                    <w:t>域为</w:t>
                  </w:r>
                  <w:r>
                    <w:rPr>
                      <w:rFonts w:hint="eastAsia"/>
                      <w:lang w:val="en-US" w:eastAsia="zh-CN"/>
                    </w:rPr>
                    <w:t>位于京藏高速红寺堡区段两侧</w:t>
                  </w:r>
                  <w:r>
                    <w:rPr>
                      <w:rFonts w:hint="eastAsia"/>
                    </w:rPr>
                    <w:t>整个</w:t>
                  </w:r>
                  <w:r>
                    <w:rPr>
                      <w:rFonts w:hint="eastAsia"/>
                      <w:lang w:val="en-US" w:eastAsia="zh-CN"/>
                    </w:rPr>
                    <w:t>建筑用砂区</w:t>
                  </w:r>
                  <w:r>
                    <w:rPr>
                      <w:rFonts w:hint="eastAsia"/>
                    </w:rPr>
                    <w:t>土方施工区域，</w:t>
                  </w:r>
                  <w:r>
                    <w:rPr>
                      <w:rFonts w:hint="eastAsia"/>
                      <w:lang w:eastAsia="zh-CN"/>
                    </w:rPr>
                    <w:t>种草</w:t>
                  </w:r>
                  <w:r>
                    <w:rPr>
                      <w:rFonts w:hint="eastAsia"/>
                    </w:rPr>
                    <w:t>总面积</w:t>
                  </w:r>
                  <w:r>
                    <w:rPr>
                      <w:rFonts w:hint="eastAsia"/>
                      <w:lang w:val="en-US" w:eastAsia="zh-CN"/>
                    </w:rPr>
                    <w:t>31.63</w:t>
                  </w:r>
                  <w:r>
                    <w:rPr>
                      <w:rFonts w:hint="eastAsia"/>
                    </w:rPr>
                    <w:t>hm</w:t>
                  </w:r>
                  <w:r>
                    <w:rPr>
                      <w:rFonts w:hint="eastAsia"/>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p>
              </w:tc>
              <w:tc>
                <w:tcPr>
                  <w:tcW w:w="234"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highlight w:val="none"/>
                      <w:lang w:eastAsia="zh-CN"/>
                    </w:rPr>
                  </w:pPr>
                  <w:r>
                    <w:rPr>
                      <w:rFonts w:hint="eastAsia" w:cs="Times New Roman"/>
                      <w:highlight w:val="none"/>
                      <w:lang w:val="en-US" w:eastAsia="zh-CN"/>
                    </w:rPr>
                    <w:t>土地翻耕</w:t>
                  </w:r>
                </w:p>
              </w:tc>
              <w:tc>
                <w:tcPr>
                  <w:tcW w:w="37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rPr>
                  </w:pPr>
                  <w:r>
                    <w:rPr>
                      <w:rFonts w:hint="eastAsia" w:ascii="Times New Roman" w:hAnsi="Times New Roman" w:eastAsia="宋体" w:cs="Times New Roman"/>
                      <w:kern w:val="2"/>
                      <w:sz w:val="21"/>
                      <w:szCs w:val="24"/>
                      <w:highlight w:val="none"/>
                      <w:lang w:val="en-US" w:eastAsia="zh-CN" w:bidi="ar"/>
                    </w:rPr>
                    <w:t>用犁地机、旋耕机，对土壤进行松土，翻耕深度为20cm，翻耕面积</w:t>
                  </w:r>
                  <w:r>
                    <w:rPr>
                      <w:rFonts w:hint="eastAsia" w:cs="Times New Roman"/>
                      <w:kern w:val="2"/>
                      <w:sz w:val="21"/>
                      <w:szCs w:val="24"/>
                      <w:highlight w:val="none"/>
                      <w:lang w:val="en-US" w:eastAsia="zh-CN" w:bidi="ar"/>
                    </w:rPr>
                    <w:t>29.72</w:t>
                  </w:r>
                  <w:r>
                    <w:rPr>
                      <w:rFonts w:hint="eastAsia" w:ascii="Times New Roman" w:hAnsi="Times New Roman" w:eastAsia="宋体" w:cs="Times New Roman"/>
                      <w:kern w:val="2"/>
                      <w:sz w:val="21"/>
                      <w:szCs w:val="24"/>
                      <w:highlight w:val="none"/>
                      <w:lang w:val="en-US" w:eastAsia="zh-CN" w:bidi="ar"/>
                    </w:rPr>
                    <w:t>hm</w:t>
                  </w:r>
                  <w:r>
                    <w:rPr>
                      <w:rFonts w:hint="eastAsia" w:ascii="Times New Roman" w:hAnsi="Times New Roman" w:eastAsia="宋体" w:cs="Times New Roman"/>
                      <w:kern w:val="2"/>
                      <w:sz w:val="21"/>
                      <w:szCs w:val="24"/>
                      <w:highlight w:val="none"/>
                      <w:vertAlign w:val="superscript"/>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p>
              </w:tc>
              <w:tc>
                <w:tcPr>
                  <w:tcW w:w="234"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highlight w:val="none"/>
                      <w:lang w:eastAsia="zh-CN"/>
                    </w:rPr>
                  </w:pPr>
                  <w:r>
                    <w:rPr>
                      <w:rFonts w:hint="eastAsia" w:cs="Times New Roman"/>
                      <w:b w:val="0"/>
                      <w:bCs w:val="0"/>
                      <w:sz w:val="21"/>
                      <w:szCs w:val="21"/>
                      <w:highlight w:val="none"/>
                      <w:u w:val="none"/>
                      <w:vertAlign w:val="baseline"/>
                      <w:lang w:val="en-US" w:eastAsia="zh-CN"/>
                    </w:rPr>
                    <w:t>土地翻耕培肥</w:t>
                  </w:r>
                </w:p>
              </w:tc>
              <w:tc>
                <w:tcPr>
                  <w:tcW w:w="37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ascii="Times New Roman" w:hAnsi="Times New Roman" w:cs="Times New Roman"/>
                      <w:lang w:val="en-US" w:eastAsia="zh-CN"/>
                    </w:rPr>
                    <w:t>复垦后施用适当的有机、无机肥料以提高土壤中有机物含量，改良土壤结构</w:t>
                  </w:r>
                  <w:r>
                    <w:rPr>
                      <w:rFonts w:hint="eastAsia" w:cs="Times New Roman"/>
                      <w:lang w:val="en-US" w:eastAsia="zh-CN"/>
                    </w:rPr>
                    <w:t>，</w:t>
                  </w:r>
                  <w:r>
                    <w:rPr>
                      <w:rFonts w:hint="eastAsia" w:cs="Times New Roman"/>
                      <w:b w:val="0"/>
                      <w:bCs w:val="0"/>
                      <w:sz w:val="21"/>
                      <w:szCs w:val="21"/>
                      <w:highlight w:val="none"/>
                      <w:u w:val="none"/>
                      <w:vertAlign w:val="baseline"/>
                      <w:lang w:val="en-US" w:eastAsia="zh-CN"/>
                    </w:rPr>
                    <w:t>土地翻耕培肥面积为1.82</w:t>
                  </w:r>
                  <w:r>
                    <w:rPr>
                      <w:rFonts w:hint="eastAsia" w:ascii="Times New Roman" w:hAnsi="Times New Roman" w:eastAsia="宋体" w:cs="Times New Roman"/>
                      <w:kern w:val="2"/>
                      <w:sz w:val="21"/>
                      <w:szCs w:val="24"/>
                      <w:highlight w:val="none"/>
                      <w:lang w:val="en-US" w:eastAsia="zh-CN" w:bidi="ar"/>
                    </w:rPr>
                    <w:t>hm</w:t>
                  </w:r>
                  <w:r>
                    <w:rPr>
                      <w:rFonts w:hint="eastAsia" w:ascii="Times New Roman" w:hAnsi="Times New Roman" w:eastAsia="宋体" w:cs="Times New Roman"/>
                      <w:kern w:val="2"/>
                      <w:sz w:val="21"/>
                      <w:szCs w:val="24"/>
                      <w:highlight w:val="none"/>
                      <w:vertAlign w:val="superscript"/>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辅助工程</w:t>
                  </w:r>
                </w:p>
              </w:tc>
              <w:tc>
                <w:tcPr>
                  <w:tcW w:w="851" w:type="pct"/>
                  <w:gridSpan w:val="3"/>
                  <w:tcBorders>
                    <w:tl2br w:val="nil"/>
                    <w:tr2bl w:val="nil"/>
                  </w:tcBorders>
                  <w:noWrap w:val="0"/>
                  <w:vAlign w:val="center"/>
                </w:tcPr>
                <w:p>
                  <w:pPr>
                    <w:spacing w:line="240" w:lineRule="exact"/>
                    <w:jc w:val="center"/>
                    <w:rPr>
                      <w:rFonts w:hint="default" w:ascii="Times New Roman" w:hAnsi="Times New Roman" w:eastAsia="宋体" w:cs="Times New Roman"/>
                      <w:sz w:val="21"/>
                      <w:szCs w:val="21"/>
                      <w:highlight w:val="none"/>
                      <w:lang w:val="en-US" w:eastAsia="zh-CN"/>
                    </w:rPr>
                  </w:pPr>
                  <w:r>
                    <w:rPr>
                      <w:bCs/>
                      <w:sz w:val="21"/>
                      <w:szCs w:val="21"/>
                    </w:rPr>
                    <w:t>施工营地</w:t>
                  </w:r>
                </w:p>
              </w:tc>
              <w:tc>
                <w:tcPr>
                  <w:tcW w:w="3797" w:type="pct"/>
                  <w:tcBorders>
                    <w:tl2br w:val="nil"/>
                    <w:tr2bl w:val="nil"/>
                  </w:tcBorders>
                  <w:noWrap w:val="0"/>
                  <w:vAlign w:val="center"/>
                </w:tcPr>
                <w:p>
                  <w:pPr>
                    <w:spacing w:line="240" w:lineRule="exact"/>
                    <w:jc w:val="center"/>
                    <w:rPr>
                      <w:rFonts w:hint="default" w:ascii="Times New Roman" w:hAnsi="Times New Roman" w:eastAsia="宋体" w:cs="Times New Roman"/>
                      <w:b w:val="0"/>
                      <w:bCs w:val="0"/>
                      <w:sz w:val="21"/>
                      <w:szCs w:val="21"/>
                      <w:highlight w:val="none"/>
                      <w:u w:val="none"/>
                      <w:vertAlign w:val="baseline"/>
                      <w:lang w:eastAsia="zh-CN"/>
                    </w:rPr>
                  </w:pPr>
                  <w:r>
                    <w:rPr>
                      <w:bCs/>
                      <w:sz w:val="21"/>
                      <w:szCs w:val="21"/>
                    </w:rPr>
                    <w:t>本项目租用附近农户用房作为临时施工营地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公用工程</w:t>
                  </w:r>
                </w:p>
              </w:tc>
              <w:tc>
                <w:tcPr>
                  <w:tcW w:w="851" w:type="pct"/>
                  <w:gridSpan w:val="3"/>
                  <w:tcBorders>
                    <w:tl2br w:val="nil"/>
                    <w:tr2bl w:val="nil"/>
                  </w:tcBorders>
                  <w:noWrap w:val="0"/>
                  <w:vAlign w:val="center"/>
                </w:tcPr>
                <w:p>
                  <w:pPr>
                    <w:spacing w:line="240" w:lineRule="exact"/>
                    <w:jc w:val="center"/>
                    <w:rPr>
                      <w:bCs/>
                      <w:sz w:val="21"/>
                      <w:szCs w:val="21"/>
                      <w:highlight w:val="none"/>
                    </w:rPr>
                  </w:pPr>
                  <w:r>
                    <w:rPr>
                      <w:bCs/>
                      <w:sz w:val="21"/>
                      <w:szCs w:val="21"/>
                      <w:highlight w:val="none"/>
                    </w:rPr>
                    <w:t>供水</w:t>
                  </w:r>
                </w:p>
              </w:tc>
              <w:tc>
                <w:tcPr>
                  <w:tcW w:w="3797" w:type="pct"/>
                  <w:tcBorders>
                    <w:tl2br w:val="nil"/>
                    <w:tr2bl w:val="nil"/>
                  </w:tcBorders>
                  <w:noWrap w:val="0"/>
                  <w:vAlign w:val="center"/>
                </w:tcPr>
                <w:p>
                  <w:pPr>
                    <w:wordWrap w:val="0"/>
                    <w:adjustRightInd w:val="0"/>
                    <w:snapToGrid w:val="0"/>
                    <w:spacing w:line="0" w:lineRule="atLeast"/>
                    <w:jc w:val="center"/>
                    <w:rPr>
                      <w:rFonts w:hint="eastAsia"/>
                      <w:bCs w:val="0"/>
                      <w:sz w:val="21"/>
                      <w:szCs w:val="24"/>
                      <w:highlight w:val="none"/>
                    </w:rPr>
                  </w:pPr>
                  <w:r>
                    <w:rPr>
                      <w:rFonts w:hint="eastAsia"/>
                      <w:bCs w:val="0"/>
                      <w:sz w:val="21"/>
                      <w:szCs w:val="24"/>
                      <w:highlight w:val="none"/>
                    </w:rPr>
                    <w:t>项目用水主要为施工期生活用水</w:t>
                  </w:r>
                  <w:r>
                    <w:rPr>
                      <w:rFonts w:hint="eastAsia"/>
                      <w:bCs w:val="0"/>
                      <w:sz w:val="21"/>
                      <w:szCs w:val="24"/>
                      <w:highlight w:val="none"/>
                      <w:lang w:eastAsia="zh-CN"/>
                    </w:rPr>
                    <w:t>及</w:t>
                  </w:r>
                  <w:r>
                    <w:rPr>
                      <w:rFonts w:hint="eastAsia"/>
                      <w:sz w:val="21"/>
                      <w:highlight w:val="none"/>
                      <w:lang w:val="en-US" w:eastAsia="zh-CN"/>
                    </w:rPr>
                    <w:t>施工用水，其中生活用水量为0.8m</w:t>
                  </w:r>
                  <w:r>
                    <w:rPr>
                      <w:rFonts w:hint="eastAsia"/>
                      <w:sz w:val="21"/>
                      <w:highlight w:val="none"/>
                      <w:vertAlign w:val="superscript"/>
                      <w:lang w:val="en-US" w:eastAsia="zh-CN"/>
                    </w:rPr>
                    <w:t>3</w:t>
                  </w:r>
                  <w:r>
                    <w:rPr>
                      <w:rFonts w:hint="eastAsia"/>
                      <w:sz w:val="21"/>
                      <w:highlight w:val="none"/>
                      <w:lang w:val="en-US" w:eastAsia="zh-CN"/>
                    </w:rPr>
                    <w:t>/d(96m</w:t>
                  </w:r>
                  <w:r>
                    <w:rPr>
                      <w:rFonts w:hint="eastAsia"/>
                      <w:sz w:val="21"/>
                      <w:highlight w:val="none"/>
                      <w:vertAlign w:val="superscript"/>
                      <w:lang w:val="en-US" w:eastAsia="zh-CN"/>
                    </w:rPr>
                    <w:t>3</w:t>
                  </w:r>
                  <w:r>
                    <w:rPr>
                      <w:rFonts w:hint="eastAsia"/>
                      <w:sz w:val="21"/>
                      <w:highlight w:val="none"/>
                      <w:lang w:val="en-US" w:eastAsia="zh-CN"/>
                    </w:rPr>
                    <w:t>/a)，施工用水量较少，运营期无用水消耗。</w:t>
                  </w:r>
                  <w:r>
                    <w:rPr>
                      <w:rFonts w:hint="eastAsia" w:ascii="Times New Roman" w:hAnsi="Times New Roman" w:cs="Times New Roman"/>
                      <w:highlight w:val="none"/>
                      <w:lang w:val="en-US" w:eastAsia="zh-CN"/>
                    </w:rPr>
                    <w:t>煤炭治理区</w:t>
                  </w:r>
                  <w:r>
                    <w:rPr>
                      <w:rFonts w:hint="eastAsia" w:cs="Times New Roman"/>
                      <w:highlight w:val="none"/>
                      <w:lang w:val="en-US" w:eastAsia="zh-CN"/>
                    </w:rPr>
                    <w:t>由</w:t>
                  </w:r>
                  <w:r>
                    <w:rPr>
                      <w:rFonts w:hint="eastAsia" w:ascii="Times New Roman" w:hAnsi="Times New Roman" w:cs="Times New Roman"/>
                      <w:highlight w:val="none"/>
                      <w:lang w:val="en-US" w:eastAsia="zh-CN"/>
                    </w:rPr>
                    <w:t>线驮石矿区罗花崖煤矿供水管网</w:t>
                  </w:r>
                  <w:r>
                    <w:rPr>
                      <w:rFonts w:hint="eastAsia" w:cs="Times New Roman"/>
                      <w:highlight w:val="none"/>
                      <w:lang w:val="en-US" w:eastAsia="zh-CN"/>
                    </w:rPr>
                    <w:t>供给</w:t>
                  </w:r>
                  <w:r>
                    <w:rPr>
                      <w:rFonts w:hint="eastAsia" w:ascii="Times New Roman" w:hAnsi="Times New Roman" w:cs="Times New Roman"/>
                      <w:highlight w:val="none"/>
                    </w:rPr>
                    <w:t>。</w:t>
                  </w:r>
                  <w:r>
                    <w:rPr>
                      <w:rFonts w:hint="eastAsia" w:ascii="Times New Roman" w:hAnsi="Times New Roman" w:cs="Times New Roman"/>
                      <w:highlight w:val="none"/>
                      <w:lang w:val="en-US" w:eastAsia="zh-CN"/>
                    </w:rPr>
                    <w:t>建筑</w:t>
                  </w:r>
                  <w:r>
                    <w:rPr>
                      <w:rFonts w:hint="default" w:ascii="Times New Roman" w:hAnsi="Times New Roman" w:cs="Times New Roman"/>
                      <w:highlight w:val="none"/>
                      <w:lang w:val="en-US" w:eastAsia="zh-CN"/>
                    </w:rPr>
                    <w:t>用砂</w:t>
                  </w:r>
                  <w:r>
                    <w:rPr>
                      <w:rFonts w:hint="eastAsia" w:ascii="Times New Roman" w:hAnsi="Times New Roman" w:cs="Times New Roman"/>
                      <w:highlight w:val="none"/>
                      <w:lang w:val="en-US" w:eastAsia="zh-CN"/>
                    </w:rPr>
                    <w:t>治</w:t>
                  </w:r>
                  <w:r>
                    <w:rPr>
                      <w:rFonts w:hint="default" w:ascii="Times New Roman" w:hAnsi="Times New Roman" w:cs="Times New Roman"/>
                      <w:highlight w:val="none"/>
                      <w:lang w:val="en-US" w:eastAsia="zh-CN"/>
                    </w:rPr>
                    <w:t>理区</w:t>
                  </w:r>
                  <w:r>
                    <w:rPr>
                      <w:rFonts w:hint="eastAsia" w:ascii="Times New Roman" w:hAnsi="Times New Roman" w:cs="Times New Roman"/>
                      <w:highlight w:val="none"/>
                      <w:lang w:val="en-US" w:eastAsia="zh-CN"/>
                    </w:rPr>
                    <w:t>可由周边村镇拉运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p>
              </w:tc>
              <w:tc>
                <w:tcPr>
                  <w:tcW w:w="851" w:type="pct"/>
                  <w:gridSpan w:val="3"/>
                  <w:tcBorders>
                    <w:tl2br w:val="nil"/>
                    <w:tr2bl w:val="nil"/>
                  </w:tcBorders>
                  <w:noWrap w:val="0"/>
                  <w:vAlign w:val="center"/>
                </w:tcPr>
                <w:p>
                  <w:pPr>
                    <w:spacing w:line="240" w:lineRule="exact"/>
                    <w:jc w:val="center"/>
                    <w:rPr>
                      <w:bCs/>
                      <w:sz w:val="21"/>
                      <w:szCs w:val="21"/>
                      <w:highlight w:val="none"/>
                    </w:rPr>
                  </w:pPr>
                  <w:r>
                    <w:rPr>
                      <w:bCs/>
                      <w:sz w:val="21"/>
                      <w:szCs w:val="21"/>
                      <w:highlight w:val="none"/>
                    </w:rPr>
                    <w:t>排水</w:t>
                  </w:r>
                </w:p>
              </w:tc>
              <w:tc>
                <w:tcPr>
                  <w:tcW w:w="3797" w:type="pct"/>
                  <w:tcBorders>
                    <w:tl2br w:val="nil"/>
                    <w:tr2bl w:val="nil"/>
                  </w:tcBorders>
                  <w:noWrap w:val="0"/>
                  <w:vAlign w:val="center"/>
                </w:tcPr>
                <w:p>
                  <w:pPr>
                    <w:wordWrap w:val="0"/>
                    <w:adjustRightInd w:val="0"/>
                    <w:snapToGrid w:val="0"/>
                    <w:spacing w:line="0" w:lineRule="atLeast"/>
                    <w:jc w:val="center"/>
                    <w:rPr>
                      <w:rFonts w:hint="eastAsia"/>
                      <w:bCs w:val="0"/>
                      <w:sz w:val="21"/>
                      <w:szCs w:val="24"/>
                      <w:highlight w:val="none"/>
                    </w:rPr>
                  </w:pPr>
                  <w:r>
                    <w:rPr>
                      <w:rFonts w:hint="eastAsia"/>
                      <w:bCs w:val="0"/>
                      <w:sz w:val="21"/>
                      <w:szCs w:val="24"/>
                      <w:highlight w:val="none"/>
                    </w:rPr>
                    <w:t>本项目废水主要为施工期施工废水和施工人员生活污水。</w:t>
                  </w:r>
                  <w:r>
                    <w:rPr>
                      <w:rFonts w:hint="eastAsia"/>
                      <w:sz w:val="21"/>
                      <w:highlight w:val="none"/>
                      <w:lang w:val="en-US" w:eastAsia="zh-CN"/>
                    </w:rPr>
                    <w:t>施工期生活污水排放量约为0.64m</w:t>
                  </w:r>
                  <w:r>
                    <w:rPr>
                      <w:rFonts w:hint="eastAsia"/>
                      <w:sz w:val="21"/>
                      <w:highlight w:val="none"/>
                      <w:vertAlign w:val="superscript"/>
                      <w:lang w:val="en-US" w:eastAsia="zh-CN"/>
                    </w:rPr>
                    <w:t>3</w:t>
                  </w:r>
                  <w:r>
                    <w:rPr>
                      <w:rFonts w:hint="eastAsia"/>
                      <w:sz w:val="21"/>
                      <w:highlight w:val="none"/>
                      <w:lang w:val="en-US" w:eastAsia="zh-CN"/>
                    </w:rPr>
                    <w:t>/d(76.8m</w:t>
                  </w:r>
                  <w:r>
                    <w:rPr>
                      <w:rFonts w:hint="eastAsia"/>
                      <w:sz w:val="21"/>
                      <w:highlight w:val="none"/>
                      <w:vertAlign w:val="superscript"/>
                      <w:lang w:eastAsia="zh-CN"/>
                    </w:rPr>
                    <w:t>3</w:t>
                  </w:r>
                  <w:r>
                    <w:rPr>
                      <w:rFonts w:hint="eastAsia"/>
                      <w:sz w:val="21"/>
                      <w:highlight w:val="none"/>
                      <w:vertAlign w:val="baseline"/>
                      <w:lang w:val="en-US" w:eastAsia="zh-CN"/>
                    </w:rPr>
                    <w:t>/a</w:t>
                  </w:r>
                  <w:r>
                    <w:rPr>
                      <w:rFonts w:hint="eastAsia"/>
                      <w:sz w:val="21"/>
                      <w:highlight w:val="none"/>
                      <w:lang w:val="en-US" w:eastAsia="zh-CN"/>
                    </w:rPr>
                    <w:t>)，集中收集后直接用于泼洒抑尘，不外排。施工废水集中收集后经沉淀后用于泼洒抑尘，不外排。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p>
              </w:tc>
              <w:tc>
                <w:tcPr>
                  <w:tcW w:w="851" w:type="pct"/>
                  <w:gridSpan w:val="3"/>
                  <w:tcBorders>
                    <w:tl2br w:val="nil"/>
                    <w:tr2bl w:val="nil"/>
                  </w:tcBorders>
                  <w:noWrap w:val="0"/>
                  <w:vAlign w:val="center"/>
                </w:tcPr>
                <w:p>
                  <w:pPr>
                    <w:spacing w:line="240" w:lineRule="exact"/>
                    <w:jc w:val="center"/>
                    <w:rPr>
                      <w:bCs/>
                      <w:sz w:val="21"/>
                      <w:szCs w:val="21"/>
                    </w:rPr>
                  </w:pPr>
                  <w:r>
                    <w:rPr>
                      <w:bCs/>
                      <w:sz w:val="21"/>
                      <w:szCs w:val="21"/>
                    </w:rPr>
                    <w:t>供电</w:t>
                  </w:r>
                </w:p>
              </w:tc>
              <w:tc>
                <w:tcPr>
                  <w:tcW w:w="3797" w:type="pct"/>
                  <w:tcBorders>
                    <w:tl2br w:val="nil"/>
                    <w:tr2bl w:val="nil"/>
                  </w:tcBorders>
                  <w:noWrap w:val="0"/>
                  <w:vAlign w:val="center"/>
                </w:tcPr>
                <w:p>
                  <w:pPr>
                    <w:spacing w:line="240" w:lineRule="exact"/>
                    <w:jc w:val="center"/>
                    <w:rPr>
                      <w:bCs/>
                      <w:sz w:val="21"/>
                      <w:szCs w:val="21"/>
                    </w:rPr>
                  </w:pPr>
                  <w:r>
                    <w:rPr>
                      <w:rFonts w:hint="eastAsia" w:ascii="Times New Roman" w:hAnsi="Times New Roman" w:cs="Times New Roman"/>
                      <w:lang w:val="en-US" w:eastAsia="zh-CN"/>
                    </w:rPr>
                    <w:t>煤炭治理区</w:t>
                  </w:r>
                  <w:r>
                    <w:rPr>
                      <w:rFonts w:hint="eastAsia" w:ascii="Times New Roman" w:hAnsi="Times New Roman" w:cs="Times New Roman"/>
                    </w:rPr>
                    <w:t>电源</w:t>
                  </w:r>
                  <w:r>
                    <w:rPr>
                      <w:rFonts w:hint="eastAsia" w:ascii="Times New Roman" w:hAnsi="Times New Roman" w:cs="Times New Roman"/>
                      <w:lang w:val="en-US" w:eastAsia="zh-CN"/>
                    </w:rPr>
                    <w:t>可</w:t>
                  </w:r>
                  <w:r>
                    <w:rPr>
                      <w:rFonts w:hint="eastAsia" w:ascii="Times New Roman" w:hAnsi="Times New Roman" w:cs="Times New Roman"/>
                    </w:rPr>
                    <w:t>由</w:t>
                  </w:r>
                  <w:r>
                    <w:rPr>
                      <w:rFonts w:hint="eastAsia" w:ascii="Times New Roman" w:hAnsi="Times New Roman" w:cs="Times New Roman"/>
                      <w:lang w:eastAsia="zh-CN"/>
                    </w:rPr>
                    <w:t>线驮石矿区110kV变电站</w:t>
                  </w:r>
                  <w:r>
                    <w:rPr>
                      <w:rFonts w:hint="eastAsia" w:ascii="Times New Roman" w:hAnsi="Times New Roman" w:cs="Times New Roman"/>
                    </w:rPr>
                    <w:t>供给</w:t>
                  </w:r>
                  <w:r>
                    <w:rPr>
                      <w:rFonts w:hint="eastAsia" w:ascii="Times New Roman" w:hAnsi="Times New Roman" w:cs="Times New Roman"/>
                      <w:lang w:eastAsia="zh-CN"/>
                    </w:rPr>
                    <w:t>。</w:t>
                  </w:r>
                  <w:r>
                    <w:rPr>
                      <w:rFonts w:hint="eastAsia" w:ascii="Times New Roman" w:hAnsi="Times New Roman" w:cs="Times New Roman"/>
                      <w:lang w:val="en-US" w:eastAsia="zh-CN"/>
                    </w:rPr>
                    <w:t>建筑用砂治理区电源可由周边村镇供给。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环保工程</w:t>
                  </w:r>
                </w:p>
              </w:tc>
              <w:tc>
                <w:tcPr>
                  <w:tcW w:w="199"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施工期</w:t>
                  </w:r>
                </w:p>
              </w:tc>
              <w:tc>
                <w:tcPr>
                  <w:tcW w:w="652" w:type="pct"/>
                  <w:gridSpan w:val="2"/>
                  <w:tcBorders>
                    <w:tl2br w:val="nil"/>
                    <w:tr2bl w:val="nil"/>
                  </w:tcBorders>
                  <w:noWrap w:val="0"/>
                  <w:vAlign w:val="center"/>
                </w:tcPr>
                <w:p>
                  <w:pPr>
                    <w:spacing w:line="240" w:lineRule="exact"/>
                    <w:jc w:val="center"/>
                    <w:rPr>
                      <w:bCs/>
                      <w:sz w:val="21"/>
                      <w:szCs w:val="21"/>
                    </w:rPr>
                  </w:pPr>
                  <w:r>
                    <w:rPr>
                      <w:bCs/>
                      <w:sz w:val="21"/>
                      <w:szCs w:val="21"/>
                    </w:rPr>
                    <w:t>废气治理</w:t>
                  </w:r>
                </w:p>
              </w:tc>
              <w:tc>
                <w:tcPr>
                  <w:tcW w:w="3797" w:type="pct"/>
                  <w:tcBorders>
                    <w:tl2br w:val="nil"/>
                    <w:tr2bl w:val="nil"/>
                  </w:tcBorders>
                  <w:noWrap w:val="0"/>
                  <w:vAlign w:val="center"/>
                </w:tcPr>
                <w:p>
                  <w:pPr>
                    <w:spacing w:line="240" w:lineRule="exact"/>
                    <w:jc w:val="center"/>
                    <w:rPr>
                      <w:rFonts w:hint="default" w:ascii="Times New Roman" w:hAnsi="Times New Roman" w:eastAsia="宋体" w:cs="Times New Roman"/>
                      <w:b w:val="0"/>
                      <w:bCs w:val="0"/>
                      <w:sz w:val="21"/>
                      <w:szCs w:val="21"/>
                      <w:highlight w:val="none"/>
                      <w:u w:val="none"/>
                      <w:vertAlign w:val="baseline"/>
                      <w:lang w:eastAsia="zh-CN"/>
                    </w:rPr>
                  </w:pPr>
                  <w:r>
                    <w:rPr>
                      <w:bCs/>
                      <w:sz w:val="21"/>
                      <w:szCs w:val="21"/>
                      <w:highlight w:val="none"/>
                    </w:rPr>
                    <w:t>车辆盖篷布、施工场地洒水、加强车辆保养等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p>
              </w:tc>
              <w:tc>
                <w:tcPr>
                  <w:tcW w:w="19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sz w:val="21"/>
                      <w:szCs w:val="21"/>
                      <w:highlight w:val="none"/>
                      <w:lang w:val="en-US" w:eastAsia="zh-CN"/>
                    </w:rPr>
                  </w:pPr>
                </w:p>
              </w:tc>
              <w:tc>
                <w:tcPr>
                  <w:tcW w:w="652" w:type="pct"/>
                  <w:gridSpan w:val="2"/>
                  <w:tcBorders>
                    <w:tl2br w:val="nil"/>
                    <w:tr2bl w:val="nil"/>
                  </w:tcBorders>
                  <w:noWrap w:val="0"/>
                  <w:vAlign w:val="center"/>
                </w:tcPr>
                <w:p>
                  <w:pPr>
                    <w:spacing w:line="240" w:lineRule="exact"/>
                    <w:jc w:val="center"/>
                    <w:rPr>
                      <w:bCs/>
                      <w:sz w:val="21"/>
                      <w:szCs w:val="21"/>
                      <w:highlight w:val="none"/>
                    </w:rPr>
                  </w:pPr>
                  <w:r>
                    <w:rPr>
                      <w:bCs/>
                      <w:sz w:val="21"/>
                      <w:szCs w:val="21"/>
                      <w:highlight w:val="none"/>
                    </w:rPr>
                    <w:t>废水治理</w:t>
                  </w:r>
                </w:p>
              </w:tc>
              <w:tc>
                <w:tcPr>
                  <w:tcW w:w="3797" w:type="pct"/>
                  <w:tcBorders>
                    <w:tl2br w:val="nil"/>
                    <w:tr2bl w:val="nil"/>
                  </w:tcBorders>
                  <w:noWrap w:val="0"/>
                  <w:vAlign w:val="center"/>
                </w:tcPr>
                <w:p>
                  <w:pPr>
                    <w:spacing w:line="240" w:lineRule="exact"/>
                    <w:jc w:val="center"/>
                    <w:rPr>
                      <w:rFonts w:hint="default" w:ascii="Times New Roman" w:hAnsi="Times New Roman" w:eastAsia="宋体" w:cs="Times New Roman"/>
                      <w:b w:val="0"/>
                      <w:bCs w:val="0"/>
                      <w:sz w:val="21"/>
                      <w:szCs w:val="21"/>
                      <w:highlight w:val="none"/>
                      <w:u w:val="none"/>
                      <w:vertAlign w:val="baseline"/>
                      <w:lang w:eastAsia="zh-CN"/>
                    </w:rPr>
                  </w:pPr>
                  <w:r>
                    <w:rPr>
                      <w:bCs/>
                      <w:sz w:val="21"/>
                      <w:szCs w:val="21"/>
                      <w:highlight w:val="none"/>
                    </w:rPr>
                    <w:t>施工废水产生量较少，</w:t>
                  </w:r>
                  <w:r>
                    <w:rPr>
                      <w:rFonts w:hint="eastAsia"/>
                      <w:bCs/>
                      <w:sz w:val="21"/>
                      <w:szCs w:val="21"/>
                      <w:highlight w:val="none"/>
                      <w:lang w:eastAsia="zh-CN"/>
                    </w:rPr>
                    <w:t>集中收集经沉淀后</w:t>
                  </w:r>
                  <w:r>
                    <w:rPr>
                      <w:bCs/>
                      <w:sz w:val="21"/>
                      <w:szCs w:val="21"/>
                      <w:highlight w:val="none"/>
                    </w:rPr>
                    <w:t>用于泼洒抑尘，生活污水主要为洗漱废水，产生量约为</w:t>
                  </w:r>
                  <w:r>
                    <w:rPr>
                      <w:rFonts w:hint="eastAsia"/>
                      <w:bCs/>
                      <w:sz w:val="21"/>
                      <w:szCs w:val="21"/>
                      <w:highlight w:val="none"/>
                      <w:lang w:val="en-US" w:eastAsia="zh-CN"/>
                    </w:rPr>
                    <w:t>76.8</w:t>
                  </w:r>
                  <w:r>
                    <w:rPr>
                      <w:bCs/>
                      <w:sz w:val="21"/>
                      <w:szCs w:val="21"/>
                      <w:highlight w:val="none"/>
                    </w:rPr>
                    <w:t>m</w:t>
                  </w:r>
                  <w:r>
                    <w:rPr>
                      <w:bCs/>
                      <w:sz w:val="21"/>
                      <w:szCs w:val="21"/>
                      <w:highlight w:val="none"/>
                      <w:vertAlign w:val="superscript"/>
                    </w:rPr>
                    <w:t>3</w:t>
                  </w:r>
                  <w:r>
                    <w:rPr>
                      <w:bCs/>
                      <w:sz w:val="21"/>
                      <w:szCs w:val="21"/>
                      <w:highlight w:val="none"/>
                    </w:rPr>
                    <w:t>，直接用于泼洒抑尘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p>
              </w:tc>
              <w:tc>
                <w:tcPr>
                  <w:tcW w:w="19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sz w:val="21"/>
                      <w:szCs w:val="21"/>
                      <w:highlight w:val="none"/>
                      <w:lang w:val="en-US" w:eastAsia="zh-CN"/>
                    </w:rPr>
                  </w:pPr>
                </w:p>
              </w:tc>
              <w:tc>
                <w:tcPr>
                  <w:tcW w:w="652" w:type="pct"/>
                  <w:gridSpan w:val="2"/>
                  <w:tcBorders>
                    <w:tl2br w:val="nil"/>
                    <w:tr2bl w:val="nil"/>
                  </w:tcBorders>
                  <w:noWrap w:val="0"/>
                  <w:vAlign w:val="center"/>
                </w:tcPr>
                <w:p>
                  <w:pPr>
                    <w:spacing w:line="240" w:lineRule="exact"/>
                    <w:jc w:val="center"/>
                    <w:rPr>
                      <w:bCs/>
                      <w:sz w:val="21"/>
                      <w:szCs w:val="21"/>
                    </w:rPr>
                  </w:pPr>
                  <w:r>
                    <w:rPr>
                      <w:bCs/>
                      <w:sz w:val="21"/>
                      <w:szCs w:val="21"/>
                    </w:rPr>
                    <w:t>噪声治理</w:t>
                  </w:r>
                </w:p>
              </w:tc>
              <w:tc>
                <w:tcPr>
                  <w:tcW w:w="3797" w:type="pct"/>
                  <w:tcBorders>
                    <w:tl2br w:val="nil"/>
                    <w:tr2bl w:val="nil"/>
                  </w:tcBorders>
                  <w:noWrap w:val="0"/>
                  <w:vAlign w:val="center"/>
                </w:tcPr>
                <w:p>
                  <w:pPr>
                    <w:spacing w:line="240" w:lineRule="exact"/>
                    <w:jc w:val="center"/>
                    <w:rPr>
                      <w:rFonts w:hint="default" w:ascii="Times New Roman" w:hAnsi="Times New Roman" w:eastAsia="宋体" w:cs="Times New Roman"/>
                      <w:b w:val="0"/>
                      <w:bCs w:val="0"/>
                      <w:sz w:val="21"/>
                      <w:szCs w:val="21"/>
                      <w:highlight w:val="none"/>
                      <w:u w:val="none"/>
                      <w:vertAlign w:val="baseline"/>
                      <w:lang w:eastAsia="zh-CN"/>
                    </w:rPr>
                  </w:pPr>
                  <w:r>
                    <w:rPr>
                      <w:bCs/>
                      <w:sz w:val="21"/>
                      <w:szCs w:val="21"/>
                      <w:highlight w:val="none"/>
                    </w:rPr>
                    <w:t>选用低噪声设备、控制施工时间等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p>
              </w:tc>
              <w:tc>
                <w:tcPr>
                  <w:tcW w:w="199"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val="0"/>
                      <w:bCs w:val="0"/>
                      <w:sz w:val="21"/>
                      <w:szCs w:val="21"/>
                      <w:highlight w:val="none"/>
                      <w:u w:val="none"/>
                      <w:vertAlign w:val="baseline"/>
                      <w:lang w:val="en-US" w:eastAsia="zh-CN"/>
                    </w:rPr>
                  </w:pPr>
                </w:p>
              </w:tc>
              <w:tc>
                <w:tcPr>
                  <w:tcW w:w="652" w:type="pct"/>
                  <w:gridSpan w:val="2"/>
                  <w:tcBorders>
                    <w:tl2br w:val="nil"/>
                    <w:tr2bl w:val="nil"/>
                  </w:tcBorders>
                  <w:noWrap w:val="0"/>
                  <w:vAlign w:val="center"/>
                </w:tcPr>
                <w:p>
                  <w:pPr>
                    <w:spacing w:line="240" w:lineRule="exact"/>
                    <w:jc w:val="center"/>
                    <w:rPr>
                      <w:bCs/>
                      <w:sz w:val="21"/>
                      <w:szCs w:val="21"/>
                      <w:highlight w:val="none"/>
                    </w:rPr>
                  </w:pPr>
                  <w:r>
                    <w:rPr>
                      <w:bCs/>
                      <w:sz w:val="21"/>
                      <w:szCs w:val="21"/>
                      <w:highlight w:val="none"/>
                    </w:rPr>
                    <w:t>固废治理</w:t>
                  </w:r>
                </w:p>
              </w:tc>
              <w:tc>
                <w:tcPr>
                  <w:tcW w:w="3797" w:type="pct"/>
                  <w:tcBorders>
                    <w:tl2br w:val="nil"/>
                    <w:tr2bl w:val="nil"/>
                  </w:tcBorders>
                  <w:noWrap w:val="0"/>
                  <w:vAlign w:val="center"/>
                </w:tcPr>
                <w:p>
                  <w:pPr>
                    <w:spacing w:line="240" w:lineRule="exact"/>
                    <w:jc w:val="center"/>
                    <w:rPr>
                      <w:rFonts w:hint="default" w:ascii="Times New Roman" w:hAnsi="Times New Roman" w:eastAsia="宋体" w:cs="Times New Roman"/>
                      <w:b w:val="0"/>
                      <w:bCs w:val="0"/>
                      <w:sz w:val="21"/>
                      <w:szCs w:val="21"/>
                      <w:highlight w:val="yellow"/>
                      <w:u w:val="none"/>
                      <w:vertAlign w:val="baseline"/>
                      <w:lang w:eastAsia="zh-CN"/>
                    </w:rPr>
                  </w:pPr>
                  <w:r>
                    <w:rPr>
                      <w:bCs/>
                      <w:sz w:val="21"/>
                      <w:szCs w:val="21"/>
                      <w:highlight w:val="none"/>
                    </w:rPr>
                    <w:t>生活垃圾产生量约为</w:t>
                  </w:r>
                  <w:r>
                    <w:rPr>
                      <w:rFonts w:hint="eastAsia"/>
                      <w:bCs/>
                      <w:sz w:val="21"/>
                      <w:szCs w:val="21"/>
                      <w:highlight w:val="none"/>
                      <w:lang w:val="en-US" w:eastAsia="zh-CN"/>
                    </w:rPr>
                    <w:t>2.4</w:t>
                  </w:r>
                  <w:r>
                    <w:rPr>
                      <w:bCs/>
                      <w:sz w:val="21"/>
                      <w:szCs w:val="21"/>
                      <w:highlight w:val="none"/>
                    </w:rPr>
                    <w:t>t，集中收集后交环卫部门统一处理；</w:t>
                  </w:r>
                  <w:r>
                    <w:rPr>
                      <w:rFonts w:hint="eastAsia"/>
                      <w:bCs/>
                      <w:sz w:val="21"/>
                      <w:szCs w:val="21"/>
                      <w:highlight w:val="none"/>
                      <w:lang w:eastAsia="zh-CN"/>
                    </w:rPr>
                    <w:t>废弃土石方</w:t>
                  </w:r>
                  <w:r>
                    <w:rPr>
                      <w:bCs/>
                      <w:sz w:val="21"/>
                      <w:szCs w:val="21"/>
                      <w:highlight w:val="none"/>
                    </w:rPr>
                    <w:t>产生量约为</w:t>
                  </w:r>
                  <w:r>
                    <w:rPr>
                      <w:rFonts w:hint="default" w:cs="Times New Roman"/>
                      <w:bCs w:val="0"/>
                      <w:i w:val="0"/>
                      <w:color w:val="000000"/>
                      <w:kern w:val="0"/>
                      <w:sz w:val="20"/>
                      <w:szCs w:val="20"/>
                      <w:u w:val="none"/>
                      <w:lang w:val="en-US" w:eastAsia="zh-CN" w:bidi="ar"/>
                    </w:rPr>
                    <w:t>91545.75</w:t>
                  </w:r>
                  <w:r>
                    <w:rPr>
                      <w:rFonts w:hint="eastAsia" w:cs="Times New Roman"/>
                      <w:bCs/>
                      <w:sz w:val="21"/>
                      <w:szCs w:val="21"/>
                      <w:highlight w:val="none"/>
                      <w:lang w:val="en-US" w:eastAsia="zh-CN"/>
                    </w:rPr>
                    <w:t>m</w:t>
                  </w:r>
                  <w:r>
                    <w:rPr>
                      <w:rFonts w:hint="eastAsia" w:cs="Times New Roman"/>
                      <w:bCs/>
                      <w:sz w:val="21"/>
                      <w:szCs w:val="21"/>
                      <w:highlight w:val="none"/>
                      <w:vertAlign w:val="superscript"/>
                      <w:lang w:val="en-US" w:eastAsia="zh-CN"/>
                    </w:rPr>
                    <w:t>3</w:t>
                  </w:r>
                  <w:r>
                    <w:rPr>
                      <w:bCs/>
                      <w:sz w:val="21"/>
                      <w:szCs w:val="21"/>
                      <w:highlight w:val="none"/>
                    </w:rPr>
                    <w:t>，</w:t>
                  </w:r>
                  <w:r>
                    <w:rPr>
                      <w:rFonts w:hint="eastAsia"/>
                      <w:bCs/>
                      <w:sz w:val="21"/>
                      <w:szCs w:val="21"/>
                      <w:highlight w:val="none"/>
                      <w:lang w:val="en-US" w:eastAsia="zh-CN"/>
                    </w:rPr>
                    <w:t>用于场地平整回填，不得外运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p>
              </w:tc>
              <w:tc>
                <w:tcPr>
                  <w:tcW w:w="851" w:type="pct"/>
                  <w:gridSpan w:val="3"/>
                  <w:tcBorders>
                    <w:tl2br w:val="nil"/>
                    <w:tr2bl w:val="nil"/>
                  </w:tcBorders>
                  <w:noWrap w:val="0"/>
                  <w:vAlign w:val="center"/>
                </w:tcPr>
                <w:p>
                  <w:pPr>
                    <w:spacing w:line="240" w:lineRule="exact"/>
                    <w:jc w:val="center"/>
                    <w:rPr>
                      <w:bCs/>
                      <w:sz w:val="21"/>
                      <w:szCs w:val="21"/>
                      <w:highlight w:val="none"/>
                    </w:rPr>
                  </w:pPr>
                  <w:r>
                    <w:rPr>
                      <w:rFonts w:hint="eastAsia" w:eastAsia="宋体" w:cs="Times New Roman"/>
                      <w:b w:val="0"/>
                      <w:bCs w:val="0"/>
                      <w:sz w:val="21"/>
                      <w:szCs w:val="21"/>
                      <w:highlight w:val="none"/>
                      <w:u w:val="none"/>
                      <w:vertAlign w:val="baseline"/>
                      <w:lang w:val="en-US" w:eastAsia="zh-CN"/>
                    </w:rPr>
                    <w:t>运营期</w:t>
                  </w:r>
                </w:p>
              </w:tc>
              <w:tc>
                <w:tcPr>
                  <w:tcW w:w="3797" w:type="pct"/>
                  <w:tcBorders>
                    <w:tl2br w:val="nil"/>
                    <w:tr2bl w:val="nil"/>
                  </w:tcBorders>
                  <w:noWrap w:val="0"/>
                  <w:vAlign w:val="center"/>
                </w:tcPr>
                <w:p>
                  <w:pPr>
                    <w:spacing w:line="240" w:lineRule="exact"/>
                    <w:jc w:val="center"/>
                    <w:rPr>
                      <w:rFonts w:hint="default" w:eastAsia="宋体"/>
                      <w:bCs/>
                      <w:sz w:val="21"/>
                      <w:szCs w:val="21"/>
                      <w:highlight w:val="none"/>
                      <w:lang w:val="en-US" w:eastAsia="zh-CN"/>
                    </w:rPr>
                  </w:pPr>
                  <w:r>
                    <w:rPr>
                      <w:rFonts w:hint="eastAsia"/>
                      <w:bCs/>
                      <w:sz w:val="21"/>
                      <w:szCs w:val="21"/>
                      <w:highlight w:val="none"/>
                    </w:rPr>
                    <w:t>本项目为对废弃矿山生态环境的综合治理，项目实施后</w:t>
                  </w:r>
                  <w:r>
                    <w:rPr>
                      <w:rFonts w:hint="eastAsia"/>
                      <w:bCs/>
                      <w:sz w:val="21"/>
                      <w:szCs w:val="21"/>
                      <w:highlight w:val="none"/>
                      <w:lang w:val="en-US" w:eastAsia="zh-CN"/>
                    </w:rPr>
                    <w:t>运营期</w:t>
                  </w:r>
                  <w:r>
                    <w:rPr>
                      <w:rFonts w:hint="eastAsia"/>
                      <w:bCs/>
                      <w:sz w:val="21"/>
                      <w:szCs w:val="21"/>
                      <w:highlight w:val="none"/>
                    </w:rPr>
                    <w:t>无</w:t>
                  </w:r>
                  <w:r>
                    <w:rPr>
                      <w:rFonts w:hint="eastAsia"/>
                      <w:bCs/>
                      <w:sz w:val="21"/>
                      <w:szCs w:val="21"/>
                      <w:highlight w:val="none"/>
                      <w:lang w:val="en-US" w:eastAsia="zh-CN"/>
                    </w:rPr>
                    <w:t>污染物产生</w:t>
                  </w:r>
                  <w:r>
                    <w:rPr>
                      <w:rFonts w:hint="eastAsia"/>
                      <w:bCs/>
                      <w:sz w:val="21"/>
                      <w:szCs w:val="21"/>
                      <w:highlight w:val="none"/>
                    </w:rPr>
                    <w:t>，</w:t>
                  </w:r>
                  <w:r>
                    <w:rPr>
                      <w:rFonts w:hint="eastAsia"/>
                      <w:bCs/>
                      <w:sz w:val="21"/>
                      <w:szCs w:val="21"/>
                      <w:highlight w:val="none"/>
                      <w:lang w:val="en-US" w:eastAsia="zh-CN"/>
                    </w:rPr>
                    <w:t>对周边环境不产生影响</w:t>
                  </w:r>
                </w:p>
              </w:tc>
            </w:tr>
          </w:tbl>
          <w:p>
            <w:pPr>
              <w:adjustRightInd w:val="0"/>
              <w:snapToGrid w:val="0"/>
              <w:spacing w:line="360" w:lineRule="auto"/>
              <w:jc w:val="both"/>
              <w:rPr>
                <w:rFonts w:hint="default" w:ascii="Times New Roman" w:hAnsi="Times New Roman" w:eastAsia="黑体" w:cs="Times New Roman"/>
                <w:sz w:val="24"/>
                <w:lang w:val="en-US" w:eastAsia="zh-CN"/>
              </w:rPr>
            </w:pPr>
            <w:r>
              <w:rPr>
                <w:rFonts w:hint="eastAsia" w:eastAsia="黑体" w:cs="Times New Roman"/>
                <w:sz w:val="24"/>
                <w:lang w:val="en-US" w:eastAsia="zh-CN"/>
              </w:rPr>
              <w:t>5</w:t>
            </w:r>
            <w:r>
              <w:rPr>
                <w:rFonts w:hint="eastAsia" w:ascii="Times New Roman" w:hAnsi="Times New Roman" w:eastAsia="黑体" w:cs="Times New Roman"/>
                <w:sz w:val="24"/>
                <w:lang w:val="en-US" w:eastAsia="zh-CN"/>
              </w:rPr>
              <w:t>、工程总布置</w:t>
            </w:r>
          </w:p>
          <w:p>
            <w:pPr>
              <w:adjustRightInd w:val="0"/>
              <w:spacing w:line="360" w:lineRule="auto"/>
              <w:ind w:firstLine="480" w:firstLineChars="200"/>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⑴煤炭治理区</w:t>
            </w:r>
          </w:p>
          <w:p>
            <w:pPr>
              <w:keepNext w:val="0"/>
              <w:keepLines w:val="0"/>
              <w:widowControl/>
              <w:suppressLineNumbers w:val="0"/>
              <w:adjustRightInd w:val="0"/>
              <w:spacing w:line="360" w:lineRule="auto"/>
              <w:ind w:firstLine="480" w:firstLineChars="200"/>
              <w:jc w:val="left"/>
              <w:rPr>
                <w:rFonts w:hint="eastAsia" w:ascii="Times New Roman" w:hAnsi="Times New Roman" w:eastAsia="宋体" w:cs="Times New Roman"/>
                <w:kern w:val="2"/>
                <w:sz w:val="24"/>
                <w:szCs w:val="24"/>
                <w:highlight w:val="none"/>
                <w:lang w:val="en-US" w:eastAsia="zh-CN" w:bidi="ar"/>
              </w:rPr>
            </w:pPr>
            <w:r>
              <w:rPr>
                <w:rFonts w:hint="eastAsia"/>
                <w:sz w:val="24"/>
                <w:highlight w:val="none"/>
                <w:lang w:val="en-US" w:eastAsia="zh-CN"/>
              </w:rPr>
              <w:t>①</w:t>
            </w:r>
            <w:r>
              <w:rPr>
                <w:rFonts w:hint="eastAsia" w:ascii="Times New Roman" w:hAnsi="Times New Roman" w:eastAsia="宋体" w:cs="Times New Roman"/>
                <w:kern w:val="2"/>
                <w:sz w:val="24"/>
                <w:szCs w:val="24"/>
                <w:highlight w:val="none"/>
                <w:lang w:val="en-US" w:eastAsia="zh-CN" w:bidi="ar"/>
              </w:rPr>
              <w:t>土方回填压实</w:t>
            </w:r>
          </w:p>
          <w:p>
            <w:pPr>
              <w:keepNext w:val="0"/>
              <w:keepLines w:val="0"/>
              <w:widowControl/>
              <w:numPr>
                <w:ilvl w:val="0"/>
                <w:numId w:val="2"/>
              </w:numPr>
              <w:suppressLineNumbers w:val="0"/>
              <w:adjustRightInd w:val="0"/>
              <w:spacing w:line="360" w:lineRule="auto"/>
              <w:ind w:firstLine="480" w:firstLineChars="200"/>
              <w:jc w:val="left"/>
              <w:rPr>
                <w:rFonts w:hint="default" w:cs="Times New Roman"/>
                <w:kern w:val="2"/>
                <w:sz w:val="24"/>
                <w:szCs w:val="24"/>
                <w:highlight w:val="none"/>
                <w:lang w:val="en-US" w:eastAsia="zh-CN" w:bidi="ar"/>
              </w:rPr>
            </w:pPr>
            <w:r>
              <w:rPr>
                <w:rFonts w:hint="default" w:ascii="Times New Roman" w:hAnsi="Times New Roman" w:eastAsia="宋体" w:cs="Times New Roman"/>
                <w:b w:val="0"/>
                <w:color w:val="auto"/>
                <w:kern w:val="2"/>
                <w:sz w:val="24"/>
                <w:szCs w:val="24"/>
                <w:highlight w:val="none"/>
                <w:lang w:val="en-US" w:eastAsia="zh-CN" w:bidi="ar"/>
              </w:rPr>
              <w:t>M1</w:t>
            </w:r>
            <w:r>
              <w:rPr>
                <w:rFonts w:ascii="Times New Roman" w:hAnsi="Times New Roman" w:eastAsia="宋体" w:cs="Times New Roman"/>
                <w:b w:val="0"/>
                <w:color w:val="auto"/>
                <w:kern w:val="2"/>
                <w:sz w:val="24"/>
                <w:szCs w:val="24"/>
                <w:highlight w:val="none"/>
                <w:lang w:val="en-US" w:eastAsia="zh-CN" w:bidi="ar"/>
              </w:rPr>
              <w:t>区治理工程设计</w:t>
            </w:r>
          </w:p>
          <w:p>
            <w:pPr>
              <w:widowControl/>
              <w:adjustRightInd w:val="0"/>
              <w:spacing w:line="360" w:lineRule="auto"/>
              <w:ind w:firstLine="480" w:firstLineChars="200"/>
              <w:jc w:val="left"/>
              <w:rPr>
                <w:highlight w:val="none"/>
                <w:lang w:val="en-US" w:eastAsia="zh-CN"/>
              </w:rPr>
            </w:pPr>
            <w:r>
              <w:rPr>
                <w:rFonts w:ascii="Times New Roman" w:hAnsi="Times New Roman" w:eastAsia="宋体" w:cs="Times New Roman"/>
                <w:color w:val="auto"/>
                <w:kern w:val="2"/>
                <w:sz w:val="24"/>
                <w:szCs w:val="24"/>
                <w:highlight w:val="none"/>
                <w:lang w:val="en-US" w:eastAsia="zh-CN" w:bidi="ar"/>
              </w:rPr>
              <w:t xml:space="preserve">主要将渣堆回填至尾坑，将高陡边坡进行削坡。根据现状地形高程及坡度将 </w:t>
            </w:r>
            <w:r>
              <w:rPr>
                <w:rFonts w:hint="default" w:ascii="Times New Roman" w:hAnsi="Times New Roman" w:eastAsia="宋体" w:cs="Times New Roman"/>
                <w:color w:val="auto"/>
                <w:kern w:val="2"/>
                <w:sz w:val="24"/>
                <w:szCs w:val="24"/>
                <w:highlight w:val="none"/>
                <w:lang w:val="en-US" w:eastAsia="zh-CN" w:bidi="ar"/>
              </w:rPr>
              <w:t xml:space="preserve">M1 </w:t>
            </w:r>
            <w:r>
              <w:rPr>
                <w:rFonts w:ascii="Times New Roman" w:hAnsi="Times New Roman" w:eastAsia="宋体" w:cs="Times New Roman"/>
                <w:color w:val="auto"/>
                <w:kern w:val="2"/>
                <w:sz w:val="24"/>
                <w:szCs w:val="24"/>
                <w:highlight w:val="none"/>
                <w:lang w:val="en-US" w:eastAsia="zh-CN" w:bidi="ar"/>
              </w:rPr>
              <w:t>区划分为</w:t>
            </w:r>
            <w:r>
              <w:rPr>
                <w:rFonts w:hint="default" w:ascii="Times New Roman" w:hAnsi="Times New Roman" w:eastAsia="宋体" w:cs="Times New Roman"/>
                <w:color w:val="auto"/>
                <w:kern w:val="2"/>
                <w:sz w:val="24"/>
                <w:szCs w:val="24"/>
                <w:highlight w:val="none"/>
                <w:lang w:val="en-US" w:eastAsia="zh-CN" w:bidi="ar"/>
              </w:rPr>
              <w:t>6</w:t>
            </w:r>
            <w:r>
              <w:rPr>
                <w:rFonts w:ascii="Times New Roman" w:hAnsi="Times New Roman" w:eastAsia="宋体" w:cs="Times New Roman"/>
                <w:color w:val="auto"/>
                <w:kern w:val="2"/>
                <w:sz w:val="24"/>
                <w:szCs w:val="24"/>
                <w:highlight w:val="none"/>
                <w:lang w:val="en-US" w:eastAsia="zh-CN" w:bidi="ar"/>
              </w:rPr>
              <w:t>个主要治理分区单元。分区单元见</w:t>
            </w:r>
            <w:r>
              <w:rPr>
                <w:rFonts w:ascii="Times New Roman" w:hAnsi="Times New Roman" w:eastAsia="宋体" w:cs="Times New Roman"/>
                <w:color w:val="000000"/>
                <w:kern w:val="2"/>
                <w:sz w:val="24"/>
                <w:szCs w:val="24"/>
                <w:highlight w:val="none"/>
                <w:lang w:val="en-US" w:eastAsia="zh-CN" w:bidi="ar"/>
              </w:rPr>
              <w:t>图</w:t>
            </w:r>
            <w:r>
              <w:rPr>
                <w:rFonts w:hint="eastAsia" w:cs="Times New Roman"/>
                <w:color w:val="auto"/>
                <w:kern w:val="2"/>
                <w:sz w:val="24"/>
                <w:szCs w:val="24"/>
                <w:highlight w:val="none"/>
                <w:lang w:val="en-US" w:eastAsia="zh-CN" w:bidi="ar"/>
              </w:rPr>
              <w:t>1-7</w:t>
            </w:r>
            <w:r>
              <w:rPr>
                <w:rFonts w:ascii="Times New Roman" w:hAnsi="Times New Roman" w:eastAsia="宋体" w:cs="Times New Roman"/>
                <w:color w:val="auto"/>
                <w:kern w:val="2"/>
                <w:sz w:val="24"/>
                <w:szCs w:val="24"/>
                <w:highlight w:val="none"/>
                <w:lang w:val="en-US" w:eastAsia="zh-CN" w:bidi="ar"/>
              </w:rPr>
              <w:t>。其中</w:t>
            </w:r>
            <w:r>
              <w:rPr>
                <w:rFonts w:hint="default" w:ascii="Times New Roman" w:hAnsi="Times New Roman" w:eastAsia="宋体" w:cs="Times New Roman"/>
                <w:color w:val="auto"/>
                <w:kern w:val="2"/>
                <w:sz w:val="24"/>
                <w:szCs w:val="24"/>
                <w:highlight w:val="none"/>
                <w:lang w:val="en-US" w:eastAsia="zh-CN" w:bidi="ar"/>
              </w:rPr>
              <w:t>①</w:t>
            </w:r>
            <w:r>
              <w:rPr>
                <w:rFonts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②</w:t>
            </w:r>
            <w:r>
              <w:rPr>
                <w:rFonts w:ascii="Times New Roman" w:hAnsi="Times New Roman" w:eastAsia="宋体" w:cs="Times New Roman"/>
                <w:color w:val="auto"/>
                <w:kern w:val="2"/>
                <w:sz w:val="24"/>
                <w:szCs w:val="24"/>
                <w:highlight w:val="none"/>
                <w:lang w:val="en-US" w:eastAsia="zh-CN" w:bidi="ar"/>
              </w:rPr>
              <w:t>区为尾坑，</w:t>
            </w:r>
            <w:r>
              <w:rPr>
                <w:rFonts w:hint="default" w:ascii="Times New Roman" w:hAnsi="Times New Roman" w:eastAsia="宋体" w:cs="Times New Roman"/>
                <w:color w:val="auto"/>
                <w:kern w:val="2"/>
                <w:sz w:val="24"/>
                <w:szCs w:val="24"/>
                <w:highlight w:val="none"/>
                <w:lang w:val="en-US" w:eastAsia="zh-CN" w:bidi="ar"/>
              </w:rPr>
              <w:t>③</w:t>
            </w:r>
            <w:r>
              <w:rPr>
                <w:rFonts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④⑤</w:t>
            </w:r>
            <w:r>
              <w:rPr>
                <w:rFonts w:ascii="Times New Roman" w:hAnsi="Times New Roman" w:eastAsia="宋体" w:cs="Times New Roman"/>
                <w:color w:val="auto"/>
                <w:kern w:val="2"/>
                <w:sz w:val="24"/>
                <w:szCs w:val="24"/>
                <w:highlight w:val="none"/>
                <w:lang w:val="en-US" w:eastAsia="zh-CN" w:bidi="ar"/>
              </w:rPr>
              <w:t>区为渣堆，</w:t>
            </w:r>
            <w:r>
              <w:rPr>
                <w:rFonts w:hint="default" w:ascii="Times New Roman" w:hAnsi="Times New Roman" w:eastAsia="宋体" w:cs="Times New Roman"/>
                <w:color w:val="auto"/>
                <w:kern w:val="2"/>
                <w:sz w:val="24"/>
                <w:szCs w:val="24"/>
                <w:highlight w:val="none"/>
                <w:lang w:val="en-US" w:eastAsia="zh-CN" w:bidi="ar"/>
              </w:rPr>
              <w:t>①</w:t>
            </w:r>
            <w:r>
              <w:rPr>
                <w:rFonts w:ascii="Times New Roman" w:hAnsi="Times New Roman" w:eastAsia="宋体" w:cs="Times New Roman"/>
                <w:color w:val="auto"/>
                <w:kern w:val="2"/>
                <w:sz w:val="24"/>
                <w:szCs w:val="24"/>
                <w:highlight w:val="none"/>
                <w:lang w:val="en-US" w:eastAsia="zh-CN" w:bidi="ar"/>
              </w:rPr>
              <w:t>至</w:t>
            </w:r>
            <w:r>
              <w:rPr>
                <w:rFonts w:hint="default" w:ascii="Times New Roman" w:hAnsi="Times New Roman" w:eastAsia="宋体" w:cs="Times New Roman"/>
                <w:color w:val="auto"/>
                <w:kern w:val="2"/>
                <w:sz w:val="24"/>
                <w:szCs w:val="24"/>
                <w:highlight w:val="none"/>
                <w:lang w:val="en-US" w:eastAsia="zh-CN" w:bidi="ar"/>
              </w:rPr>
              <w:t>⑤</w:t>
            </w:r>
            <w:r>
              <w:rPr>
                <w:rFonts w:ascii="Times New Roman" w:hAnsi="Times New Roman" w:eastAsia="宋体" w:cs="Times New Roman"/>
                <w:color w:val="auto"/>
                <w:kern w:val="2"/>
                <w:sz w:val="24"/>
                <w:szCs w:val="24"/>
                <w:highlight w:val="none"/>
                <w:lang w:val="en-US" w:eastAsia="zh-CN" w:bidi="ar"/>
              </w:rPr>
              <w:t>区进行土方回填压实，挖方</w:t>
            </w:r>
            <w:r>
              <w:rPr>
                <w:rFonts w:hint="default" w:ascii="Times New Roman" w:hAnsi="Times New Roman" w:eastAsia="宋体" w:cs="Times New Roman"/>
                <w:color w:val="auto"/>
                <w:kern w:val="2"/>
                <w:sz w:val="24"/>
                <w:szCs w:val="24"/>
                <w:highlight w:val="none"/>
                <w:lang w:val="en-US" w:eastAsia="zh-CN" w:bidi="ar"/>
              </w:rPr>
              <w:t>57899m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，填方</w:t>
            </w:r>
            <w:r>
              <w:rPr>
                <w:rFonts w:hint="default" w:ascii="Times New Roman" w:hAnsi="Times New Roman" w:eastAsia="宋体" w:cs="Times New Roman"/>
                <w:color w:val="auto"/>
                <w:kern w:val="2"/>
                <w:sz w:val="24"/>
                <w:szCs w:val="24"/>
                <w:highlight w:val="none"/>
                <w:lang w:val="en-US" w:eastAsia="zh-CN" w:bidi="ar"/>
              </w:rPr>
              <w:t>56788m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⑥</w:t>
            </w:r>
            <w:r>
              <w:rPr>
                <w:rFonts w:ascii="Times New Roman" w:hAnsi="Times New Roman" w:eastAsia="宋体" w:cs="Times New Roman"/>
                <w:color w:val="auto"/>
                <w:kern w:val="2"/>
                <w:sz w:val="24"/>
                <w:szCs w:val="24"/>
                <w:highlight w:val="none"/>
                <w:lang w:val="en-US" w:eastAsia="zh-CN" w:bidi="ar"/>
              </w:rPr>
              <w:t>单元为不稳定边坡削坡地段，最终削坡坡度</w:t>
            </w:r>
            <w:r>
              <w:rPr>
                <w:rFonts w:hint="default" w:ascii="Times New Roman" w:hAnsi="Times New Roman" w:eastAsia="宋体" w:cs="Times New Roman"/>
                <w:color w:val="auto"/>
                <w:kern w:val="2"/>
                <w:sz w:val="24"/>
                <w:szCs w:val="24"/>
                <w:highlight w:val="none"/>
                <w:lang w:val="en-US" w:eastAsia="zh-CN" w:bidi="ar"/>
              </w:rPr>
              <w:t>≤20°</w:t>
            </w:r>
            <w:r>
              <w:rPr>
                <w:rFonts w:ascii="Times New Roman" w:hAnsi="Times New Roman" w:eastAsia="宋体" w:cs="Times New Roman"/>
                <w:color w:val="auto"/>
                <w:kern w:val="2"/>
                <w:sz w:val="24"/>
                <w:szCs w:val="24"/>
                <w:highlight w:val="none"/>
                <w:lang w:val="en-US" w:eastAsia="zh-CN" w:bidi="ar"/>
              </w:rPr>
              <w:t>，削坡量为</w:t>
            </w:r>
            <w:r>
              <w:rPr>
                <w:rFonts w:hint="default" w:ascii="Times New Roman" w:hAnsi="Times New Roman" w:eastAsia="宋体" w:cs="Times New Roman"/>
                <w:color w:val="auto"/>
                <w:kern w:val="2"/>
                <w:sz w:val="24"/>
                <w:szCs w:val="24"/>
                <w:highlight w:val="none"/>
                <w:lang w:val="en-US" w:eastAsia="zh-CN" w:bidi="ar"/>
              </w:rPr>
              <w:t>53460m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，削坡过程中将细颗粒的黄土覆盖至各单元，以达到植被生长的要求。</w:t>
            </w:r>
          </w:p>
          <w:p>
            <w:pPr>
              <w:keepNext w:val="0"/>
              <w:keepLines w:val="0"/>
              <w:widowControl/>
              <w:numPr>
                <w:ilvl w:val="0"/>
                <w:numId w:val="2"/>
              </w:numPr>
              <w:suppressLineNumbers w:val="0"/>
              <w:adjustRightInd w:val="0"/>
              <w:spacing w:line="360" w:lineRule="auto"/>
              <w:ind w:firstLine="480" w:firstLineChars="200"/>
              <w:jc w:val="left"/>
              <w:rPr>
                <w:rFonts w:hint="default" w:cs="Times New Roman"/>
                <w:kern w:val="2"/>
                <w:sz w:val="24"/>
                <w:szCs w:val="24"/>
                <w:highlight w:val="none"/>
                <w:lang w:val="en-US" w:eastAsia="zh-CN" w:bidi="ar"/>
              </w:rPr>
            </w:pPr>
            <w:r>
              <w:rPr>
                <w:rFonts w:hint="default" w:ascii="Times New Roman" w:hAnsi="Times New Roman" w:eastAsia="宋体" w:cs="Times New Roman"/>
                <w:b w:val="0"/>
                <w:kern w:val="2"/>
                <w:sz w:val="24"/>
                <w:szCs w:val="24"/>
                <w:highlight w:val="none"/>
                <w:lang w:val="en-US" w:eastAsia="zh-CN" w:bidi="ar"/>
              </w:rPr>
              <w:t>M</w:t>
            </w:r>
            <w:r>
              <w:rPr>
                <w:rFonts w:hint="default" w:cs="Times New Roman"/>
                <w:b w:val="0"/>
                <w:kern w:val="2"/>
                <w:sz w:val="24"/>
                <w:szCs w:val="24"/>
                <w:highlight w:val="none"/>
                <w:lang w:val="en-US" w:eastAsia="zh-CN" w:bidi="ar"/>
              </w:rPr>
              <w:t>2</w:t>
            </w:r>
            <w:r>
              <w:rPr>
                <w:rFonts w:ascii="Times New Roman" w:hAnsi="Times New Roman" w:eastAsia="宋体" w:cs="Times New Roman"/>
                <w:b w:val="0"/>
                <w:kern w:val="2"/>
                <w:sz w:val="24"/>
                <w:szCs w:val="24"/>
                <w:highlight w:val="none"/>
                <w:lang w:val="en-US" w:eastAsia="zh-CN" w:bidi="ar"/>
              </w:rPr>
              <w:t>区治理工程设计</w:t>
            </w:r>
          </w:p>
          <w:p>
            <w:pPr>
              <w:keepNext w:val="0"/>
              <w:keepLines w:val="0"/>
              <w:widowControl/>
              <w:suppressLineNumbers w:val="0"/>
              <w:adjustRightInd w:val="0"/>
              <w:spacing w:line="360" w:lineRule="auto"/>
              <w:ind w:firstLine="480" w:firstLineChars="200"/>
              <w:jc w:val="both"/>
              <w:rPr>
                <w:highlight w:val="none"/>
              </w:rPr>
            </w:pPr>
            <w:r>
              <w:rPr>
                <w:rFonts w:ascii="Times New Roman" w:hAnsi="Times New Roman" w:eastAsia="宋体" w:cs="Times New Roman"/>
                <w:color w:val="auto"/>
                <w:kern w:val="2"/>
                <w:sz w:val="24"/>
                <w:szCs w:val="24"/>
                <w:highlight w:val="none"/>
                <w:lang w:val="en-US" w:eastAsia="zh-CN" w:bidi="ar"/>
              </w:rPr>
              <w:t>将</w:t>
            </w:r>
            <w:r>
              <w:rPr>
                <w:rFonts w:hint="default" w:ascii="Times New Roman" w:hAnsi="Times New Roman" w:eastAsia="宋体" w:cs="Times New Roman"/>
                <w:color w:val="auto"/>
                <w:kern w:val="2"/>
                <w:sz w:val="24"/>
                <w:szCs w:val="24"/>
                <w:highlight w:val="none"/>
                <w:lang w:val="en-US" w:eastAsia="zh-CN" w:bidi="ar"/>
              </w:rPr>
              <w:t>M2</w:t>
            </w:r>
            <w:r>
              <w:rPr>
                <w:rFonts w:ascii="Times New Roman" w:hAnsi="Times New Roman" w:eastAsia="宋体" w:cs="Times New Roman"/>
                <w:color w:val="auto"/>
                <w:kern w:val="2"/>
                <w:sz w:val="24"/>
                <w:szCs w:val="24"/>
                <w:highlight w:val="none"/>
                <w:lang w:val="en-US" w:eastAsia="zh-CN" w:bidi="ar"/>
              </w:rPr>
              <w:t>区分为</w:t>
            </w:r>
            <w:r>
              <w:rPr>
                <w:rFonts w:hint="default" w:ascii="Times New Roman" w:hAnsi="Times New Roman" w:eastAsia="宋体" w:cs="Times New Roman"/>
                <w:color w:val="auto"/>
                <w:kern w:val="2"/>
                <w:sz w:val="24"/>
                <w:szCs w:val="24"/>
                <w:highlight w:val="none"/>
                <w:lang w:val="en-US" w:eastAsia="zh-CN" w:bidi="ar"/>
              </w:rPr>
              <w:t>3</w:t>
            </w:r>
            <w:r>
              <w:rPr>
                <w:rFonts w:ascii="Times New Roman" w:hAnsi="Times New Roman" w:eastAsia="宋体" w:cs="Times New Roman"/>
                <w:color w:val="auto"/>
                <w:kern w:val="2"/>
                <w:sz w:val="24"/>
                <w:szCs w:val="24"/>
                <w:highlight w:val="none"/>
                <w:lang w:val="en-US" w:eastAsia="zh-CN" w:bidi="ar"/>
              </w:rPr>
              <w:t>个治理单元，</w:t>
            </w:r>
            <w:r>
              <w:rPr>
                <w:rFonts w:ascii="Times New Roman" w:hAnsi="Times New Roman" w:eastAsia="宋体" w:cs="Times New Roman"/>
                <w:kern w:val="2"/>
                <w:sz w:val="24"/>
                <w:szCs w:val="24"/>
                <w:highlight w:val="none"/>
                <w:lang w:val="en-US" w:eastAsia="zh-CN" w:bidi="ar"/>
              </w:rPr>
              <w:t>分区单元见</w:t>
            </w:r>
            <w:r>
              <w:rPr>
                <w:rFonts w:ascii="Times New Roman" w:hAnsi="Times New Roman" w:eastAsia="宋体" w:cs="Times New Roman"/>
                <w:color w:val="auto"/>
                <w:kern w:val="2"/>
                <w:sz w:val="24"/>
                <w:szCs w:val="24"/>
                <w:highlight w:val="none"/>
                <w:lang w:val="en-US" w:eastAsia="zh-CN" w:bidi="ar"/>
              </w:rPr>
              <w:t>图</w:t>
            </w:r>
            <w:r>
              <w:rPr>
                <w:rFonts w:hint="eastAsia" w:cs="Times New Roman"/>
                <w:color w:val="auto"/>
                <w:kern w:val="2"/>
                <w:sz w:val="24"/>
                <w:szCs w:val="24"/>
                <w:highlight w:val="none"/>
                <w:lang w:val="en-US" w:eastAsia="zh-CN" w:bidi="ar"/>
              </w:rPr>
              <w:t>1-8。</w:t>
            </w:r>
            <w:r>
              <w:rPr>
                <w:rFonts w:ascii="Times New Roman" w:hAnsi="Times New Roman" w:eastAsia="宋体" w:cs="Times New Roman"/>
                <w:color w:val="auto"/>
                <w:kern w:val="2"/>
                <w:sz w:val="24"/>
                <w:szCs w:val="24"/>
                <w:highlight w:val="none"/>
                <w:lang w:val="en-US" w:eastAsia="zh-CN" w:bidi="ar"/>
              </w:rPr>
              <w:t>其中</w:t>
            </w:r>
            <w:r>
              <w:rPr>
                <w:rFonts w:hint="default" w:ascii="Times New Roman" w:hAnsi="Times New Roman" w:eastAsia="宋体" w:cs="Times New Roman"/>
                <w:color w:val="auto"/>
                <w:kern w:val="2"/>
                <w:sz w:val="24"/>
                <w:szCs w:val="24"/>
                <w:highlight w:val="none"/>
                <w:lang w:val="en-US" w:eastAsia="zh-CN" w:bidi="ar"/>
              </w:rPr>
              <w:t>①</w:t>
            </w:r>
            <w:r>
              <w:rPr>
                <w:rFonts w:ascii="Times New Roman" w:hAnsi="Times New Roman" w:eastAsia="宋体" w:cs="Times New Roman"/>
                <w:color w:val="auto"/>
                <w:kern w:val="2"/>
                <w:sz w:val="24"/>
                <w:szCs w:val="24"/>
                <w:highlight w:val="none"/>
                <w:lang w:val="en-US" w:eastAsia="zh-CN" w:bidi="ar"/>
              </w:rPr>
              <w:t>单元平均标高</w:t>
            </w:r>
            <w:r>
              <w:rPr>
                <w:rFonts w:hint="default" w:ascii="Times New Roman" w:hAnsi="Times New Roman" w:eastAsia="宋体" w:cs="Times New Roman"/>
                <w:color w:val="auto"/>
                <w:kern w:val="2"/>
                <w:sz w:val="24"/>
                <w:szCs w:val="24"/>
                <w:highlight w:val="none"/>
                <w:lang w:val="en-US" w:eastAsia="zh-CN" w:bidi="ar"/>
              </w:rPr>
              <w:t>1508.44m</w:t>
            </w:r>
            <w:r>
              <w:rPr>
                <w:rFonts w:hint="eastAsia" w:cs="Times New Roman"/>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②</w:t>
            </w:r>
            <w:r>
              <w:rPr>
                <w:rFonts w:ascii="Times New Roman" w:hAnsi="Times New Roman" w:eastAsia="宋体" w:cs="Times New Roman"/>
                <w:color w:val="auto"/>
                <w:kern w:val="2"/>
                <w:sz w:val="24"/>
                <w:szCs w:val="24"/>
                <w:highlight w:val="none"/>
                <w:lang w:val="en-US" w:eastAsia="zh-CN" w:bidi="ar"/>
              </w:rPr>
              <w:t>单元平均标高</w:t>
            </w:r>
            <w:r>
              <w:rPr>
                <w:rFonts w:hint="default" w:ascii="Times New Roman" w:hAnsi="Times New Roman" w:eastAsia="宋体" w:cs="Times New Roman"/>
                <w:color w:val="auto"/>
                <w:kern w:val="2"/>
                <w:sz w:val="24"/>
                <w:szCs w:val="24"/>
                <w:highlight w:val="none"/>
                <w:lang w:val="en-US" w:eastAsia="zh-CN" w:bidi="ar"/>
              </w:rPr>
              <w:t>1520.05m</w:t>
            </w:r>
            <w:r>
              <w:rPr>
                <w:rFonts w:ascii="Times New Roman" w:hAnsi="Times New Roman" w:eastAsia="宋体" w:cs="Times New Roman"/>
                <w:color w:val="auto"/>
                <w:kern w:val="2"/>
                <w:sz w:val="24"/>
                <w:szCs w:val="24"/>
                <w:highlight w:val="none"/>
                <w:lang w:val="en-US" w:eastAsia="zh-CN" w:bidi="ar"/>
              </w:rPr>
              <w:t>、③单元平均标高</w:t>
            </w:r>
            <w:r>
              <w:rPr>
                <w:rFonts w:hint="default" w:ascii="Times New Roman" w:hAnsi="Times New Roman" w:eastAsia="宋体" w:cs="Times New Roman"/>
                <w:color w:val="auto"/>
                <w:kern w:val="2"/>
                <w:sz w:val="24"/>
                <w:szCs w:val="24"/>
                <w:highlight w:val="none"/>
                <w:lang w:val="en-US" w:eastAsia="zh-CN" w:bidi="ar"/>
              </w:rPr>
              <w:t>1506.55m</w:t>
            </w:r>
            <w:r>
              <w:rPr>
                <w:rFonts w:ascii="Times New Roman" w:hAnsi="Times New Roman" w:eastAsia="宋体" w:cs="Times New Roman"/>
                <w:color w:val="auto"/>
                <w:kern w:val="2"/>
                <w:sz w:val="24"/>
                <w:szCs w:val="24"/>
                <w:highlight w:val="none"/>
                <w:lang w:val="en-US" w:eastAsia="zh-CN" w:bidi="ar"/>
              </w:rPr>
              <w:t>，地形设置</w:t>
            </w:r>
            <w:r>
              <w:rPr>
                <w:rFonts w:hint="default" w:ascii="Times New Roman" w:hAnsi="Times New Roman" w:eastAsia="宋体" w:cs="Times New Roman"/>
                <w:color w:val="auto"/>
                <w:kern w:val="2"/>
                <w:sz w:val="24"/>
                <w:szCs w:val="24"/>
                <w:highlight w:val="none"/>
                <w:lang w:val="en-US" w:eastAsia="zh-CN" w:bidi="ar"/>
              </w:rPr>
              <w:t>2%-3%</w:t>
            </w:r>
            <w:r>
              <w:rPr>
                <w:rFonts w:ascii="Times New Roman" w:hAnsi="Times New Roman" w:eastAsia="宋体" w:cs="Times New Roman"/>
                <w:color w:val="auto"/>
                <w:kern w:val="2"/>
                <w:sz w:val="24"/>
                <w:szCs w:val="24"/>
                <w:highlight w:val="none"/>
                <w:lang w:val="en-US" w:eastAsia="zh-CN" w:bidi="ar"/>
              </w:rPr>
              <w:t>坡度</w:t>
            </w:r>
            <w:r>
              <w:rPr>
                <w:rFonts w:hint="eastAsia" w:cs="Times New Roman"/>
                <w:kern w:val="2"/>
                <w:sz w:val="24"/>
                <w:szCs w:val="24"/>
                <w:highlight w:val="none"/>
                <w:lang w:val="en-US" w:eastAsia="zh-CN" w:bidi="ar"/>
              </w:rPr>
              <w:t>。</w:t>
            </w:r>
            <w:r>
              <w:rPr>
                <w:rFonts w:ascii="Times New Roman" w:hAnsi="Times New Roman" w:eastAsia="宋体" w:cs="Times New Roman"/>
                <w:color w:val="auto"/>
                <w:kern w:val="2"/>
                <w:sz w:val="24"/>
                <w:szCs w:val="24"/>
                <w:highlight w:val="none"/>
                <w:lang w:val="en-US" w:eastAsia="zh-CN" w:bidi="ar"/>
              </w:rPr>
              <w:t>挖方量为</w:t>
            </w:r>
            <w:r>
              <w:rPr>
                <w:rFonts w:hint="default" w:ascii="Times New Roman" w:hAnsi="Times New Roman" w:eastAsia="宋体" w:cs="Times New Roman"/>
                <w:color w:val="auto"/>
                <w:kern w:val="2"/>
                <w:sz w:val="24"/>
                <w:szCs w:val="24"/>
                <w:highlight w:val="none"/>
                <w:lang w:val="en-US" w:eastAsia="zh-CN" w:bidi="ar"/>
              </w:rPr>
              <w:t>106056.05m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，填方量为</w:t>
            </w:r>
            <w:r>
              <w:rPr>
                <w:rFonts w:hint="default" w:ascii="Times New Roman" w:hAnsi="Times New Roman" w:eastAsia="宋体" w:cs="Times New Roman"/>
                <w:color w:val="auto"/>
                <w:kern w:val="2"/>
                <w:sz w:val="24"/>
                <w:szCs w:val="24"/>
                <w:highlight w:val="none"/>
                <w:lang w:val="en-US" w:eastAsia="zh-CN" w:bidi="ar"/>
              </w:rPr>
              <w:t>106285.46m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，挖填方运距</w:t>
            </w:r>
            <w:r>
              <w:rPr>
                <w:rFonts w:hint="default" w:ascii="Times New Roman" w:hAnsi="Times New Roman" w:eastAsia="宋体" w:cs="Times New Roman"/>
                <w:color w:val="auto"/>
                <w:kern w:val="2"/>
                <w:sz w:val="24"/>
                <w:szCs w:val="24"/>
                <w:highlight w:val="none"/>
                <w:lang w:val="en-US" w:eastAsia="zh-CN" w:bidi="ar"/>
              </w:rPr>
              <w:t>500m</w:t>
            </w:r>
            <w:r>
              <w:rPr>
                <w:rFonts w:ascii="Times New Roman" w:hAnsi="Times New Roman" w:eastAsia="宋体" w:cs="Times New Roman"/>
                <w:color w:val="auto"/>
                <w:kern w:val="2"/>
                <w:sz w:val="24"/>
                <w:szCs w:val="24"/>
                <w:highlight w:val="none"/>
                <w:lang w:val="en-US" w:eastAsia="zh-CN" w:bidi="ar"/>
              </w:rPr>
              <w:t>以内。</w:t>
            </w:r>
          </w:p>
          <w:p>
            <w:pPr>
              <w:keepNext w:val="0"/>
              <w:keepLines w:val="0"/>
              <w:widowControl/>
              <w:numPr>
                <w:ilvl w:val="0"/>
                <w:numId w:val="2"/>
              </w:numPr>
              <w:suppressLineNumbers w:val="0"/>
              <w:adjustRightInd w:val="0"/>
              <w:spacing w:line="360" w:lineRule="auto"/>
              <w:ind w:firstLine="480" w:firstLineChars="200"/>
              <w:jc w:val="both"/>
              <w:rPr>
                <w:rFonts w:hint="default" w:cs="Times New Roman"/>
                <w:kern w:val="2"/>
                <w:sz w:val="24"/>
                <w:szCs w:val="24"/>
                <w:highlight w:val="none"/>
                <w:lang w:val="en-US" w:eastAsia="zh-CN" w:bidi="ar"/>
              </w:rPr>
            </w:pPr>
            <w:r>
              <w:rPr>
                <w:rFonts w:hint="default" w:ascii="Times New Roman" w:hAnsi="Times New Roman" w:eastAsia="宋体" w:cs="Times New Roman"/>
                <w:b w:val="0"/>
                <w:kern w:val="2"/>
                <w:sz w:val="24"/>
                <w:szCs w:val="24"/>
                <w:highlight w:val="none"/>
                <w:lang w:val="en-US" w:eastAsia="zh-CN" w:bidi="ar"/>
              </w:rPr>
              <w:t>M1</w:t>
            </w:r>
            <w:r>
              <w:rPr>
                <w:rFonts w:ascii="Times New Roman" w:hAnsi="Times New Roman" w:eastAsia="宋体" w:cs="Times New Roman"/>
                <w:b w:val="0"/>
                <w:kern w:val="2"/>
                <w:sz w:val="24"/>
                <w:szCs w:val="24"/>
                <w:highlight w:val="none"/>
                <w:lang w:val="en-US" w:eastAsia="zh-CN" w:bidi="ar"/>
              </w:rPr>
              <w:t>区治理工程设计</w:t>
            </w:r>
          </w:p>
          <w:p>
            <w:pPr>
              <w:widowControl/>
              <w:adjustRightInd w:val="0"/>
              <w:spacing w:line="360" w:lineRule="auto"/>
              <w:ind w:firstLine="480" w:firstLineChars="200"/>
              <w:rPr>
                <w:rFonts w:hint="eastAsia" w:ascii="Times New Roman" w:hAnsi="Times New Roman" w:eastAsia="宋体" w:cs="Times New Roman"/>
                <w:kern w:val="2"/>
                <w:sz w:val="24"/>
                <w:szCs w:val="24"/>
                <w:highlight w:val="none"/>
                <w:lang w:val="en-US" w:eastAsia="zh-CN" w:bidi="ar"/>
              </w:rPr>
            </w:pPr>
            <w:r>
              <w:rPr>
                <w:rFonts w:ascii="Times New Roman" w:hAnsi="Times New Roman" w:eastAsia="宋体" w:cs="Times New Roman"/>
                <w:color w:val="auto"/>
                <w:kern w:val="2"/>
                <w:sz w:val="24"/>
                <w:szCs w:val="24"/>
                <w:highlight w:val="none"/>
                <w:lang w:val="en-US" w:eastAsia="zh-CN" w:bidi="ar"/>
              </w:rPr>
              <w:t>将</w:t>
            </w:r>
            <w:r>
              <w:rPr>
                <w:rFonts w:hint="default" w:ascii="Times New Roman" w:hAnsi="Times New Roman" w:eastAsia="宋体" w:cs="Times New Roman"/>
                <w:color w:val="auto"/>
                <w:kern w:val="2"/>
                <w:sz w:val="24"/>
                <w:szCs w:val="24"/>
                <w:highlight w:val="none"/>
                <w:lang w:val="en-US" w:eastAsia="zh-CN" w:bidi="ar"/>
              </w:rPr>
              <w:t>M3</w:t>
            </w:r>
            <w:r>
              <w:rPr>
                <w:rFonts w:ascii="Times New Roman" w:hAnsi="Times New Roman" w:eastAsia="宋体" w:cs="Times New Roman"/>
                <w:color w:val="auto"/>
                <w:kern w:val="2"/>
                <w:sz w:val="24"/>
                <w:szCs w:val="24"/>
                <w:highlight w:val="none"/>
                <w:lang w:val="en-US" w:eastAsia="zh-CN" w:bidi="ar"/>
              </w:rPr>
              <w:t>区分为</w:t>
            </w:r>
            <w:r>
              <w:rPr>
                <w:rFonts w:hint="default" w:ascii="Times New Roman" w:hAnsi="Times New Roman" w:eastAsia="宋体" w:cs="Times New Roman"/>
                <w:color w:val="auto"/>
                <w:kern w:val="2"/>
                <w:sz w:val="24"/>
                <w:szCs w:val="24"/>
                <w:highlight w:val="none"/>
                <w:lang w:val="en-US" w:eastAsia="zh-CN" w:bidi="ar"/>
              </w:rPr>
              <w:t>10</w:t>
            </w:r>
            <w:r>
              <w:rPr>
                <w:rFonts w:ascii="Times New Roman" w:hAnsi="Times New Roman" w:eastAsia="宋体" w:cs="Times New Roman"/>
                <w:color w:val="auto"/>
                <w:kern w:val="2"/>
                <w:sz w:val="24"/>
                <w:szCs w:val="24"/>
                <w:highlight w:val="none"/>
                <w:lang w:val="en-US" w:eastAsia="zh-CN" w:bidi="ar"/>
              </w:rPr>
              <w:t>个治理单元，</w:t>
            </w:r>
            <w:r>
              <w:rPr>
                <w:rFonts w:ascii="Times New Roman" w:hAnsi="Times New Roman" w:eastAsia="宋体" w:cs="Times New Roman"/>
                <w:kern w:val="2"/>
                <w:sz w:val="24"/>
                <w:szCs w:val="24"/>
                <w:highlight w:val="none"/>
                <w:lang w:val="en-US" w:eastAsia="zh-CN" w:bidi="ar"/>
              </w:rPr>
              <w:t>分区单元见</w:t>
            </w:r>
            <w:r>
              <w:rPr>
                <w:rFonts w:ascii="Times New Roman" w:hAnsi="Times New Roman" w:eastAsia="宋体" w:cs="Times New Roman"/>
                <w:color w:val="auto"/>
                <w:kern w:val="2"/>
                <w:sz w:val="24"/>
                <w:szCs w:val="24"/>
                <w:highlight w:val="none"/>
                <w:lang w:val="en-US" w:eastAsia="zh-CN" w:bidi="ar"/>
              </w:rPr>
              <w:t>图</w:t>
            </w:r>
            <w:r>
              <w:rPr>
                <w:rFonts w:hint="eastAsia" w:cs="Times New Roman"/>
                <w:color w:val="auto"/>
                <w:kern w:val="2"/>
                <w:sz w:val="24"/>
                <w:szCs w:val="24"/>
                <w:highlight w:val="none"/>
                <w:lang w:val="en-US" w:eastAsia="zh-CN" w:bidi="ar"/>
              </w:rPr>
              <w:t>1-9。</w:t>
            </w:r>
            <w:r>
              <w:rPr>
                <w:rFonts w:ascii="Times New Roman" w:hAnsi="Times New Roman" w:eastAsia="宋体" w:cs="Times New Roman"/>
                <w:color w:val="auto"/>
                <w:kern w:val="2"/>
                <w:sz w:val="24"/>
                <w:szCs w:val="24"/>
                <w:highlight w:val="none"/>
                <w:lang w:val="en-US" w:eastAsia="zh-CN" w:bidi="ar"/>
              </w:rPr>
              <w:t>其中①至⑤单元为渣堆及尾坑区域，进行土方回填压实；⑥⑦⑧单元为废弃堆煤点，治理时将地表挖去</w:t>
            </w:r>
            <w:r>
              <w:rPr>
                <w:rFonts w:hint="default" w:ascii="Times New Roman" w:hAnsi="Times New Roman" w:eastAsia="宋体" w:cs="Times New Roman"/>
                <w:color w:val="auto"/>
                <w:kern w:val="2"/>
                <w:sz w:val="24"/>
                <w:szCs w:val="24"/>
                <w:highlight w:val="none"/>
                <w:lang w:val="en-US" w:eastAsia="zh-CN" w:bidi="ar"/>
              </w:rPr>
              <w:t>0.5m</w:t>
            </w:r>
            <w:r>
              <w:rPr>
                <w:rFonts w:ascii="Times New Roman" w:hAnsi="Times New Roman" w:eastAsia="宋体" w:cs="Times New Roman"/>
                <w:color w:val="auto"/>
                <w:kern w:val="2"/>
                <w:sz w:val="24"/>
                <w:szCs w:val="24"/>
                <w:highlight w:val="none"/>
                <w:lang w:val="en-US" w:eastAsia="zh-CN" w:bidi="ar"/>
              </w:rPr>
              <w:t>后覆土；⑩单元为不稳定边坡削坡地段，削坡坡度达到</w:t>
            </w:r>
            <w:r>
              <w:rPr>
                <w:rFonts w:hint="default" w:ascii="Times New Roman" w:hAnsi="Times New Roman" w:eastAsia="宋体" w:cs="Times New Roman"/>
                <w:color w:val="auto"/>
                <w:kern w:val="2"/>
                <w:sz w:val="24"/>
                <w:szCs w:val="24"/>
                <w:highlight w:val="none"/>
                <w:lang w:val="en-US" w:eastAsia="zh-CN" w:bidi="ar"/>
              </w:rPr>
              <w:t>20</w:t>
            </w:r>
            <w:r>
              <w:rPr>
                <w:rFonts w:ascii="Times New Roman" w:hAnsi="Times New Roman" w:eastAsia="宋体" w:cs="Times New Roman"/>
                <w:color w:val="auto"/>
                <w:kern w:val="2"/>
                <w:sz w:val="24"/>
                <w:szCs w:val="24"/>
                <w:highlight w:val="none"/>
                <w:lang w:val="en-US" w:eastAsia="zh-CN" w:bidi="ar"/>
              </w:rPr>
              <w:t>°，削坡过程中将细颗粒的黄土覆盖至各单元，以达到植被生长的要求</w:t>
            </w:r>
            <w:r>
              <w:rPr>
                <w:rFonts w:hint="eastAsia" w:cs="Times New Roman"/>
                <w:kern w:val="2"/>
                <w:sz w:val="24"/>
                <w:szCs w:val="24"/>
                <w:highlight w:val="none"/>
                <w:lang w:val="en-US" w:eastAsia="zh-CN" w:bidi="ar"/>
              </w:rPr>
              <w:t>。</w:t>
            </w:r>
            <w:r>
              <w:rPr>
                <w:rFonts w:ascii="Times New Roman" w:hAnsi="Times New Roman" w:eastAsia="宋体" w:cs="Times New Roman"/>
                <w:color w:val="auto"/>
                <w:kern w:val="2"/>
                <w:sz w:val="24"/>
                <w:szCs w:val="24"/>
                <w:highlight w:val="none"/>
                <w:lang w:val="en-US" w:eastAsia="zh-CN" w:bidi="ar"/>
              </w:rPr>
              <w:t>挖方量为</w:t>
            </w:r>
            <w:r>
              <w:rPr>
                <w:rFonts w:hint="default" w:ascii="Times New Roman" w:hAnsi="Times New Roman" w:eastAsia="宋体" w:cs="Times New Roman"/>
                <w:color w:val="auto"/>
                <w:kern w:val="2"/>
                <w:sz w:val="24"/>
                <w:szCs w:val="24"/>
                <w:highlight w:val="none"/>
                <w:lang w:val="en-US" w:eastAsia="zh-CN" w:bidi="ar"/>
              </w:rPr>
              <w:t>204811.61m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，填方量为</w:t>
            </w:r>
            <w:r>
              <w:rPr>
                <w:rFonts w:hint="default" w:ascii="Times New Roman" w:hAnsi="Times New Roman" w:eastAsia="宋体" w:cs="Times New Roman"/>
                <w:color w:val="auto"/>
                <w:kern w:val="2"/>
                <w:sz w:val="24"/>
                <w:szCs w:val="24"/>
                <w:highlight w:val="none"/>
                <w:lang w:val="en-US" w:eastAsia="zh-CN" w:bidi="ar"/>
              </w:rPr>
              <w:t>205083.17m3</w:t>
            </w:r>
            <w:r>
              <w:rPr>
                <w:rFonts w:ascii="Times New Roman" w:hAnsi="Times New Roman" w:eastAsia="宋体" w:cs="Times New Roman"/>
                <w:color w:val="auto"/>
                <w:kern w:val="2"/>
                <w:sz w:val="24"/>
                <w:szCs w:val="24"/>
                <w:highlight w:val="none"/>
                <w:lang w:val="en-US" w:eastAsia="zh-CN" w:bidi="ar"/>
              </w:rPr>
              <w:t>，挖填方量基本平衡，挖填方运距</w:t>
            </w:r>
            <w:r>
              <w:rPr>
                <w:rFonts w:hint="default" w:ascii="Times New Roman" w:hAnsi="Times New Roman" w:eastAsia="宋体" w:cs="Times New Roman"/>
                <w:color w:val="auto"/>
                <w:kern w:val="2"/>
                <w:sz w:val="24"/>
                <w:szCs w:val="24"/>
                <w:highlight w:val="none"/>
                <w:lang w:val="en-US" w:eastAsia="zh-CN" w:bidi="ar"/>
              </w:rPr>
              <w:t>500m</w:t>
            </w:r>
            <w:r>
              <w:rPr>
                <w:rFonts w:ascii="Times New Roman" w:hAnsi="Times New Roman" w:eastAsia="宋体" w:cs="Times New Roman"/>
                <w:color w:val="auto"/>
                <w:kern w:val="2"/>
                <w:sz w:val="24"/>
                <w:szCs w:val="24"/>
                <w:highlight w:val="none"/>
                <w:lang w:val="en-US" w:eastAsia="zh-CN" w:bidi="ar"/>
              </w:rPr>
              <w:t>以内。削坡长度</w:t>
            </w:r>
            <w:r>
              <w:rPr>
                <w:rFonts w:hint="default" w:ascii="Times New Roman" w:hAnsi="Times New Roman" w:eastAsia="宋体" w:cs="Times New Roman"/>
                <w:color w:val="auto"/>
                <w:kern w:val="2"/>
                <w:sz w:val="24"/>
                <w:szCs w:val="24"/>
                <w:highlight w:val="none"/>
                <w:lang w:val="en-US" w:eastAsia="zh-CN" w:bidi="ar"/>
              </w:rPr>
              <w:t>627m</w:t>
            </w:r>
            <w:r>
              <w:rPr>
                <w:rFonts w:ascii="Times New Roman" w:hAnsi="Times New Roman" w:eastAsia="宋体" w:cs="Times New Roman"/>
                <w:color w:val="auto"/>
                <w:kern w:val="2"/>
                <w:sz w:val="24"/>
                <w:szCs w:val="24"/>
                <w:highlight w:val="none"/>
                <w:lang w:val="en-US" w:eastAsia="zh-CN" w:bidi="ar"/>
              </w:rPr>
              <w:t>，削坡角度约</w:t>
            </w:r>
            <w:r>
              <w:rPr>
                <w:rFonts w:hint="default" w:ascii="Times New Roman" w:hAnsi="Times New Roman" w:eastAsia="宋体" w:cs="Times New Roman"/>
                <w:color w:val="auto"/>
                <w:kern w:val="2"/>
                <w:sz w:val="24"/>
                <w:szCs w:val="24"/>
                <w:highlight w:val="none"/>
                <w:lang w:val="en-US" w:eastAsia="zh-CN" w:bidi="ar"/>
              </w:rPr>
              <w:t>20°</w:t>
            </w:r>
            <w:r>
              <w:rPr>
                <w:rFonts w:ascii="Times New Roman" w:hAnsi="Times New Roman" w:eastAsia="宋体" w:cs="Times New Roman"/>
                <w:color w:val="auto"/>
                <w:kern w:val="2"/>
                <w:sz w:val="24"/>
                <w:szCs w:val="24"/>
                <w:highlight w:val="none"/>
                <w:lang w:val="en-US" w:eastAsia="zh-CN" w:bidi="ar"/>
              </w:rPr>
              <w:t>，削坡量</w:t>
            </w:r>
            <w:r>
              <w:rPr>
                <w:rFonts w:hint="default" w:ascii="Times New Roman" w:hAnsi="Times New Roman" w:eastAsia="宋体" w:cs="Times New Roman"/>
                <w:color w:val="auto"/>
                <w:kern w:val="2"/>
                <w:sz w:val="24"/>
                <w:szCs w:val="24"/>
                <w:highlight w:val="none"/>
                <w:lang w:val="en-US" w:eastAsia="zh-CN" w:bidi="ar"/>
              </w:rPr>
              <w:t>37602m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w:t>
            </w:r>
          </w:p>
          <w:p>
            <w:pPr>
              <w:adjustRightInd w:val="0"/>
              <w:spacing w:line="360" w:lineRule="auto"/>
              <w:ind w:firstLine="480" w:firstLineChars="200"/>
              <w:rPr>
                <w:rFonts w:hint="eastAsia"/>
                <w:sz w:val="24"/>
                <w:highlight w:val="none"/>
                <w:lang w:val="en-US" w:eastAsia="zh-CN"/>
              </w:rPr>
            </w:pPr>
            <w:r>
              <w:rPr>
                <w:rFonts w:hint="eastAsia"/>
                <w:sz w:val="24"/>
                <w:highlight w:val="none"/>
                <w:lang w:val="en-US" w:eastAsia="zh-CN"/>
              </w:rPr>
              <w:t>②土地平整</w:t>
            </w:r>
          </w:p>
          <w:p>
            <w:pPr>
              <w:widowControl/>
              <w:numPr>
                <w:ilvl w:val="0"/>
                <w:numId w:val="0"/>
              </w:numPr>
              <w:adjustRightInd w:val="0"/>
              <w:spacing w:line="360" w:lineRule="auto"/>
              <w:ind w:firstLine="480" w:firstLineChars="200"/>
              <w:jc w:val="left"/>
              <w:rPr>
                <w:rFonts w:hint="eastAsia"/>
                <w:sz w:val="24"/>
                <w:highlight w:val="none"/>
                <w:lang w:val="en-US" w:eastAsia="zh-CN"/>
              </w:rPr>
            </w:pPr>
            <w:r>
              <w:rPr>
                <w:rFonts w:hint="eastAsia" w:ascii="Times New Roman" w:hAnsi="Times New Roman" w:eastAsia="宋体" w:cs="Times New Roman"/>
                <w:kern w:val="2"/>
                <w:sz w:val="24"/>
                <w:szCs w:val="24"/>
                <w:highlight w:val="none"/>
                <w:lang w:val="en-US" w:eastAsia="zh-CN" w:bidi="ar"/>
              </w:rPr>
              <w:t>将回填后的土方</w:t>
            </w:r>
            <w:r>
              <w:rPr>
                <w:rFonts w:hint="eastAsia"/>
                <w:b w:val="0"/>
                <w:bCs w:val="0"/>
                <w:sz w:val="24"/>
                <w:highlight w:val="none"/>
                <w:lang w:val="en-US" w:eastAsia="zh-CN" w:bidi="ar"/>
              </w:rPr>
              <w:t>采用推土机推土平整</w:t>
            </w:r>
            <w:r>
              <w:rPr>
                <w:rFonts w:hint="eastAsia" w:ascii="Times New Roman" w:hAnsi="Times New Roman" w:eastAsia="宋体" w:cs="Times New Roman"/>
                <w:kern w:val="2"/>
                <w:sz w:val="24"/>
                <w:szCs w:val="24"/>
                <w:highlight w:val="none"/>
                <w:lang w:val="en-US" w:eastAsia="zh-CN" w:bidi="ar"/>
              </w:rPr>
              <w:t>，土地平整工程量为</w:t>
            </w:r>
            <w:r>
              <w:rPr>
                <w:rFonts w:hint="eastAsia"/>
                <w:sz w:val="24"/>
                <w:highlight w:val="none"/>
                <w:lang w:val="en-US" w:eastAsia="zh-CN"/>
              </w:rPr>
              <w:t>71310m</w:t>
            </w:r>
            <w:r>
              <w:rPr>
                <w:rFonts w:hint="eastAsia"/>
                <w:sz w:val="24"/>
                <w:highlight w:val="none"/>
                <w:vertAlign w:val="superscript"/>
                <w:lang w:val="en-US" w:eastAsia="zh-CN"/>
              </w:rPr>
              <w:t>3</w:t>
            </w:r>
            <w:r>
              <w:rPr>
                <w:rFonts w:hint="eastAsia" w:ascii="Times New Roman" w:hAnsi="Times New Roman" w:eastAsia="宋体" w:cs="Times New Roman"/>
                <w:kern w:val="2"/>
                <w:sz w:val="24"/>
                <w:szCs w:val="24"/>
                <w:highlight w:val="none"/>
                <w:lang w:val="en-US" w:eastAsia="zh-CN" w:bidi="ar"/>
              </w:rPr>
              <w:t>。土地平整时应将复垦为旱地区域进行重点平整，使其表土厚度大于0.50m。</w:t>
            </w:r>
          </w:p>
          <w:p>
            <w:pPr>
              <w:adjustRightInd w:val="0"/>
              <w:spacing w:line="360" w:lineRule="auto"/>
              <w:ind w:firstLine="480" w:firstLineChars="200"/>
              <w:rPr>
                <w:rFonts w:hint="default" w:ascii="Times New Roman" w:hAnsi="Times New Roman" w:cs="Times New Roman"/>
                <w:b w:val="0"/>
                <w:bCs w:val="0"/>
                <w:sz w:val="24"/>
                <w:highlight w:val="none"/>
                <w:lang w:val="en-US" w:eastAsia="zh-CN"/>
              </w:rPr>
            </w:pPr>
            <w:r>
              <w:rPr>
                <w:rFonts w:hint="eastAsia" w:ascii="Times New Roman" w:hAnsi="Times New Roman" w:cs="Times New Roman"/>
                <w:sz w:val="24"/>
                <w:highlight w:val="none"/>
                <w:lang w:val="en-US" w:eastAsia="zh-CN"/>
              </w:rPr>
              <w:t>③</w:t>
            </w:r>
            <w:r>
              <w:rPr>
                <w:rFonts w:hint="eastAsia" w:cs="Times New Roman"/>
                <w:b w:val="0"/>
                <w:bCs w:val="0"/>
                <w:sz w:val="24"/>
                <w:highlight w:val="none"/>
                <w:lang w:val="en-US" w:eastAsia="zh-CN"/>
              </w:rPr>
              <w:t>植被恢复</w:t>
            </w:r>
          </w:p>
          <w:p>
            <w:pPr>
              <w:keepNext w:val="0"/>
              <w:keepLines w:val="0"/>
              <w:widowControl/>
              <w:suppressLineNumbers w:val="0"/>
              <w:adjustRightInd w:val="0"/>
              <w:spacing w:line="360" w:lineRule="auto"/>
              <w:ind w:firstLine="480" w:firstLineChars="200"/>
              <w:jc w:val="left"/>
              <w:rPr>
                <w:rFonts w:hint="eastAsia"/>
                <w:sz w:val="24"/>
                <w:highlight w:val="none"/>
                <w:lang w:bidi="ar"/>
              </w:rPr>
            </w:pPr>
            <w:r>
              <w:rPr>
                <w:rFonts w:hint="eastAsia"/>
                <w:sz w:val="24"/>
                <w:highlight w:val="none"/>
                <w:lang w:val="en-US" w:eastAsia="zh-CN"/>
              </w:rPr>
              <w:t>煤炭治理区土方工程完工后，对整个治理区进行种植规划，</w:t>
            </w:r>
            <w:r>
              <w:rPr>
                <w:rFonts w:hint="eastAsia" w:ascii="Times New Roman" w:hAnsi="Times New Roman" w:eastAsia="宋体" w:cs="Times New Roman"/>
                <w:color w:val="auto"/>
                <w:kern w:val="2"/>
                <w:sz w:val="24"/>
                <w:szCs w:val="24"/>
                <w:highlight w:val="none"/>
                <w:lang w:val="en-US" w:eastAsia="zh-CN" w:bidi="ar"/>
              </w:rPr>
              <w:t>本次治理工程植被修复以种草为主。选择扁穗冰草、芨芨草、沙蒿，采用条播种草方式。带状条播，播种带幅15cm左右，采用简单机械开沟、撒种、复土、压实，边坡处条带应顺着边坡走向、垂直于边坡倾向，以促进蓄水保土。控制单位长度播种量，播种量为30kg/hm</w:t>
            </w:r>
            <w:r>
              <w:rPr>
                <w:rFonts w:hint="eastAsia" w:ascii="Times New Roman" w:hAnsi="Times New Roman" w:eastAsia="宋体" w:cs="Times New Roman"/>
                <w:color w:val="auto"/>
                <w:kern w:val="2"/>
                <w:sz w:val="24"/>
                <w:szCs w:val="24"/>
                <w:highlight w:val="none"/>
                <w:vertAlign w:val="superscript"/>
                <w:lang w:val="en-US" w:eastAsia="zh-CN" w:bidi="ar"/>
              </w:rPr>
              <w:t>2</w:t>
            </w:r>
            <w:r>
              <w:rPr>
                <w:rFonts w:hint="eastAsia" w:ascii="Times New Roman" w:hAnsi="Times New Roman" w:eastAsia="宋体" w:cs="Times New Roman"/>
                <w:color w:val="auto"/>
                <w:kern w:val="2"/>
                <w:sz w:val="24"/>
                <w:szCs w:val="24"/>
                <w:highlight w:val="none"/>
                <w:lang w:val="en-US" w:eastAsia="zh-CN" w:bidi="ar"/>
              </w:rPr>
              <w:t>，将扁穗冰草、芨芨草、沙蒿种子按1：1：1等比例混合条播方式进行种植。</w:t>
            </w:r>
            <w:r>
              <w:rPr>
                <w:rFonts w:hint="eastAsia"/>
                <w:sz w:val="24"/>
                <w:highlight w:val="none"/>
                <w:lang w:eastAsia="zh-CN" w:bidi="ar"/>
              </w:rPr>
              <w:t>种草</w:t>
            </w:r>
            <w:r>
              <w:rPr>
                <w:rFonts w:hint="eastAsia"/>
                <w:sz w:val="24"/>
                <w:highlight w:val="none"/>
                <w:lang w:bidi="ar"/>
              </w:rPr>
              <w:t>总面积</w:t>
            </w:r>
            <w:r>
              <w:rPr>
                <w:rFonts w:hint="eastAsia"/>
                <w:sz w:val="24"/>
                <w:highlight w:val="none"/>
                <w:lang w:val="en-US" w:eastAsia="zh-CN" w:bidi="ar"/>
              </w:rPr>
              <w:t>30.95</w:t>
            </w:r>
            <w:r>
              <w:rPr>
                <w:rFonts w:hint="eastAsia"/>
                <w:sz w:val="24"/>
                <w:highlight w:val="none"/>
                <w:lang w:bidi="ar"/>
              </w:rPr>
              <w:t>hm</w:t>
            </w:r>
            <w:r>
              <w:rPr>
                <w:rFonts w:hint="eastAsia"/>
                <w:sz w:val="24"/>
                <w:highlight w:val="none"/>
                <w:vertAlign w:val="superscript"/>
                <w:lang w:bidi="ar"/>
              </w:rPr>
              <w:t>2</w:t>
            </w:r>
            <w:r>
              <w:rPr>
                <w:rFonts w:hint="eastAsia"/>
                <w:sz w:val="24"/>
                <w:highlight w:val="none"/>
                <w:vertAlign w:val="baseline"/>
                <w:lang w:eastAsia="zh-CN" w:bidi="ar"/>
              </w:rPr>
              <w:t>。</w:t>
            </w:r>
          </w:p>
          <w:p>
            <w:pPr>
              <w:adjustRightInd w:val="0"/>
              <w:spacing w:line="360" w:lineRule="auto"/>
              <w:ind w:firstLine="480" w:firstLineChars="200"/>
              <w:rPr>
                <w:rFonts w:hint="eastAsia" w:ascii="Times New Roman" w:hAnsi="Times New Roman" w:cs="Times New Roman"/>
                <w:b w:val="0"/>
                <w:bCs w:val="0"/>
                <w:sz w:val="24"/>
                <w:highlight w:val="none"/>
                <w:lang w:val="en-US" w:eastAsia="zh-CN"/>
              </w:rPr>
            </w:pPr>
            <w:r>
              <w:rPr>
                <w:rFonts w:hint="eastAsia" w:ascii="Times New Roman" w:hAnsi="Times New Roman" w:cs="Times New Roman"/>
                <w:b w:val="0"/>
                <w:bCs w:val="0"/>
                <w:sz w:val="24"/>
                <w:highlight w:val="none"/>
                <w:lang w:val="en-US" w:eastAsia="zh-CN"/>
              </w:rPr>
              <w:t>④</w:t>
            </w:r>
            <w:r>
              <w:rPr>
                <w:rFonts w:hint="eastAsia" w:cs="Times New Roman"/>
                <w:sz w:val="24"/>
                <w:highlight w:val="none"/>
                <w:lang w:val="en-US" w:eastAsia="zh-CN"/>
              </w:rPr>
              <w:t>土地翻耕</w:t>
            </w:r>
          </w:p>
          <w:p>
            <w:pPr>
              <w:adjustRightInd w:val="0"/>
              <w:spacing w:line="360" w:lineRule="auto"/>
              <w:ind w:firstLine="480" w:firstLineChars="200"/>
              <w:rPr>
                <w:rFonts w:hint="eastAsia" w:ascii="Times New Roman" w:hAnsi="Times New Roman" w:cs="Times New Roman"/>
                <w:b w:val="0"/>
                <w:bCs w:val="0"/>
                <w:sz w:val="24"/>
                <w:highlight w:val="none"/>
                <w:lang w:val="en-US" w:eastAsia="zh-CN"/>
              </w:rPr>
            </w:pPr>
            <w:r>
              <w:rPr>
                <w:rFonts w:hint="eastAsia" w:ascii="Times New Roman" w:hAnsi="Times New Roman" w:eastAsia="宋体" w:cs="Times New Roman"/>
                <w:kern w:val="2"/>
                <w:sz w:val="24"/>
                <w:szCs w:val="24"/>
                <w:highlight w:val="none"/>
                <w:lang w:val="en-US" w:eastAsia="zh-CN" w:bidi="ar"/>
              </w:rPr>
              <w:t>用犁地机、旋耕机，对土壤进行松土，翻耕深度为20cm，翻耕面积</w:t>
            </w:r>
            <w:r>
              <w:rPr>
                <w:rFonts w:hint="eastAsia" w:cs="Times New Roman"/>
                <w:kern w:val="2"/>
                <w:sz w:val="24"/>
                <w:szCs w:val="24"/>
                <w:highlight w:val="none"/>
                <w:lang w:val="en-US" w:eastAsia="zh-CN" w:bidi="ar"/>
              </w:rPr>
              <w:t>29.72</w:t>
            </w:r>
            <w:r>
              <w:rPr>
                <w:rFonts w:hint="eastAsia" w:ascii="Times New Roman" w:hAnsi="Times New Roman" w:eastAsia="宋体" w:cs="Times New Roman"/>
                <w:kern w:val="2"/>
                <w:sz w:val="24"/>
                <w:szCs w:val="24"/>
                <w:highlight w:val="none"/>
                <w:lang w:val="en-US" w:eastAsia="zh-CN" w:bidi="ar"/>
              </w:rPr>
              <w:t>hm</w:t>
            </w:r>
            <w:r>
              <w:rPr>
                <w:rFonts w:hint="eastAsia" w:ascii="Times New Roman" w:hAnsi="Times New Roman" w:eastAsia="宋体" w:cs="Times New Roman"/>
                <w:kern w:val="2"/>
                <w:sz w:val="24"/>
                <w:szCs w:val="24"/>
                <w:highlight w:val="none"/>
                <w:vertAlign w:val="superscript"/>
                <w:lang w:val="en-US" w:eastAsia="zh-CN" w:bidi="ar"/>
              </w:rPr>
              <w:t>2</w:t>
            </w:r>
            <w:r>
              <w:rPr>
                <w:rFonts w:hint="eastAsia" w:cs="Times New Roman"/>
                <w:kern w:val="2"/>
                <w:sz w:val="24"/>
                <w:szCs w:val="24"/>
                <w:highlight w:val="none"/>
                <w:vertAlign w:val="baseline"/>
                <w:lang w:val="en-US" w:eastAsia="zh-CN" w:bidi="ar"/>
              </w:rPr>
              <w:t>。</w:t>
            </w:r>
          </w:p>
          <w:p>
            <w:pPr>
              <w:adjustRightInd w:val="0"/>
              <w:spacing w:line="360" w:lineRule="auto"/>
              <w:ind w:firstLine="480" w:firstLineChars="200"/>
              <w:rPr>
                <w:rFonts w:hint="default"/>
                <w:sz w:val="24"/>
                <w:highlight w:val="none"/>
                <w:lang w:val="en-US" w:eastAsia="zh-CN"/>
              </w:rPr>
            </w:pPr>
            <w:r>
              <w:rPr>
                <w:rFonts w:hint="eastAsia"/>
                <w:sz w:val="24"/>
                <w:highlight w:val="none"/>
                <w:lang w:val="en-US" w:eastAsia="zh-CN"/>
              </w:rPr>
              <w:t>⑵建筑用砂治理区</w:t>
            </w:r>
          </w:p>
          <w:p>
            <w:pPr>
              <w:keepNext w:val="0"/>
              <w:keepLines w:val="0"/>
              <w:widowControl/>
              <w:numPr>
                <w:ilvl w:val="-1"/>
                <w:numId w:val="0"/>
              </w:numPr>
              <w:suppressLineNumbers w:val="0"/>
              <w:adjustRightInd w:val="0"/>
              <w:spacing w:line="360" w:lineRule="auto"/>
              <w:ind w:firstLine="480" w:firstLineChars="200"/>
              <w:jc w:val="left"/>
              <w:rPr>
                <w:rFonts w:hint="eastAsia" w:ascii="Times New Roman" w:hAnsi="Times New Roman" w:eastAsia="宋体" w:cs="Times New Roman"/>
                <w:kern w:val="2"/>
                <w:sz w:val="24"/>
                <w:szCs w:val="24"/>
                <w:highlight w:val="none"/>
                <w:lang w:val="en-US" w:eastAsia="zh-CN" w:bidi="ar"/>
              </w:rPr>
            </w:pPr>
            <w:r>
              <w:rPr>
                <w:rFonts w:hint="eastAsia"/>
                <w:sz w:val="24"/>
                <w:highlight w:val="none"/>
                <w:lang w:val="en-US" w:eastAsia="zh-CN"/>
              </w:rPr>
              <w:t>①</w:t>
            </w:r>
            <w:r>
              <w:rPr>
                <w:rFonts w:hint="eastAsia" w:ascii="Times New Roman" w:hAnsi="Times New Roman" w:eastAsia="宋体" w:cs="Times New Roman"/>
                <w:kern w:val="2"/>
                <w:sz w:val="24"/>
                <w:szCs w:val="24"/>
                <w:highlight w:val="none"/>
                <w:lang w:val="en-US" w:eastAsia="zh-CN" w:bidi="ar"/>
              </w:rPr>
              <w:t>土方回填压实</w:t>
            </w:r>
          </w:p>
          <w:p>
            <w:pPr>
              <w:widowControl/>
              <w:numPr>
                <w:ilvl w:val="0"/>
                <w:numId w:val="0"/>
              </w:numPr>
              <w:adjustRightInd w:val="0"/>
              <w:spacing w:line="360" w:lineRule="auto"/>
              <w:ind w:firstLine="480" w:firstLineChars="200"/>
              <w:rPr>
                <w:rFonts w:hint="eastAsia"/>
                <w:sz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
              </w:rPr>
              <w:t>主</w:t>
            </w:r>
            <w:r>
              <w:rPr>
                <w:rFonts w:ascii="Times New Roman" w:hAnsi="Times New Roman" w:eastAsia="宋体" w:cs="Times New Roman"/>
                <w:color w:val="auto"/>
                <w:kern w:val="2"/>
                <w:sz w:val="24"/>
                <w:szCs w:val="24"/>
                <w:highlight w:val="none"/>
                <w:lang w:val="en-US" w:eastAsia="zh-CN" w:bidi="ar"/>
              </w:rPr>
              <w:t>要将渣堆回填至尾坑，将</w:t>
            </w:r>
            <w:r>
              <w:rPr>
                <w:rFonts w:hint="default" w:ascii="Times New Roman" w:hAnsi="Times New Roman" w:eastAsia="宋体" w:cs="Times New Roman"/>
                <w:color w:val="auto"/>
                <w:kern w:val="2"/>
                <w:sz w:val="24"/>
                <w:szCs w:val="24"/>
                <w:highlight w:val="none"/>
                <w:lang w:val="en-US" w:eastAsia="zh-CN" w:bidi="ar"/>
              </w:rPr>
              <w:t>S1</w:t>
            </w:r>
            <w:r>
              <w:rPr>
                <w:rFonts w:hint="eastAsia" w:cs="Times New Roman"/>
                <w:kern w:val="2"/>
                <w:sz w:val="24"/>
                <w:szCs w:val="24"/>
                <w:highlight w:val="none"/>
                <w:lang w:val="en-US" w:eastAsia="zh-CN" w:bidi="ar"/>
              </w:rPr>
              <w:t>-1、</w:t>
            </w:r>
            <w:r>
              <w:rPr>
                <w:rFonts w:hint="eastAsia" w:ascii="Times New Roman" w:hAnsi="Times New Roman" w:eastAsia="宋体" w:cs="Times New Roman"/>
                <w:kern w:val="2"/>
                <w:sz w:val="24"/>
                <w:szCs w:val="24"/>
                <w:highlight w:val="none"/>
                <w:lang w:val="en-US" w:eastAsia="zh-CN" w:bidi="ar"/>
              </w:rPr>
              <w:t>S</w:t>
            </w:r>
            <w:r>
              <w:rPr>
                <w:rFonts w:hint="eastAsia" w:cs="Times New Roman"/>
                <w:kern w:val="2"/>
                <w:sz w:val="24"/>
                <w:szCs w:val="24"/>
                <w:highlight w:val="none"/>
                <w:lang w:val="en-US" w:eastAsia="zh-CN" w:bidi="ar"/>
              </w:rPr>
              <w:t>1-</w:t>
            </w:r>
            <w:r>
              <w:rPr>
                <w:rFonts w:hint="eastAsia" w:ascii="Times New Roman" w:hAnsi="Times New Roman" w:eastAsia="宋体" w:cs="Times New Roman"/>
                <w:kern w:val="2"/>
                <w:sz w:val="24"/>
                <w:szCs w:val="24"/>
                <w:highlight w:val="none"/>
                <w:lang w:val="en-US" w:eastAsia="zh-CN" w:bidi="ar"/>
              </w:rPr>
              <w:t>2</w:t>
            </w:r>
            <w:r>
              <w:rPr>
                <w:rFonts w:hint="eastAsia" w:cs="Times New Roman"/>
                <w:kern w:val="2"/>
                <w:sz w:val="24"/>
                <w:szCs w:val="24"/>
                <w:highlight w:val="none"/>
                <w:lang w:val="en-US" w:eastAsia="zh-CN" w:bidi="ar"/>
              </w:rPr>
              <w:t>、</w:t>
            </w:r>
            <w:r>
              <w:rPr>
                <w:rFonts w:hint="eastAsia" w:ascii="Times New Roman" w:hAnsi="Times New Roman" w:eastAsia="宋体" w:cs="Times New Roman"/>
                <w:kern w:val="2"/>
                <w:sz w:val="24"/>
                <w:szCs w:val="24"/>
                <w:highlight w:val="none"/>
                <w:lang w:val="en-US" w:eastAsia="zh-CN" w:bidi="ar"/>
              </w:rPr>
              <w:t>S</w:t>
            </w:r>
            <w:r>
              <w:rPr>
                <w:rFonts w:hint="eastAsia" w:cs="Times New Roman"/>
                <w:kern w:val="2"/>
                <w:sz w:val="24"/>
                <w:szCs w:val="24"/>
                <w:highlight w:val="none"/>
                <w:lang w:val="en-US" w:eastAsia="zh-CN" w:bidi="ar"/>
              </w:rPr>
              <w:t>1-</w:t>
            </w:r>
            <w:r>
              <w:rPr>
                <w:rFonts w:hint="eastAsia" w:ascii="Times New Roman" w:hAnsi="Times New Roman" w:eastAsia="宋体" w:cs="Times New Roman"/>
                <w:kern w:val="2"/>
                <w:sz w:val="24"/>
                <w:szCs w:val="24"/>
                <w:highlight w:val="none"/>
                <w:lang w:val="en-US" w:eastAsia="zh-CN" w:bidi="ar"/>
              </w:rPr>
              <w:t>3</w:t>
            </w:r>
            <w:r>
              <w:rPr>
                <w:rFonts w:hint="eastAsia" w:cs="Times New Roman"/>
                <w:kern w:val="2"/>
                <w:sz w:val="24"/>
                <w:szCs w:val="24"/>
                <w:highlight w:val="none"/>
                <w:lang w:val="en-US" w:eastAsia="zh-CN" w:bidi="ar"/>
              </w:rPr>
              <w:t>分别</w:t>
            </w:r>
            <w:r>
              <w:rPr>
                <w:rFonts w:ascii="Times New Roman" w:hAnsi="Times New Roman" w:eastAsia="宋体" w:cs="Times New Roman"/>
                <w:color w:val="auto"/>
                <w:kern w:val="2"/>
                <w:sz w:val="24"/>
                <w:szCs w:val="24"/>
                <w:highlight w:val="none"/>
                <w:lang w:val="en-US" w:eastAsia="zh-CN" w:bidi="ar"/>
              </w:rPr>
              <w:t>区分为</w:t>
            </w:r>
            <w:r>
              <w:rPr>
                <w:rFonts w:hint="default" w:ascii="Times New Roman" w:hAnsi="Times New Roman" w:eastAsia="宋体" w:cs="Times New Roman"/>
                <w:color w:val="auto"/>
                <w:kern w:val="2"/>
                <w:sz w:val="24"/>
                <w:szCs w:val="24"/>
                <w:highlight w:val="none"/>
                <w:lang w:val="en-US" w:eastAsia="zh-CN" w:bidi="ar"/>
              </w:rPr>
              <w:t>2</w:t>
            </w:r>
            <w:r>
              <w:rPr>
                <w:rFonts w:ascii="Times New Roman" w:hAnsi="Times New Roman" w:eastAsia="宋体" w:cs="Times New Roman"/>
                <w:color w:val="auto"/>
                <w:kern w:val="2"/>
                <w:sz w:val="24"/>
                <w:szCs w:val="24"/>
                <w:highlight w:val="none"/>
                <w:lang w:val="en-US" w:eastAsia="zh-CN" w:bidi="ar"/>
              </w:rPr>
              <w:t>个治理单元</w:t>
            </w:r>
            <w:r>
              <w:rPr>
                <w:rFonts w:hint="eastAsia" w:cs="Times New Roman"/>
                <w:kern w:val="2"/>
                <w:sz w:val="24"/>
                <w:szCs w:val="24"/>
                <w:highlight w:val="none"/>
                <w:lang w:val="en-US" w:eastAsia="zh-CN" w:bidi="ar"/>
              </w:rPr>
              <w:t>，</w:t>
            </w:r>
            <w:r>
              <w:rPr>
                <w:rFonts w:hint="eastAsia" w:ascii="Times New Roman" w:hAnsi="Times New Roman" w:eastAsia="宋体" w:cs="Times New Roman"/>
                <w:kern w:val="2"/>
                <w:sz w:val="24"/>
                <w:szCs w:val="24"/>
                <w:highlight w:val="none"/>
                <w:lang w:val="en-US" w:eastAsia="zh-CN" w:bidi="ar"/>
              </w:rPr>
              <w:t>将S</w:t>
            </w:r>
            <w:r>
              <w:rPr>
                <w:rFonts w:hint="eastAsia" w:cs="Times New Roman"/>
                <w:kern w:val="2"/>
                <w:sz w:val="24"/>
                <w:szCs w:val="24"/>
                <w:highlight w:val="none"/>
                <w:lang w:val="en-US" w:eastAsia="zh-CN" w:bidi="ar"/>
              </w:rPr>
              <w:t>1-</w:t>
            </w:r>
            <w:r>
              <w:rPr>
                <w:rFonts w:hint="eastAsia" w:ascii="Times New Roman" w:hAnsi="Times New Roman" w:eastAsia="宋体" w:cs="Times New Roman"/>
                <w:kern w:val="2"/>
                <w:sz w:val="24"/>
                <w:szCs w:val="24"/>
                <w:highlight w:val="none"/>
                <w:lang w:val="en-US" w:eastAsia="zh-CN" w:bidi="ar"/>
              </w:rPr>
              <w:t>4</w:t>
            </w:r>
            <w:r>
              <w:rPr>
                <w:rFonts w:hint="eastAsia" w:cs="Times New Roman"/>
                <w:kern w:val="2"/>
                <w:sz w:val="24"/>
                <w:szCs w:val="24"/>
                <w:highlight w:val="none"/>
                <w:lang w:val="en-US" w:eastAsia="zh-CN" w:bidi="ar"/>
              </w:rPr>
              <w:t>、</w:t>
            </w:r>
            <w:r>
              <w:rPr>
                <w:rFonts w:hint="eastAsia" w:ascii="Times New Roman" w:hAnsi="Times New Roman" w:eastAsia="宋体" w:cs="Times New Roman"/>
                <w:kern w:val="2"/>
                <w:sz w:val="24"/>
                <w:szCs w:val="24"/>
                <w:highlight w:val="none"/>
                <w:lang w:val="en-US" w:eastAsia="zh-CN" w:bidi="ar"/>
              </w:rPr>
              <w:t>S</w:t>
            </w:r>
            <w:r>
              <w:rPr>
                <w:rFonts w:hint="eastAsia" w:cs="Times New Roman"/>
                <w:kern w:val="2"/>
                <w:sz w:val="24"/>
                <w:szCs w:val="24"/>
                <w:highlight w:val="none"/>
                <w:lang w:val="en-US" w:eastAsia="zh-CN" w:bidi="ar"/>
              </w:rPr>
              <w:t>1-</w:t>
            </w:r>
            <w:r>
              <w:rPr>
                <w:rFonts w:hint="eastAsia" w:ascii="Times New Roman" w:hAnsi="Times New Roman" w:eastAsia="宋体" w:cs="Times New Roman"/>
                <w:kern w:val="2"/>
                <w:sz w:val="24"/>
                <w:szCs w:val="24"/>
                <w:highlight w:val="none"/>
                <w:lang w:val="en-US" w:eastAsia="zh-CN" w:bidi="ar"/>
              </w:rPr>
              <w:t>5</w:t>
            </w:r>
            <w:r>
              <w:rPr>
                <w:rFonts w:hint="eastAsia" w:cs="Times New Roman"/>
                <w:kern w:val="2"/>
                <w:sz w:val="24"/>
                <w:szCs w:val="24"/>
                <w:highlight w:val="none"/>
                <w:lang w:val="en-US" w:eastAsia="zh-CN" w:bidi="ar"/>
              </w:rPr>
              <w:t>分别</w:t>
            </w:r>
            <w:r>
              <w:rPr>
                <w:rFonts w:hint="eastAsia" w:ascii="Times New Roman" w:hAnsi="Times New Roman" w:eastAsia="宋体" w:cs="Times New Roman"/>
                <w:kern w:val="2"/>
                <w:sz w:val="24"/>
                <w:szCs w:val="24"/>
                <w:highlight w:val="none"/>
                <w:lang w:val="en-US" w:eastAsia="zh-CN" w:bidi="ar"/>
              </w:rPr>
              <w:t>区分为3个治理单元</w:t>
            </w:r>
            <w:r>
              <w:rPr>
                <w:rFonts w:hint="eastAsia" w:cs="Times New Roman"/>
                <w:kern w:val="2"/>
                <w:sz w:val="24"/>
                <w:szCs w:val="24"/>
                <w:highlight w:val="none"/>
                <w:lang w:val="en-US" w:eastAsia="zh-CN" w:bidi="ar"/>
              </w:rPr>
              <w:t>，S1</w:t>
            </w:r>
            <w:r>
              <w:rPr>
                <w:rFonts w:ascii="Times New Roman" w:hAnsi="Times New Roman" w:eastAsia="宋体" w:cs="Times New Roman"/>
                <w:kern w:val="2"/>
                <w:sz w:val="24"/>
                <w:szCs w:val="24"/>
                <w:highlight w:val="none"/>
                <w:lang w:val="en-US" w:eastAsia="zh-CN" w:bidi="ar"/>
              </w:rPr>
              <w:t>分区单元</w:t>
            </w:r>
            <w:r>
              <w:rPr>
                <w:rFonts w:hint="eastAsia" w:cs="Times New Roman"/>
                <w:kern w:val="2"/>
                <w:sz w:val="24"/>
                <w:szCs w:val="24"/>
                <w:highlight w:val="none"/>
                <w:lang w:val="en-US" w:eastAsia="zh-CN" w:bidi="ar"/>
              </w:rPr>
              <w:t>分别</w:t>
            </w:r>
            <w:r>
              <w:rPr>
                <w:rFonts w:ascii="Times New Roman" w:hAnsi="Times New Roman" w:eastAsia="宋体" w:cs="Times New Roman"/>
                <w:kern w:val="2"/>
                <w:sz w:val="24"/>
                <w:szCs w:val="24"/>
                <w:highlight w:val="none"/>
                <w:lang w:val="en-US" w:eastAsia="zh-CN" w:bidi="ar"/>
              </w:rPr>
              <w:t>见图</w:t>
            </w:r>
            <w:r>
              <w:rPr>
                <w:rFonts w:hint="eastAsia" w:cs="Times New Roman"/>
                <w:kern w:val="2"/>
                <w:sz w:val="24"/>
                <w:szCs w:val="24"/>
                <w:highlight w:val="none"/>
                <w:lang w:val="en-US" w:eastAsia="zh-CN" w:bidi="ar"/>
              </w:rPr>
              <w:t>1-10、图1-11、图1-12、图1-13及图1-14</w:t>
            </w:r>
            <w:r>
              <w:rPr>
                <w:rFonts w:ascii="Times New Roman" w:hAnsi="Times New Roman" w:eastAsia="宋体" w:cs="Times New Roman"/>
                <w:color w:val="auto"/>
                <w:kern w:val="2"/>
                <w:sz w:val="24"/>
                <w:szCs w:val="24"/>
                <w:highlight w:val="none"/>
                <w:lang w:val="en-US" w:eastAsia="zh-CN" w:bidi="ar"/>
              </w:rPr>
              <w:t>，地形设置</w:t>
            </w:r>
            <w:r>
              <w:rPr>
                <w:rFonts w:hint="default" w:ascii="Times New Roman" w:hAnsi="Times New Roman" w:eastAsia="宋体" w:cs="Times New Roman"/>
                <w:color w:val="auto"/>
                <w:kern w:val="2"/>
                <w:sz w:val="24"/>
                <w:szCs w:val="24"/>
                <w:highlight w:val="none"/>
                <w:lang w:val="en-US" w:eastAsia="zh-CN" w:bidi="ar"/>
              </w:rPr>
              <w:t>2%-3%</w:t>
            </w:r>
            <w:r>
              <w:rPr>
                <w:rFonts w:ascii="Times New Roman" w:hAnsi="Times New Roman" w:eastAsia="宋体" w:cs="Times New Roman"/>
                <w:color w:val="auto"/>
                <w:kern w:val="2"/>
                <w:sz w:val="24"/>
                <w:szCs w:val="24"/>
                <w:highlight w:val="none"/>
                <w:lang w:val="en-US" w:eastAsia="zh-CN" w:bidi="ar"/>
              </w:rPr>
              <w:t>坡度。</w:t>
            </w:r>
            <w:r>
              <w:rPr>
                <w:rFonts w:hint="eastAsia" w:cs="Times New Roman"/>
                <w:kern w:val="2"/>
                <w:sz w:val="24"/>
                <w:szCs w:val="24"/>
                <w:highlight w:val="none"/>
                <w:lang w:val="en-US" w:eastAsia="zh-CN" w:bidi="ar"/>
              </w:rPr>
              <w:t>总</w:t>
            </w:r>
            <w:r>
              <w:rPr>
                <w:rFonts w:ascii="Times New Roman" w:hAnsi="Times New Roman" w:eastAsia="宋体" w:cs="Times New Roman"/>
                <w:color w:val="auto"/>
                <w:kern w:val="2"/>
                <w:sz w:val="24"/>
                <w:szCs w:val="24"/>
                <w:highlight w:val="none"/>
                <w:lang w:val="en-US" w:eastAsia="zh-CN" w:bidi="ar"/>
              </w:rPr>
              <w:t>挖方量为</w:t>
            </w:r>
            <w:r>
              <w:rPr>
                <w:rFonts w:hint="eastAsia" w:cs="Times New Roman"/>
                <w:kern w:val="2"/>
                <w:sz w:val="24"/>
                <w:szCs w:val="24"/>
                <w:highlight w:val="none"/>
                <w:lang w:val="en-US" w:eastAsia="zh-CN" w:bidi="ar"/>
              </w:rPr>
              <w:t>282613.84</w:t>
            </w:r>
            <w:r>
              <w:rPr>
                <w:rFonts w:hint="default" w:ascii="Times New Roman" w:hAnsi="Times New Roman" w:eastAsia="宋体" w:cs="Times New Roman"/>
                <w:color w:val="auto"/>
                <w:kern w:val="2"/>
                <w:sz w:val="24"/>
                <w:szCs w:val="24"/>
                <w:highlight w:val="none"/>
                <w:lang w:val="en-US" w:eastAsia="zh-CN" w:bidi="ar"/>
              </w:rPr>
              <w:t>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w:t>
            </w:r>
            <w:r>
              <w:rPr>
                <w:rFonts w:hint="eastAsia" w:cs="Times New Roman"/>
                <w:kern w:val="2"/>
                <w:sz w:val="24"/>
                <w:szCs w:val="24"/>
                <w:highlight w:val="none"/>
                <w:lang w:val="en-US" w:eastAsia="zh-CN" w:bidi="ar"/>
              </w:rPr>
              <w:t>总</w:t>
            </w:r>
            <w:r>
              <w:rPr>
                <w:rFonts w:ascii="Times New Roman" w:hAnsi="Times New Roman" w:eastAsia="宋体" w:cs="Times New Roman"/>
                <w:color w:val="auto"/>
                <w:kern w:val="2"/>
                <w:sz w:val="24"/>
                <w:szCs w:val="24"/>
                <w:highlight w:val="none"/>
                <w:lang w:val="en-US" w:eastAsia="zh-CN" w:bidi="ar"/>
              </w:rPr>
              <w:t>填方量为</w:t>
            </w:r>
            <w:r>
              <w:rPr>
                <w:rFonts w:hint="eastAsia" w:cs="Times New Roman"/>
                <w:kern w:val="2"/>
                <w:sz w:val="24"/>
                <w:szCs w:val="24"/>
                <w:highlight w:val="none"/>
                <w:lang w:val="en-US" w:eastAsia="zh-CN" w:bidi="ar"/>
              </w:rPr>
              <w:t>282740.11</w:t>
            </w:r>
            <w:r>
              <w:rPr>
                <w:rFonts w:hint="default" w:ascii="Times New Roman" w:hAnsi="Times New Roman" w:eastAsia="宋体" w:cs="Times New Roman"/>
                <w:color w:val="auto"/>
                <w:kern w:val="2"/>
                <w:sz w:val="24"/>
                <w:szCs w:val="24"/>
                <w:highlight w:val="none"/>
                <w:lang w:val="en-US" w:eastAsia="zh-CN" w:bidi="ar"/>
              </w:rPr>
              <w:t>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，挖填方运距</w:t>
            </w:r>
            <w:r>
              <w:rPr>
                <w:rFonts w:hint="default" w:ascii="Times New Roman" w:hAnsi="Times New Roman" w:eastAsia="宋体" w:cs="Times New Roman"/>
                <w:color w:val="auto"/>
                <w:kern w:val="2"/>
                <w:sz w:val="24"/>
                <w:szCs w:val="24"/>
                <w:highlight w:val="none"/>
                <w:lang w:val="en-US" w:eastAsia="zh-CN" w:bidi="ar"/>
              </w:rPr>
              <w:t>500m</w:t>
            </w:r>
            <w:r>
              <w:rPr>
                <w:rFonts w:ascii="Times New Roman" w:hAnsi="Times New Roman" w:eastAsia="宋体" w:cs="Times New Roman"/>
                <w:color w:val="auto"/>
                <w:kern w:val="2"/>
                <w:sz w:val="24"/>
                <w:szCs w:val="24"/>
                <w:highlight w:val="none"/>
                <w:lang w:val="en-US" w:eastAsia="zh-CN" w:bidi="ar"/>
              </w:rPr>
              <w:t>以内。</w:t>
            </w:r>
          </w:p>
          <w:p>
            <w:pPr>
              <w:adjustRightInd w:val="0"/>
              <w:spacing w:line="360" w:lineRule="auto"/>
              <w:ind w:firstLine="480" w:firstLineChars="200"/>
              <w:rPr>
                <w:rFonts w:hint="eastAsia"/>
                <w:sz w:val="24"/>
                <w:highlight w:val="none"/>
                <w:lang w:val="en-US" w:eastAsia="zh-CN"/>
              </w:rPr>
            </w:pPr>
            <w:r>
              <w:rPr>
                <w:rFonts w:hint="eastAsia"/>
                <w:sz w:val="24"/>
                <w:highlight w:val="none"/>
                <w:lang w:val="en-US" w:eastAsia="zh-CN"/>
              </w:rPr>
              <w:t>②土地平整</w:t>
            </w:r>
          </w:p>
          <w:p>
            <w:pPr>
              <w:widowControl/>
              <w:numPr>
                <w:ilvl w:val="0"/>
                <w:numId w:val="0"/>
              </w:numPr>
              <w:adjustRightInd w:val="0"/>
              <w:spacing w:line="360" w:lineRule="auto"/>
              <w:ind w:firstLine="480" w:firstLineChars="200"/>
              <w:jc w:val="left"/>
              <w:rPr>
                <w:rFonts w:hint="eastAsia" w:ascii="Times New Roman" w:hAnsi="Times New Roman" w:eastAsia="宋体" w:cs="Times New Roman"/>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将回填后的土方</w:t>
            </w:r>
            <w:r>
              <w:rPr>
                <w:rFonts w:hint="eastAsia"/>
                <w:b w:val="0"/>
                <w:bCs w:val="0"/>
                <w:sz w:val="24"/>
                <w:highlight w:val="none"/>
                <w:lang w:val="en-US" w:eastAsia="zh-CN" w:bidi="ar"/>
              </w:rPr>
              <w:t>采用推土机推土平整</w:t>
            </w:r>
            <w:r>
              <w:rPr>
                <w:rFonts w:hint="eastAsia" w:ascii="Times New Roman" w:hAnsi="Times New Roman" w:eastAsia="宋体" w:cs="Times New Roman"/>
                <w:color w:val="auto"/>
                <w:kern w:val="2"/>
                <w:sz w:val="24"/>
                <w:szCs w:val="24"/>
                <w:highlight w:val="none"/>
                <w:lang w:val="en-US" w:eastAsia="zh-CN" w:bidi="ar"/>
              </w:rPr>
              <w:t>，土地平整工程量为</w:t>
            </w:r>
            <w:r>
              <w:rPr>
                <w:rFonts w:hint="eastAsia" w:cs="Times New Roman"/>
                <w:sz w:val="24"/>
                <w:highlight w:val="none"/>
                <w:lang w:val="en-US" w:eastAsia="zh-CN" w:bidi="ar"/>
              </w:rPr>
              <w:t>62460</w:t>
            </w:r>
            <w:r>
              <w:rPr>
                <w:rFonts w:hint="eastAsia" w:ascii="Times New Roman" w:hAnsi="Times New Roman" w:eastAsia="宋体" w:cs="Times New Roman"/>
                <w:sz w:val="24"/>
                <w:highlight w:val="none"/>
                <w:lang w:bidi="ar"/>
              </w:rPr>
              <w:t>m</w:t>
            </w:r>
            <w:r>
              <w:rPr>
                <w:rFonts w:hint="eastAsia" w:ascii="Times New Roman" w:hAnsi="Times New Roman" w:eastAsia="宋体" w:cs="Times New Roman"/>
                <w:sz w:val="24"/>
                <w:highlight w:val="none"/>
                <w:vertAlign w:val="superscript"/>
                <w:lang w:bidi="ar"/>
              </w:rPr>
              <w:t>3</w:t>
            </w:r>
            <w:r>
              <w:rPr>
                <w:rFonts w:hint="eastAsia" w:ascii="Times New Roman" w:hAnsi="Times New Roman" w:eastAsia="宋体" w:cs="Times New Roman"/>
                <w:color w:val="auto"/>
                <w:kern w:val="2"/>
                <w:sz w:val="24"/>
                <w:szCs w:val="24"/>
                <w:highlight w:val="none"/>
                <w:lang w:val="en-US" w:eastAsia="zh-CN" w:bidi="ar"/>
              </w:rPr>
              <w:t>。土地平整时应将复垦为旱地区域进行重点平整，使其表土厚度大于0.50m。</w:t>
            </w:r>
          </w:p>
          <w:p>
            <w:pPr>
              <w:adjustRightInd w:val="0"/>
              <w:spacing w:line="360" w:lineRule="auto"/>
              <w:ind w:firstLine="480" w:firstLineChars="200"/>
              <w:rPr>
                <w:rFonts w:hint="eastAsia" w:cs="Times New Roman"/>
                <w:b w:val="0"/>
                <w:bCs w:val="0"/>
                <w:sz w:val="24"/>
                <w:highlight w:val="none"/>
                <w:lang w:val="en-US" w:eastAsia="zh-CN"/>
              </w:rPr>
            </w:pPr>
            <w:r>
              <w:rPr>
                <w:rFonts w:hint="eastAsia" w:ascii="Times New Roman" w:hAnsi="Times New Roman" w:cs="Times New Roman"/>
                <w:sz w:val="24"/>
                <w:highlight w:val="none"/>
                <w:lang w:val="en-US" w:eastAsia="zh-CN"/>
              </w:rPr>
              <w:t>③</w:t>
            </w:r>
            <w:r>
              <w:rPr>
                <w:rFonts w:hint="eastAsia" w:cs="Times New Roman"/>
                <w:b w:val="0"/>
                <w:bCs w:val="0"/>
                <w:sz w:val="24"/>
                <w:highlight w:val="none"/>
                <w:lang w:val="en-US" w:eastAsia="zh-CN"/>
              </w:rPr>
              <w:t>植被恢复</w:t>
            </w:r>
          </w:p>
          <w:p>
            <w:pPr>
              <w:adjustRightInd w:val="0"/>
              <w:spacing w:line="360" w:lineRule="auto"/>
              <w:ind w:firstLine="480" w:firstLineChars="200"/>
              <w:rPr>
                <w:rFonts w:hint="eastAsia"/>
                <w:sz w:val="24"/>
                <w:highlight w:val="none"/>
                <w:vertAlign w:val="baseline"/>
                <w:lang w:eastAsia="zh-CN" w:bidi="ar"/>
              </w:rPr>
            </w:pPr>
            <w:r>
              <w:rPr>
                <w:rFonts w:hint="eastAsia"/>
                <w:sz w:val="24"/>
                <w:highlight w:val="none"/>
                <w:lang w:val="en-US" w:eastAsia="zh-CN"/>
              </w:rPr>
              <w:t>建筑用砂治理区土方工程完工后，对整个治理区进行种植规划，</w:t>
            </w:r>
            <w:r>
              <w:rPr>
                <w:rFonts w:hint="eastAsia" w:ascii="Times New Roman" w:hAnsi="Times New Roman" w:eastAsia="宋体" w:cs="Times New Roman"/>
                <w:kern w:val="2"/>
                <w:sz w:val="24"/>
                <w:szCs w:val="24"/>
                <w:highlight w:val="none"/>
                <w:lang w:val="en-US" w:eastAsia="zh-CN" w:bidi="ar"/>
              </w:rPr>
              <w:t>本次治理工程植被修复以种草为主。选择扁穗冰草、芨芨草、沙蒿，采用条播种草方式。带状条播，播种带幅15cm左右，采用简单机械开沟、撒种、复土、压实，边坡处条带应顺着边坡走向、垂直于边坡倾向，以促进蓄水保土。控制单位长度播种量，播种量为30kg/hm</w:t>
            </w:r>
            <w:r>
              <w:rPr>
                <w:rFonts w:hint="eastAsia" w:ascii="Times New Roman" w:hAnsi="Times New Roman" w:eastAsia="宋体" w:cs="Times New Roman"/>
                <w:kern w:val="2"/>
                <w:sz w:val="24"/>
                <w:szCs w:val="24"/>
                <w:highlight w:val="none"/>
                <w:vertAlign w:val="superscript"/>
                <w:lang w:val="en-US" w:eastAsia="zh-CN" w:bidi="ar"/>
              </w:rPr>
              <w:t>2</w:t>
            </w:r>
            <w:r>
              <w:rPr>
                <w:rFonts w:hint="eastAsia" w:ascii="Times New Roman" w:hAnsi="Times New Roman" w:eastAsia="宋体" w:cs="Times New Roman"/>
                <w:kern w:val="2"/>
                <w:sz w:val="24"/>
                <w:szCs w:val="24"/>
                <w:highlight w:val="none"/>
                <w:lang w:val="en-US" w:eastAsia="zh-CN" w:bidi="ar"/>
              </w:rPr>
              <w:t>，将扁穗冰草、芨芨草、沙蒿种子按1：1：1等比例混合条播方式进行种植。</w:t>
            </w:r>
            <w:r>
              <w:rPr>
                <w:rFonts w:hint="eastAsia"/>
                <w:sz w:val="24"/>
                <w:highlight w:val="none"/>
                <w:lang w:eastAsia="zh-CN" w:bidi="ar"/>
              </w:rPr>
              <w:t>种草</w:t>
            </w:r>
            <w:r>
              <w:rPr>
                <w:rFonts w:hint="eastAsia"/>
                <w:sz w:val="24"/>
                <w:highlight w:val="none"/>
                <w:lang w:bidi="ar"/>
              </w:rPr>
              <w:t>总面积</w:t>
            </w:r>
            <w:r>
              <w:rPr>
                <w:rFonts w:hint="eastAsia"/>
                <w:sz w:val="24"/>
                <w:highlight w:val="none"/>
                <w:lang w:val="en-US" w:eastAsia="zh-CN" w:bidi="ar"/>
              </w:rPr>
              <w:t>31.63</w:t>
            </w:r>
            <w:r>
              <w:rPr>
                <w:rFonts w:hint="eastAsia"/>
                <w:sz w:val="24"/>
                <w:highlight w:val="none"/>
                <w:lang w:bidi="ar"/>
              </w:rPr>
              <w:t>hm</w:t>
            </w:r>
            <w:r>
              <w:rPr>
                <w:rFonts w:hint="eastAsia"/>
                <w:sz w:val="24"/>
                <w:highlight w:val="none"/>
                <w:vertAlign w:val="superscript"/>
                <w:lang w:bidi="ar"/>
              </w:rPr>
              <w:t>2</w:t>
            </w:r>
            <w:r>
              <w:rPr>
                <w:rFonts w:hint="eastAsia"/>
                <w:sz w:val="24"/>
                <w:highlight w:val="none"/>
                <w:vertAlign w:val="baseline"/>
                <w:lang w:eastAsia="zh-CN" w:bidi="ar"/>
              </w:rPr>
              <w:t>。</w:t>
            </w:r>
          </w:p>
          <w:p>
            <w:pPr>
              <w:adjustRightInd w:val="0"/>
              <w:spacing w:line="360" w:lineRule="auto"/>
              <w:ind w:firstLine="480" w:firstLineChars="200"/>
              <w:rPr>
                <w:rFonts w:hint="eastAsia" w:ascii="Times New Roman" w:hAnsi="Times New Roman" w:cs="Times New Roman"/>
                <w:b w:val="0"/>
                <w:bCs w:val="0"/>
                <w:sz w:val="24"/>
                <w:highlight w:val="none"/>
                <w:lang w:val="en-US" w:eastAsia="zh-CN"/>
              </w:rPr>
            </w:pPr>
            <w:r>
              <w:rPr>
                <w:rFonts w:hint="eastAsia"/>
                <w:sz w:val="24"/>
                <w:highlight w:val="none"/>
                <w:lang w:val="en-US" w:eastAsia="zh-CN"/>
              </w:rPr>
              <w:t>④</w:t>
            </w:r>
            <w:r>
              <w:rPr>
                <w:rFonts w:hint="eastAsia" w:cs="Times New Roman"/>
                <w:sz w:val="24"/>
                <w:highlight w:val="none"/>
                <w:lang w:val="en-US" w:eastAsia="zh-CN"/>
              </w:rPr>
              <w:t>土地翻耕</w:t>
            </w:r>
          </w:p>
          <w:p>
            <w:pPr>
              <w:keepNext w:val="0"/>
              <w:keepLines w:val="0"/>
              <w:widowControl/>
              <w:suppressLineNumbers w:val="0"/>
              <w:adjustRightInd w:val="0"/>
              <w:spacing w:line="360" w:lineRule="auto"/>
              <w:ind w:firstLine="480" w:firstLineChars="200"/>
              <w:jc w:val="left"/>
              <w:rPr>
                <w:rFonts w:hint="eastAsia"/>
                <w:sz w:val="24"/>
                <w:highlight w:val="none"/>
              </w:rPr>
            </w:pPr>
            <w:r>
              <w:rPr>
                <w:rFonts w:hint="eastAsia" w:ascii="Times New Roman" w:hAnsi="Times New Roman" w:eastAsia="宋体" w:cs="Times New Roman"/>
                <w:color w:val="auto"/>
                <w:kern w:val="2"/>
                <w:sz w:val="24"/>
                <w:szCs w:val="24"/>
                <w:highlight w:val="none"/>
                <w:lang w:val="en-US" w:eastAsia="zh-CN" w:bidi="ar"/>
              </w:rPr>
              <w:t>该区黄土层较厚，本次设计不进行表土回覆，土地平整后仅进行土地翻耕，使损毁土地表面的土壤能达到耕作、种植的要求，用犁地机、旋耕机，对土壤进行松土，翻耕深度为20cm。对S</w:t>
            </w:r>
            <w:r>
              <w:rPr>
                <w:rFonts w:hint="eastAsia" w:cs="Times New Roman"/>
                <w:kern w:val="2"/>
                <w:sz w:val="24"/>
                <w:szCs w:val="24"/>
                <w:highlight w:val="none"/>
                <w:lang w:val="en-US" w:eastAsia="zh-CN" w:bidi="ar"/>
              </w:rPr>
              <w:t>1-</w:t>
            </w:r>
            <w:r>
              <w:rPr>
                <w:rFonts w:hint="eastAsia" w:ascii="Times New Roman" w:hAnsi="Times New Roman" w:eastAsia="宋体" w:cs="Times New Roman"/>
                <w:color w:val="auto"/>
                <w:kern w:val="2"/>
                <w:sz w:val="24"/>
                <w:szCs w:val="24"/>
                <w:highlight w:val="none"/>
                <w:lang w:val="en-US" w:eastAsia="zh-CN" w:bidi="ar"/>
              </w:rPr>
              <w:t>1区、S</w:t>
            </w:r>
            <w:r>
              <w:rPr>
                <w:rFonts w:hint="eastAsia" w:cs="Times New Roman"/>
                <w:kern w:val="2"/>
                <w:sz w:val="24"/>
                <w:szCs w:val="24"/>
                <w:highlight w:val="none"/>
                <w:lang w:val="en-US" w:eastAsia="zh-CN" w:bidi="ar"/>
              </w:rPr>
              <w:t>1-</w:t>
            </w:r>
            <w:r>
              <w:rPr>
                <w:rFonts w:hint="eastAsia" w:ascii="Times New Roman" w:hAnsi="Times New Roman" w:eastAsia="宋体" w:cs="Times New Roman"/>
                <w:color w:val="auto"/>
                <w:kern w:val="2"/>
                <w:sz w:val="24"/>
                <w:szCs w:val="24"/>
                <w:highlight w:val="none"/>
                <w:lang w:val="en-US" w:eastAsia="zh-CN" w:bidi="ar"/>
              </w:rPr>
              <w:t>3区、S</w:t>
            </w:r>
            <w:r>
              <w:rPr>
                <w:rFonts w:hint="eastAsia" w:cs="Times New Roman"/>
                <w:kern w:val="2"/>
                <w:sz w:val="24"/>
                <w:szCs w:val="24"/>
                <w:highlight w:val="none"/>
                <w:lang w:val="en-US" w:eastAsia="zh-CN" w:bidi="ar"/>
              </w:rPr>
              <w:t>1-</w:t>
            </w:r>
            <w:r>
              <w:rPr>
                <w:rFonts w:hint="eastAsia" w:ascii="Times New Roman" w:hAnsi="Times New Roman" w:eastAsia="宋体" w:cs="Times New Roman"/>
                <w:color w:val="auto"/>
                <w:kern w:val="2"/>
                <w:sz w:val="24"/>
                <w:szCs w:val="24"/>
                <w:highlight w:val="none"/>
                <w:lang w:val="en-US" w:eastAsia="zh-CN" w:bidi="ar"/>
              </w:rPr>
              <w:t>4区部分复垦为旱地的区域进行土地翻耕培肥。培肥区增施有机肥料，施肥标准220kg/亩。土地翻耕</w:t>
            </w:r>
            <w:r>
              <w:rPr>
                <w:rFonts w:hint="eastAsia" w:cs="Times New Roman"/>
                <w:kern w:val="2"/>
                <w:sz w:val="24"/>
                <w:szCs w:val="24"/>
                <w:highlight w:val="none"/>
                <w:lang w:val="en-US" w:eastAsia="zh-CN" w:bidi="ar"/>
              </w:rPr>
              <w:t>总</w:t>
            </w:r>
            <w:r>
              <w:rPr>
                <w:rFonts w:hint="eastAsia" w:ascii="Times New Roman" w:hAnsi="Times New Roman" w:eastAsia="宋体" w:cs="Times New Roman"/>
                <w:color w:val="auto"/>
                <w:kern w:val="2"/>
                <w:sz w:val="24"/>
                <w:szCs w:val="24"/>
                <w:highlight w:val="none"/>
                <w:lang w:val="en-US" w:eastAsia="zh-CN" w:bidi="ar"/>
              </w:rPr>
              <w:t>面积</w:t>
            </w:r>
            <w:r>
              <w:rPr>
                <w:rFonts w:hint="eastAsia" w:cs="Times New Roman"/>
                <w:kern w:val="2"/>
                <w:sz w:val="24"/>
                <w:szCs w:val="24"/>
                <w:highlight w:val="none"/>
                <w:lang w:val="en-US" w:eastAsia="zh-CN" w:bidi="ar"/>
              </w:rPr>
              <w:t>为29.72</w:t>
            </w:r>
            <w:r>
              <w:rPr>
                <w:rFonts w:hint="eastAsia" w:ascii="Times New Roman" w:hAnsi="Times New Roman" w:eastAsia="宋体" w:cs="Times New Roman"/>
                <w:kern w:val="2"/>
                <w:sz w:val="24"/>
                <w:szCs w:val="24"/>
                <w:highlight w:val="none"/>
                <w:lang w:val="en-US" w:eastAsia="zh-CN" w:bidi="ar"/>
              </w:rPr>
              <w:t>hm</w:t>
            </w:r>
            <w:r>
              <w:rPr>
                <w:rFonts w:hint="eastAsia" w:ascii="Times New Roman" w:hAnsi="Times New Roman" w:eastAsia="宋体" w:cs="Times New Roman"/>
                <w:kern w:val="2"/>
                <w:sz w:val="24"/>
                <w:szCs w:val="24"/>
                <w:highlight w:val="none"/>
                <w:vertAlign w:val="superscript"/>
                <w:lang w:val="en-US" w:eastAsia="zh-CN" w:bidi="ar"/>
              </w:rPr>
              <w:t>2</w:t>
            </w:r>
            <w:r>
              <w:rPr>
                <w:rFonts w:hint="eastAsia" w:ascii="Times New Roman" w:hAnsi="Times New Roman" w:eastAsia="宋体" w:cs="Times New Roman"/>
                <w:color w:val="auto"/>
                <w:kern w:val="2"/>
                <w:sz w:val="24"/>
                <w:szCs w:val="24"/>
                <w:highlight w:val="none"/>
                <w:lang w:val="en-US" w:eastAsia="zh-CN" w:bidi="ar"/>
              </w:rPr>
              <w:t>，土地翻耕培肥面积</w:t>
            </w:r>
            <w:r>
              <w:rPr>
                <w:rFonts w:hint="eastAsia" w:cs="Times New Roman"/>
                <w:kern w:val="2"/>
                <w:sz w:val="24"/>
                <w:szCs w:val="24"/>
                <w:highlight w:val="none"/>
                <w:lang w:val="en-US" w:eastAsia="zh-CN" w:bidi="ar"/>
              </w:rPr>
              <w:t>为</w:t>
            </w:r>
            <w:r>
              <w:rPr>
                <w:rFonts w:hint="eastAsia" w:ascii="Times New Roman" w:hAnsi="Times New Roman" w:eastAsia="宋体" w:cs="Times New Roman"/>
                <w:color w:val="auto"/>
                <w:kern w:val="2"/>
                <w:sz w:val="24"/>
                <w:szCs w:val="24"/>
                <w:highlight w:val="none"/>
                <w:lang w:val="en-US" w:eastAsia="zh-CN" w:bidi="ar"/>
              </w:rPr>
              <w:t>1.</w:t>
            </w:r>
            <w:r>
              <w:rPr>
                <w:rFonts w:hint="eastAsia" w:cs="Times New Roman"/>
                <w:kern w:val="2"/>
                <w:sz w:val="24"/>
                <w:szCs w:val="24"/>
                <w:highlight w:val="none"/>
                <w:lang w:val="en-US" w:eastAsia="zh-CN" w:bidi="ar"/>
              </w:rPr>
              <w:t>82</w:t>
            </w:r>
            <w:r>
              <w:rPr>
                <w:rFonts w:hint="eastAsia" w:ascii="Times New Roman" w:hAnsi="Times New Roman" w:eastAsia="宋体" w:cs="Times New Roman"/>
                <w:color w:val="auto"/>
                <w:kern w:val="2"/>
                <w:sz w:val="24"/>
                <w:szCs w:val="24"/>
                <w:highlight w:val="none"/>
                <w:lang w:val="en-US" w:eastAsia="zh-CN" w:bidi="ar"/>
              </w:rPr>
              <w:t>hm</w:t>
            </w:r>
            <w:r>
              <w:rPr>
                <w:rFonts w:hint="eastAsia" w:ascii="Times New Roman" w:hAnsi="Times New Roman" w:eastAsia="宋体" w:cs="Times New Roman"/>
                <w:color w:val="auto"/>
                <w:kern w:val="2"/>
                <w:sz w:val="24"/>
                <w:szCs w:val="24"/>
                <w:highlight w:val="none"/>
                <w:vertAlign w:val="superscript"/>
                <w:lang w:val="en-US" w:eastAsia="zh-CN" w:bidi="ar"/>
              </w:rPr>
              <w:t>2</w:t>
            </w:r>
            <w:r>
              <w:rPr>
                <w:rFonts w:hint="eastAsia" w:ascii="Times New Roman" w:hAnsi="Times New Roman" w:eastAsia="宋体" w:cs="Times New Roman"/>
                <w:color w:val="auto"/>
                <w:kern w:val="2"/>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黑体" w:cs="Times New Roman"/>
                <w:sz w:val="24"/>
                <w:highlight w:val="none"/>
                <w:lang w:val="en-US" w:eastAsia="zh-CN"/>
              </w:rPr>
            </w:pPr>
            <w:r>
              <w:rPr>
                <w:rFonts w:hint="eastAsia" w:ascii="Times New Roman" w:hAnsi="Times New Roman" w:eastAsia="黑体" w:cs="Times New Roman"/>
                <w:sz w:val="24"/>
                <w:highlight w:val="none"/>
                <w:lang w:val="en-US" w:eastAsia="zh-CN"/>
              </w:rPr>
              <w:t>6、施工土石方平衡</w:t>
            </w:r>
          </w:p>
          <w:p>
            <w:pPr>
              <w:adjustRightInd w:val="0"/>
              <w:snapToGrid/>
              <w:spacing w:line="360" w:lineRule="auto"/>
              <w:ind w:firstLine="480" w:firstLineChars="200"/>
              <w:jc w:val="left"/>
              <w:rPr>
                <w:rFonts w:hint="eastAsia" w:ascii="Times New Roman" w:hAnsi="Times New Roman" w:eastAsia="黑体" w:cs="Times New Roman"/>
                <w:sz w:val="24"/>
                <w:highlight w:val="none"/>
                <w:lang w:val="en-US" w:eastAsia="zh-CN"/>
              </w:rPr>
            </w:pPr>
            <w:r>
              <w:rPr>
                <w:rFonts w:hint="eastAsia"/>
                <w:sz w:val="24"/>
                <w:highlight w:val="none"/>
                <w:lang w:val="en-US" w:eastAsia="zh-CN"/>
              </w:rPr>
              <w:t>本项目治理区总挖方量为</w:t>
            </w:r>
            <w:r>
              <w:rPr>
                <w:rFonts w:hint="eastAsia" w:ascii="Times New Roman" w:hAnsi="Times New Roman" w:eastAsia="宋体" w:cs="Times New Roman"/>
                <w:i w:val="0"/>
                <w:color w:val="auto"/>
                <w:kern w:val="2"/>
                <w:sz w:val="24"/>
                <w:szCs w:val="24"/>
                <w:highlight w:val="none"/>
                <w:u w:val="none"/>
                <w:lang w:val="en-US" w:eastAsia="zh-CN" w:bidi="ar"/>
              </w:rPr>
              <w:t>651380.49</w:t>
            </w:r>
            <w:r>
              <w:rPr>
                <w:rFonts w:hint="eastAsia"/>
                <w:sz w:val="24"/>
                <w:highlight w:val="none"/>
                <w:lang w:val="en-US" w:eastAsia="zh-CN"/>
              </w:rPr>
              <w:t>m</w:t>
            </w:r>
            <w:r>
              <w:rPr>
                <w:rFonts w:hint="eastAsia"/>
                <w:sz w:val="24"/>
                <w:highlight w:val="none"/>
                <w:vertAlign w:val="superscript"/>
                <w:lang w:val="en-US" w:eastAsia="zh-CN"/>
              </w:rPr>
              <w:t>3</w:t>
            </w:r>
            <w:r>
              <w:rPr>
                <w:rFonts w:hint="eastAsia"/>
                <w:sz w:val="24"/>
                <w:highlight w:val="none"/>
                <w:lang w:val="en-US" w:eastAsia="zh-CN"/>
              </w:rPr>
              <w:t>，回填总土方量为</w:t>
            </w:r>
            <w:r>
              <w:rPr>
                <w:rFonts w:hint="eastAsia" w:ascii="Times New Roman" w:hAnsi="Times New Roman" w:eastAsia="宋体" w:cs="Times New Roman"/>
                <w:i w:val="0"/>
                <w:color w:val="auto"/>
                <w:kern w:val="2"/>
                <w:sz w:val="24"/>
                <w:szCs w:val="24"/>
                <w:highlight w:val="none"/>
                <w:u w:val="none"/>
                <w:lang w:val="en-US" w:eastAsia="zh-CN" w:bidi="ar"/>
              </w:rPr>
              <w:t>650896.74</w:t>
            </w:r>
            <w:r>
              <w:rPr>
                <w:rFonts w:hint="eastAsia"/>
                <w:sz w:val="24"/>
                <w:highlight w:val="none"/>
                <w:lang w:val="en-US" w:eastAsia="zh-CN"/>
              </w:rPr>
              <w:t>m</w:t>
            </w:r>
            <w:r>
              <w:rPr>
                <w:rFonts w:hint="eastAsia"/>
                <w:sz w:val="24"/>
                <w:highlight w:val="none"/>
                <w:vertAlign w:val="superscript"/>
                <w:lang w:val="en-US" w:eastAsia="zh-CN"/>
              </w:rPr>
              <w:t>3</w:t>
            </w:r>
            <w:r>
              <w:rPr>
                <w:rFonts w:hint="eastAsia"/>
                <w:sz w:val="24"/>
                <w:highlight w:val="none"/>
                <w:lang w:val="en-US" w:eastAsia="zh-CN"/>
              </w:rPr>
              <w:t>，总削坡量为</w:t>
            </w:r>
            <w:r>
              <w:rPr>
                <w:rFonts w:hint="eastAsia" w:cs="Times New Roman"/>
                <w:bCs w:val="0"/>
                <w:i w:val="0"/>
                <w:color w:val="auto"/>
                <w:kern w:val="2"/>
                <w:sz w:val="24"/>
                <w:szCs w:val="24"/>
                <w:highlight w:val="none"/>
                <w:u w:val="none"/>
                <w:lang w:val="en-US" w:eastAsia="zh-CN" w:bidi="ar"/>
              </w:rPr>
              <w:t>91062</w:t>
            </w:r>
            <w:r>
              <w:rPr>
                <w:rFonts w:hint="eastAsia"/>
                <w:sz w:val="24"/>
                <w:highlight w:val="none"/>
                <w:lang w:val="en-US" w:eastAsia="zh-CN"/>
              </w:rPr>
              <w:t>m</w:t>
            </w:r>
            <w:r>
              <w:rPr>
                <w:rFonts w:hint="eastAsia"/>
                <w:sz w:val="24"/>
                <w:highlight w:val="none"/>
                <w:vertAlign w:val="superscript"/>
                <w:lang w:val="en-US" w:eastAsia="zh-CN"/>
              </w:rPr>
              <w:t>3</w:t>
            </w:r>
            <w:r>
              <w:rPr>
                <w:rFonts w:hint="eastAsia"/>
                <w:sz w:val="24"/>
                <w:highlight w:val="none"/>
                <w:vertAlign w:val="baseline"/>
                <w:lang w:val="en-US" w:eastAsia="zh-CN"/>
              </w:rPr>
              <w:t>，</w:t>
            </w:r>
            <w:r>
              <w:rPr>
                <w:rFonts w:hint="eastAsia"/>
                <w:sz w:val="24"/>
                <w:highlight w:val="none"/>
                <w:lang w:val="en-US" w:eastAsia="zh-CN"/>
              </w:rPr>
              <w:t>其中煤炭治理区总挖方量368766.65m</w:t>
            </w:r>
            <w:r>
              <w:rPr>
                <w:rFonts w:hint="eastAsia"/>
                <w:sz w:val="24"/>
                <w:highlight w:val="none"/>
                <w:vertAlign w:val="superscript"/>
                <w:lang w:val="en-US" w:eastAsia="zh-CN"/>
              </w:rPr>
              <w:t>3</w:t>
            </w:r>
            <w:r>
              <w:rPr>
                <w:rFonts w:hint="eastAsia"/>
                <w:sz w:val="24"/>
                <w:highlight w:val="none"/>
                <w:lang w:val="en-US" w:eastAsia="zh-CN"/>
              </w:rPr>
              <w:t>，回填土方量368156.63m</w:t>
            </w:r>
            <w:r>
              <w:rPr>
                <w:rFonts w:hint="eastAsia"/>
                <w:sz w:val="24"/>
                <w:highlight w:val="none"/>
                <w:vertAlign w:val="superscript"/>
                <w:lang w:val="en-US" w:eastAsia="zh-CN"/>
              </w:rPr>
              <w:t>3</w:t>
            </w:r>
            <w:r>
              <w:rPr>
                <w:rFonts w:hint="eastAsia"/>
                <w:sz w:val="24"/>
                <w:highlight w:val="none"/>
                <w:lang w:val="en-US" w:eastAsia="zh-CN"/>
              </w:rPr>
              <w:t>，总削坡量为</w:t>
            </w:r>
            <w:r>
              <w:rPr>
                <w:rFonts w:hint="eastAsia" w:cs="Times New Roman"/>
                <w:bCs w:val="0"/>
                <w:i w:val="0"/>
                <w:kern w:val="2"/>
                <w:sz w:val="24"/>
                <w:szCs w:val="24"/>
                <w:highlight w:val="none"/>
                <w:u w:val="none"/>
                <w:lang w:val="en-US" w:eastAsia="zh-CN" w:bidi="ar"/>
              </w:rPr>
              <w:t>91062</w:t>
            </w:r>
            <w:r>
              <w:rPr>
                <w:rFonts w:hint="eastAsia"/>
                <w:sz w:val="24"/>
                <w:highlight w:val="none"/>
                <w:lang w:val="en-US" w:eastAsia="zh-CN"/>
              </w:rPr>
              <w:t>m</w:t>
            </w:r>
            <w:r>
              <w:rPr>
                <w:rFonts w:hint="eastAsia"/>
                <w:sz w:val="24"/>
                <w:highlight w:val="none"/>
                <w:vertAlign w:val="superscript"/>
                <w:lang w:val="en-US" w:eastAsia="zh-CN"/>
              </w:rPr>
              <w:t>3</w:t>
            </w:r>
            <w:r>
              <w:rPr>
                <w:rFonts w:hint="eastAsia"/>
                <w:sz w:val="24"/>
                <w:highlight w:val="none"/>
                <w:vertAlign w:val="baseline"/>
                <w:lang w:val="en-US" w:eastAsia="zh-CN"/>
              </w:rPr>
              <w:t>；</w:t>
            </w:r>
            <w:r>
              <w:rPr>
                <w:rFonts w:hint="eastAsia"/>
                <w:sz w:val="24"/>
                <w:highlight w:val="none"/>
                <w:lang w:val="en-US" w:eastAsia="zh-CN"/>
              </w:rPr>
              <w:t>建筑用砂治理区总挖方量282613.84m</w:t>
            </w:r>
            <w:r>
              <w:rPr>
                <w:rFonts w:hint="eastAsia"/>
                <w:sz w:val="24"/>
                <w:highlight w:val="none"/>
                <w:vertAlign w:val="superscript"/>
                <w:lang w:val="en-US" w:eastAsia="zh-CN"/>
              </w:rPr>
              <w:t>3</w:t>
            </w:r>
            <w:r>
              <w:rPr>
                <w:rFonts w:hint="eastAsia"/>
                <w:sz w:val="24"/>
                <w:highlight w:val="none"/>
                <w:lang w:val="en-US" w:eastAsia="zh-CN"/>
              </w:rPr>
              <w:t>，回填土方量282740.11m</w:t>
            </w:r>
            <w:r>
              <w:rPr>
                <w:rFonts w:hint="eastAsia"/>
                <w:sz w:val="24"/>
                <w:highlight w:val="none"/>
                <w:vertAlign w:val="superscript"/>
                <w:lang w:val="en-US" w:eastAsia="zh-CN"/>
              </w:rPr>
              <w:t>3</w:t>
            </w:r>
            <w:r>
              <w:rPr>
                <w:rFonts w:hint="eastAsia"/>
                <w:sz w:val="24"/>
                <w:highlight w:val="none"/>
                <w:lang w:val="en-US" w:eastAsia="zh-CN"/>
              </w:rPr>
              <w:t>，挖运回填运距均在500m以内。本</w:t>
            </w:r>
            <w:r>
              <w:rPr>
                <w:rFonts w:hint="eastAsia"/>
                <w:sz w:val="24"/>
                <w:highlight w:val="none"/>
              </w:rPr>
              <w:t>项目土石方平衡见表</w:t>
            </w:r>
            <w:r>
              <w:rPr>
                <w:rFonts w:hint="eastAsia"/>
                <w:sz w:val="24"/>
                <w:highlight w:val="none"/>
                <w:lang w:val="en-US" w:eastAsia="zh-CN"/>
              </w:rPr>
              <w:t>1-10</w:t>
            </w:r>
            <w:r>
              <w:rPr>
                <w:rFonts w:hint="eastAsia"/>
                <w:sz w:val="24"/>
                <w:highlight w:val="none"/>
              </w:rPr>
              <w:t>。</w:t>
            </w:r>
          </w:p>
          <w:p>
            <w:pPr>
              <w:adjustRightInd w:val="0"/>
              <w:snapToGrid w:val="0"/>
              <w:spacing w:line="360" w:lineRule="auto"/>
              <w:ind w:firstLine="480" w:firstLineChars="200"/>
              <w:jc w:val="center"/>
              <w:rPr>
                <w:rFonts w:hint="default" w:ascii="Times New Roman" w:hAnsi="Times New Roman" w:eastAsia="黑体" w:cs="Times New Roman"/>
                <w:sz w:val="24"/>
                <w:highlight w:val="none"/>
                <w:lang w:val="en-US" w:eastAsia="zh-CN"/>
              </w:rPr>
            </w:pPr>
            <w:r>
              <w:rPr>
                <w:rFonts w:hint="eastAsia" w:ascii="Times New Roman" w:hAnsi="Times New Roman" w:eastAsia="黑体" w:cs="Times New Roman"/>
                <w:sz w:val="24"/>
                <w:highlight w:val="none"/>
                <w:lang w:val="en-US" w:eastAsia="zh-CN"/>
              </w:rPr>
              <w:t>表1-</w:t>
            </w:r>
            <w:r>
              <w:rPr>
                <w:rFonts w:hint="eastAsia" w:eastAsia="黑体" w:cs="Times New Roman"/>
                <w:sz w:val="24"/>
                <w:highlight w:val="none"/>
                <w:lang w:val="en-US" w:eastAsia="zh-CN"/>
              </w:rPr>
              <w:t>10</w:t>
            </w:r>
            <w:r>
              <w:rPr>
                <w:rFonts w:hint="eastAsia" w:ascii="Times New Roman" w:hAnsi="Times New Roman" w:eastAsia="黑体" w:cs="Times New Roman"/>
                <w:sz w:val="24"/>
                <w:highlight w:val="none"/>
                <w:lang w:val="en-US" w:eastAsia="zh-CN"/>
              </w:rPr>
              <w:t xml:space="preserve">    土石方平衡表  单位：m</w:t>
            </w:r>
            <w:r>
              <w:rPr>
                <w:rFonts w:hint="eastAsia" w:ascii="Times New Roman" w:hAnsi="Times New Roman" w:eastAsia="黑体" w:cs="Times New Roman"/>
                <w:sz w:val="24"/>
                <w:highlight w:val="none"/>
                <w:vertAlign w:val="superscript"/>
                <w:lang w:val="en-US" w:eastAsia="zh-CN"/>
              </w:rPr>
              <w:t>3</w:t>
            </w:r>
          </w:p>
          <w:tbl>
            <w:tblPr>
              <w:tblStyle w:val="19"/>
              <w:tblW w:w="906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1768"/>
              <w:gridCol w:w="1786"/>
              <w:gridCol w:w="1788"/>
              <w:gridCol w:w="17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0" w:lineRule="atLeast"/>
                    <w:ind w:left="0" w:leftChars="0" w:firstLine="0" w:firstLineChars="0"/>
                    <w:jc w:val="center"/>
                    <w:textAlignment w:val="auto"/>
                    <w:rPr>
                      <w:rFonts w:hint="default" w:ascii="Times New Roman" w:hAnsi="Times New Roman" w:eastAsia="宋体" w:cs="Times New Roman"/>
                      <w:b/>
                      <w:bCs w:val="0"/>
                      <w:sz w:val="21"/>
                      <w:szCs w:val="21"/>
                      <w:highlight w:val="none"/>
                      <w:lang w:val="en-US" w:eastAsia="zh-CN"/>
                    </w:rPr>
                  </w:pPr>
                  <w:r>
                    <w:rPr>
                      <w:rFonts w:hint="eastAsia" w:eastAsia="宋体" w:cs="Times New Roman"/>
                      <w:b/>
                      <w:bCs w:val="0"/>
                      <w:sz w:val="21"/>
                      <w:szCs w:val="21"/>
                      <w:highlight w:val="none"/>
                      <w:lang w:val="en-US" w:eastAsia="zh-CN"/>
                    </w:rPr>
                    <w:t>项目分区</w:t>
                  </w:r>
                </w:p>
              </w:tc>
              <w:tc>
                <w:tcPr>
                  <w:tcW w:w="975"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0" w:lineRule="atLeast"/>
                    <w:ind w:left="0" w:leftChars="0" w:firstLine="0" w:firstLineChars="0"/>
                    <w:jc w:val="center"/>
                    <w:textAlignment w:val="auto"/>
                    <w:rPr>
                      <w:rFonts w:hint="eastAsia" w:ascii="Times New Roman" w:hAnsi="Times New Roman" w:eastAsia="宋体" w:cs="Times New Roman"/>
                      <w:b/>
                      <w:bCs w:val="0"/>
                      <w:sz w:val="21"/>
                      <w:szCs w:val="21"/>
                      <w:highlight w:val="none"/>
                      <w:lang w:val="en-US" w:eastAsia="zh-CN"/>
                    </w:rPr>
                  </w:pPr>
                  <w:r>
                    <w:rPr>
                      <w:rFonts w:hint="eastAsia" w:eastAsia="宋体" w:cs="Times New Roman"/>
                      <w:b/>
                      <w:bCs w:val="0"/>
                      <w:sz w:val="21"/>
                      <w:szCs w:val="21"/>
                      <w:highlight w:val="none"/>
                      <w:lang w:val="en-US" w:eastAsia="zh-CN"/>
                    </w:rPr>
                    <w:t>挖方</w:t>
                  </w:r>
                  <w:r>
                    <w:rPr>
                      <w:rFonts w:hint="eastAsia" w:cs="Times New Roman"/>
                      <w:b/>
                      <w:bCs w:val="0"/>
                      <w:sz w:val="21"/>
                      <w:szCs w:val="21"/>
                      <w:highlight w:val="none"/>
                      <w:lang w:val="en-US" w:eastAsia="zh-CN"/>
                    </w:rPr>
                    <w:t>量</w:t>
                  </w:r>
                </w:p>
              </w:tc>
              <w:tc>
                <w:tcPr>
                  <w:tcW w:w="1786" w:type="dxa"/>
                  <w:tcBorders>
                    <w:tl2br w:val="nil"/>
                    <w:tr2bl w:val="nil"/>
                  </w:tcBorders>
                  <w:noWrap w:val="0"/>
                  <w:vAlign w:val="center"/>
                </w:tcPr>
                <w:p>
                  <w:pPr>
                    <w:pStyle w:val="18"/>
                    <w:keepNext w:val="0"/>
                    <w:keepLines w:val="0"/>
                    <w:widowControl w:val="0"/>
                    <w:suppressLineNumbers w:val="0"/>
                    <w:adjustRightInd w:val="0"/>
                    <w:snapToGrid w:val="0"/>
                    <w:spacing w:after="0" w:line="0" w:lineRule="atLeast"/>
                    <w:ind w:left="0" w:leftChars="0" w:firstLine="421" w:firstLineChars="200"/>
                    <w:jc w:val="center"/>
                    <w:textAlignment w:val="auto"/>
                    <w:rPr>
                      <w:rFonts w:hint="default" w:eastAsia="宋体" w:cs="Times New Roman"/>
                      <w:b/>
                      <w:bCs w:val="0"/>
                      <w:sz w:val="21"/>
                      <w:szCs w:val="21"/>
                      <w:highlight w:val="none"/>
                      <w:lang w:val="en-US" w:eastAsia="zh-CN"/>
                    </w:rPr>
                  </w:pPr>
                  <w:r>
                    <w:rPr>
                      <w:rStyle w:val="21"/>
                      <w:rFonts w:hint="eastAsia" w:eastAsia="宋体" w:cs="Times New Roman"/>
                      <w:b/>
                      <w:sz w:val="21"/>
                      <w:szCs w:val="21"/>
                      <w:highlight w:val="none"/>
                      <w:lang w:val="en-US" w:eastAsia="zh-CN" w:bidi="ar"/>
                    </w:rPr>
                    <w:t>削坡量</w:t>
                  </w:r>
                </w:p>
              </w:tc>
              <w:tc>
                <w:tcPr>
                  <w:tcW w:w="986"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0" w:lineRule="atLeast"/>
                    <w:ind w:left="0" w:leftChars="0" w:firstLine="0" w:firstLineChars="0"/>
                    <w:jc w:val="center"/>
                    <w:textAlignment w:val="auto"/>
                    <w:rPr>
                      <w:rFonts w:hint="eastAsia" w:eastAsia="宋体" w:cs="Times New Roman"/>
                      <w:b/>
                      <w:bCs w:val="0"/>
                      <w:sz w:val="21"/>
                      <w:szCs w:val="21"/>
                      <w:highlight w:val="none"/>
                      <w:lang w:val="en-US" w:eastAsia="zh-CN"/>
                    </w:rPr>
                  </w:pPr>
                  <w:r>
                    <w:rPr>
                      <w:rFonts w:hint="eastAsia" w:eastAsia="宋体" w:cs="Times New Roman"/>
                      <w:b/>
                      <w:bCs w:val="0"/>
                      <w:sz w:val="21"/>
                      <w:szCs w:val="21"/>
                      <w:highlight w:val="none"/>
                      <w:lang w:val="en-US" w:eastAsia="zh-CN"/>
                    </w:rPr>
                    <w:t>填方量</w:t>
                  </w:r>
                </w:p>
              </w:tc>
              <w:tc>
                <w:tcPr>
                  <w:tcW w:w="986"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0" w:lineRule="atLeast"/>
                    <w:ind w:left="0" w:leftChars="0" w:firstLine="0" w:firstLineChars="0"/>
                    <w:jc w:val="center"/>
                    <w:textAlignment w:val="auto"/>
                    <w:rPr>
                      <w:rFonts w:hint="eastAsia" w:eastAsia="宋体" w:cs="Times New Roman"/>
                      <w:b/>
                      <w:bCs w:val="0"/>
                      <w:sz w:val="21"/>
                      <w:szCs w:val="21"/>
                      <w:highlight w:val="none"/>
                      <w:lang w:val="en-US" w:eastAsia="zh-CN"/>
                    </w:rPr>
                  </w:pPr>
                  <w:r>
                    <w:rPr>
                      <w:rFonts w:hint="eastAsia" w:cs="Times New Roman"/>
                      <w:b/>
                      <w:bCs w:val="0"/>
                      <w:sz w:val="21"/>
                      <w:szCs w:val="21"/>
                      <w:highlight w:val="none"/>
                      <w:lang w:val="en-US" w:eastAsia="zh-CN"/>
                    </w:rPr>
                    <w:t>净方量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0" w:lineRule="atLeast"/>
                    <w:ind w:left="0" w:leftChars="0" w:firstLine="0" w:firstLineChars="0"/>
                    <w:jc w:val="center"/>
                    <w:textAlignment w:val="auto"/>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eastAsia="zh-CN"/>
                    </w:rPr>
                    <w:t>煤炭</w:t>
                  </w:r>
                  <w:r>
                    <w:rPr>
                      <w:rFonts w:hint="eastAsia"/>
                      <w:sz w:val="21"/>
                      <w:szCs w:val="21"/>
                      <w:highlight w:val="none"/>
                      <w:lang w:val="en-US" w:eastAsia="zh-CN"/>
                    </w:rPr>
                    <w:t>M1区</w:t>
                  </w:r>
                </w:p>
              </w:tc>
              <w:tc>
                <w:tcPr>
                  <w:tcW w:w="9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eastAsia" w:ascii="Times New Roman" w:hAnsi="Times New Roman" w:eastAsia="宋体" w:cs="Times New Roman"/>
                      <w:bCs/>
                      <w:kern w:val="0"/>
                      <w:sz w:val="21"/>
                      <w:szCs w:val="21"/>
                      <w:highlight w:val="none"/>
                      <w:lang w:val="en-US" w:eastAsia="zh-CN"/>
                    </w:rPr>
                  </w:pPr>
                  <w:r>
                    <w:rPr>
                      <w:rFonts w:hint="default" w:ascii="Times New Roman" w:hAnsi="Times New Roman" w:eastAsia="宋体" w:cs="Times New Roman"/>
                      <w:i w:val="0"/>
                      <w:color w:val="000000"/>
                      <w:kern w:val="0"/>
                      <w:sz w:val="20"/>
                      <w:szCs w:val="20"/>
                      <w:u w:val="none"/>
                      <w:lang w:val="en-US" w:eastAsia="zh-CN" w:bidi="ar"/>
                    </w:rPr>
                    <w:t>57899</w:t>
                  </w:r>
                </w:p>
              </w:tc>
              <w:tc>
                <w:tcPr>
                  <w:tcW w:w="17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eastAsia" w:ascii="Times New Roman" w:hAnsi="Times New Roman" w:eastAsia="宋体" w:cs="Times New Roman"/>
                      <w:bCs/>
                      <w:kern w:val="0"/>
                      <w:sz w:val="21"/>
                      <w:szCs w:val="21"/>
                      <w:highlight w:val="none"/>
                    </w:rPr>
                  </w:pPr>
                  <w:r>
                    <w:rPr>
                      <w:rFonts w:hint="default" w:ascii="Times New Roman" w:hAnsi="Times New Roman" w:eastAsia="宋体" w:cs="Times New Roman"/>
                      <w:i w:val="0"/>
                      <w:color w:val="000000"/>
                      <w:kern w:val="0"/>
                      <w:sz w:val="22"/>
                      <w:szCs w:val="22"/>
                      <w:u w:val="none"/>
                      <w:lang w:val="en-US" w:eastAsia="zh-CN" w:bidi="ar"/>
                    </w:rPr>
                    <w:t>53460</w:t>
                  </w:r>
                </w:p>
              </w:tc>
              <w:tc>
                <w:tcPr>
                  <w:tcW w:w="9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eastAsia"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w:t>
                  </w:r>
                  <w:r>
                    <w:rPr>
                      <w:rFonts w:hint="default" w:ascii="Times New Roman" w:hAnsi="Times New Roman" w:eastAsia="宋体" w:cs="Times New Roman"/>
                      <w:i w:val="0"/>
                      <w:color w:val="000000"/>
                      <w:kern w:val="0"/>
                      <w:sz w:val="20"/>
                      <w:szCs w:val="20"/>
                      <w:u w:val="none"/>
                      <w:lang w:val="en-US" w:eastAsia="zh-CN" w:bidi="ar"/>
                    </w:rPr>
                    <w:t>56788</w:t>
                  </w:r>
                </w:p>
              </w:tc>
              <w:tc>
                <w:tcPr>
                  <w:tcW w:w="986" w:type="pct"/>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eastAsia" w:cs="Times New Roman"/>
                      <w:bCs/>
                      <w:sz w:val="21"/>
                      <w:szCs w:val="21"/>
                      <w:highlight w:val="none"/>
                      <w:lang w:val="en-US" w:eastAsia="zh-CN"/>
                    </w:rPr>
                  </w:pPr>
                  <w:r>
                    <w:rPr>
                      <w:rFonts w:hint="default" w:ascii="Times New Roman" w:hAnsi="Times New Roman" w:eastAsia="宋体" w:cs="Times New Roman"/>
                      <w:i w:val="0"/>
                      <w:color w:val="000000"/>
                      <w:kern w:val="0"/>
                      <w:sz w:val="22"/>
                      <w:szCs w:val="22"/>
                      <w:u w:val="none"/>
                      <w:lang w:val="en-US" w:eastAsia="zh-CN" w:bidi="ar"/>
                    </w:rPr>
                    <w:t>54571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firstLine="0" w:firstLineChars="0"/>
                    <w:jc w:val="center"/>
                    <w:textAlignment w:val="auto"/>
                    <w:rPr>
                      <w:rFonts w:hint="eastAsia" w:eastAsia="宋体" w:cs="Times New Roman"/>
                      <w:bCs/>
                      <w:sz w:val="21"/>
                      <w:szCs w:val="21"/>
                      <w:highlight w:val="none"/>
                      <w:lang w:val="en-US" w:eastAsia="zh-CN"/>
                    </w:rPr>
                  </w:pPr>
                  <w:r>
                    <w:rPr>
                      <w:rFonts w:hint="eastAsia" w:cs="Times New Roman"/>
                      <w:bCs/>
                      <w:sz w:val="21"/>
                      <w:szCs w:val="21"/>
                      <w:highlight w:val="none"/>
                      <w:lang w:eastAsia="zh-CN"/>
                    </w:rPr>
                    <w:t>煤炭</w:t>
                  </w:r>
                  <w:r>
                    <w:rPr>
                      <w:rFonts w:hint="eastAsia"/>
                      <w:szCs w:val="21"/>
                      <w:highlight w:val="none"/>
                      <w:lang w:val="en-US" w:eastAsia="zh-CN"/>
                    </w:rPr>
                    <w:t>M2区</w:t>
                  </w:r>
                </w:p>
              </w:tc>
              <w:tc>
                <w:tcPr>
                  <w:tcW w:w="9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eastAsia" w:ascii="Times New Roman" w:hAnsi="Times New Roman" w:eastAsia="宋体" w:cs="Times New Roman"/>
                      <w:bCs w:val="0"/>
                      <w:color w:val="000000"/>
                      <w:kern w:val="0"/>
                      <w:sz w:val="20"/>
                      <w:szCs w:val="20"/>
                      <w:highlight w:val="none"/>
                      <w:u w:val="none"/>
                      <w:lang w:bidi="ar"/>
                    </w:rPr>
                  </w:pPr>
                  <w:r>
                    <w:rPr>
                      <w:rFonts w:hint="default" w:ascii="Times New Roman" w:hAnsi="Times New Roman" w:eastAsia="宋体" w:cs="Times New Roman"/>
                      <w:i w:val="0"/>
                      <w:color w:val="000000"/>
                      <w:kern w:val="0"/>
                      <w:sz w:val="20"/>
                      <w:szCs w:val="20"/>
                      <w:u w:val="none"/>
                      <w:lang w:val="en-US" w:eastAsia="zh-CN" w:bidi="ar"/>
                    </w:rPr>
                    <w:t>106056.04</w:t>
                  </w:r>
                </w:p>
              </w:tc>
              <w:tc>
                <w:tcPr>
                  <w:tcW w:w="17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default" w:ascii="Times New Roman" w:hAnsi="Times New Roman" w:eastAsia="宋体" w:cs="Times New Roman"/>
                      <w:bCs w:val="0"/>
                      <w:color w:val="000000"/>
                      <w:kern w:val="0"/>
                      <w:sz w:val="20"/>
                      <w:szCs w:val="20"/>
                      <w:highlight w:val="none"/>
                      <w:u w:val="none"/>
                      <w:lang w:eastAsia="zh-CN" w:bidi="ar"/>
                    </w:rPr>
                  </w:pPr>
                  <w:r>
                    <w:rPr>
                      <w:rFonts w:hint="default" w:ascii="Times New Roman" w:hAnsi="Times New Roman" w:eastAsia="宋体" w:cs="Times New Roman"/>
                      <w:bCs w:val="0"/>
                      <w:color w:val="000000"/>
                      <w:kern w:val="0"/>
                      <w:sz w:val="20"/>
                      <w:szCs w:val="20"/>
                      <w:highlight w:val="none"/>
                      <w:u w:val="none"/>
                      <w:lang w:val="en-US" w:eastAsia="zh-CN" w:bidi="ar"/>
                    </w:rPr>
                    <w:t>-</w:t>
                  </w:r>
                </w:p>
              </w:tc>
              <w:tc>
                <w:tcPr>
                  <w:tcW w:w="9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default" w:cs="Times New Roman"/>
                      <w:i w:val="0"/>
                      <w:color w:val="000000"/>
                      <w:kern w:val="0"/>
                      <w:sz w:val="20"/>
                      <w:szCs w:val="20"/>
                      <w:u w:val="none"/>
                      <w:lang w:val="en-US" w:eastAsia="zh-CN" w:bidi="ar"/>
                    </w:rPr>
                  </w:pPr>
                  <w:r>
                    <w:rPr>
                      <w:rFonts w:hint="default" w:cs="Times New Roman"/>
                      <w:i w:val="0"/>
                      <w:color w:val="000000"/>
                      <w:kern w:val="0"/>
                      <w:sz w:val="20"/>
                      <w:szCs w:val="20"/>
                      <w:u w:val="none"/>
                      <w:lang w:val="en-US" w:eastAsia="zh-CN" w:bidi="ar"/>
                    </w:rPr>
                    <w:t>-</w:t>
                  </w:r>
                  <w:r>
                    <w:rPr>
                      <w:rFonts w:hint="default" w:ascii="Times New Roman" w:hAnsi="Times New Roman" w:eastAsia="宋体" w:cs="Times New Roman"/>
                      <w:i w:val="0"/>
                      <w:color w:val="000000"/>
                      <w:kern w:val="0"/>
                      <w:sz w:val="20"/>
                      <w:szCs w:val="20"/>
                      <w:u w:val="none"/>
                      <w:lang w:val="en-US" w:eastAsia="zh-CN" w:bidi="ar"/>
                    </w:rPr>
                    <w:t>106285.46</w:t>
                  </w:r>
                </w:p>
              </w:tc>
              <w:tc>
                <w:tcPr>
                  <w:tcW w:w="986" w:type="pct"/>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default" w:cs="Times New Roman"/>
                      <w:bCs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firstLine="0" w:firstLineChars="0"/>
                    <w:jc w:val="center"/>
                    <w:textAlignment w:val="auto"/>
                    <w:rPr>
                      <w:rFonts w:hint="eastAsia" w:eastAsia="宋体" w:cs="Times New Roman"/>
                      <w:bCs/>
                      <w:sz w:val="21"/>
                      <w:szCs w:val="21"/>
                      <w:highlight w:val="none"/>
                      <w:lang w:val="en-US" w:eastAsia="zh-CN"/>
                    </w:rPr>
                  </w:pPr>
                  <w:r>
                    <w:rPr>
                      <w:rFonts w:hint="eastAsia" w:cs="Times New Roman"/>
                      <w:bCs/>
                      <w:sz w:val="21"/>
                      <w:szCs w:val="21"/>
                      <w:highlight w:val="none"/>
                      <w:lang w:eastAsia="zh-CN"/>
                    </w:rPr>
                    <w:t>煤炭</w:t>
                  </w:r>
                  <w:r>
                    <w:rPr>
                      <w:rFonts w:hint="eastAsia"/>
                      <w:szCs w:val="21"/>
                      <w:highlight w:val="none"/>
                      <w:lang w:val="en-US" w:eastAsia="zh-CN"/>
                    </w:rPr>
                    <w:t>M3区</w:t>
                  </w:r>
                </w:p>
              </w:tc>
              <w:tc>
                <w:tcPr>
                  <w:tcW w:w="9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eastAsia" w:ascii="Times New Roman" w:hAnsi="Times New Roman" w:eastAsia="宋体" w:cs="Times New Roman"/>
                      <w:bCs w:val="0"/>
                      <w:color w:val="000000"/>
                      <w:kern w:val="0"/>
                      <w:sz w:val="20"/>
                      <w:szCs w:val="20"/>
                      <w:highlight w:val="none"/>
                      <w:u w:val="none"/>
                      <w:lang w:bidi="ar"/>
                    </w:rPr>
                  </w:pPr>
                  <w:r>
                    <w:rPr>
                      <w:rFonts w:hint="default" w:ascii="Times New Roman" w:hAnsi="Times New Roman" w:eastAsia="宋体" w:cs="Times New Roman"/>
                      <w:i w:val="0"/>
                      <w:color w:val="000000"/>
                      <w:kern w:val="0"/>
                      <w:sz w:val="20"/>
                      <w:szCs w:val="20"/>
                      <w:u w:val="none"/>
                      <w:lang w:val="en-US" w:eastAsia="zh-CN" w:bidi="ar"/>
                    </w:rPr>
                    <w:t>204811.61</w:t>
                  </w:r>
                </w:p>
              </w:tc>
              <w:tc>
                <w:tcPr>
                  <w:tcW w:w="1786" w:type="dxa"/>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eastAsia" w:ascii="Times New Roman" w:hAnsi="Times New Roman" w:eastAsia="宋体" w:cs="Times New Roman"/>
                      <w:bCs w:val="0"/>
                      <w:color w:val="000000"/>
                      <w:kern w:val="0"/>
                      <w:sz w:val="20"/>
                      <w:szCs w:val="20"/>
                      <w:highlight w:val="none"/>
                      <w:u w:val="none"/>
                      <w:lang w:val="en-US" w:bidi="ar"/>
                    </w:rPr>
                  </w:pPr>
                  <w:r>
                    <w:rPr>
                      <w:rFonts w:hint="default" w:ascii="Times New Roman" w:hAnsi="Times New Roman" w:eastAsia="宋体" w:cs="Times New Roman"/>
                      <w:i w:val="0"/>
                      <w:color w:val="000000"/>
                      <w:kern w:val="0"/>
                      <w:sz w:val="20"/>
                      <w:szCs w:val="20"/>
                      <w:u w:val="none"/>
                      <w:lang w:val="en-US" w:eastAsia="zh-CN" w:bidi="ar"/>
                    </w:rPr>
                    <w:t>37602</w:t>
                  </w:r>
                </w:p>
              </w:tc>
              <w:tc>
                <w:tcPr>
                  <w:tcW w:w="986" w:type="pct"/>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default" w:cs="Times New Roman"/>
                      <w:i w:val="0"/>
                      <w:color w:val="000000"/>
                      <w:kern w:val="0"/>
                      <w:sz w:val="20"/>
                      <w:szCs w:val="20"/>
                      <w:u w:val="none"/>
                      <w:lang w:val="en-US" w:eastAsia="zh-CN" w:bidi="ar"/>
                    </w:rPr>
                  </w:pPr>
                  <w:r>
                    <w:rPr>
                      <w:rFonts w:hint="default" w:cs="Times New Roman"/>
                      <w:i w:val="0"/>
                      <w:color w:val="000000"/>
                      <w:kern w:val="0"/>
                      <w:sz w:val="20"/>
                      <w:szCs w:val="20"/>
                      <w:u w:val="none"/>
                      <w:lang w:val="en-US" w:eastAsia="zh-CN" w:bidi="ar"/>
                    </w:rPr>
                    <w:t>-</w:t>
                  </w:r>
                  <w:r>
                    <w:rPr>
                      <w:rFonts w:hint="default" w:ascii="Times New Roman" w:hAnsi="Times New Roman" w:eastAsia="宋体" w:cs="Times New Roman"/>
                      <w:i w:val="0"/>
                      <w:color w:val="000000"/>
                      <w:kern w:val="0"/>
                      <w:sz w:val="20"/>
                      <w:szCs w:val="20"/>
                      <w:u w:val="none"/>
                      <w:lang w:val="en-US" w:eastAsia="zh-CN" w:bidi="ar"/>
                    </w:rPr>
                    <w:t>205083.17</w:t>
                  </w:r>
                </w:p>
              </w:tc>
              <w:tc>
                <w:tcPr>
                  <w:tcW w:w="986" w:type="pct"/>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default" w:cs="Times New Roman"/>
                      <w:bCs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37330.44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0" w:lineRule="atLeast"/>
                    <w:ind w:left="0" w:leftChars="0" w:firstLine="0" w:firstLineChars="0"/>
                    <w:jc w:val="center"/>
                    <w:textAlignment w:val="auto"/>
                    <w:rPr>
                      <w:rFonts w:hint="eastAsia" w:eastAsia="宋体" w:cs="Times New Roman"/>
                      <w:bCs/>
                      <w:sz w:val="21"/>
                      <w:szCs w:val="21"/>
                      <w:highlight w:val="none"/>
                      <w:lang w:val="en-US" w:eastAsia="zh-CN"/>
                    </w:rPr>
                  </w:pPr>
                  <w:r>
                    <w:rPr>
                      <w:rFonts w:hint="eastAsia" w:cs="Times New Roman"/>
                      <w:bCs/>
                      <w:sz w:val="21"/>
                      <w:szCs w:val="21"/>
                      <w:highlight w:val="none"/>
                      <w:lang w:eastAsia="zh-CN"/>
                    </w:rPr>
                    <w:t>建筑用砂</w:t>
                  </w:r>
                  <w:r>
                    <w:rPr>
                      <w:rFonts w:hint="eastAsia" w:cs="Times New Roman"/>
                      <w:bCs/>
                      <w:sz w:val="21"/>
                      <w:szCs w:val="21"/>
                      <w:highlight w:val="none"/>
                      <w:lang w:val="en-US" w:eastAsia="zh-CN"/>
                    </w:rPr>
                    <w:t>S1-1</w:t>
                  </w:r>
                  <w:r>
                    <w:rPr>
                      <w:rFonts w:hint="eastAsia"/>
                      <w:sz w:val="21"/>
                      <w:szCs w:val="21"/>
                      <w:highlight w:val="none"/>
                      <w:lang w:val="en-US" w:eastAsia="zh-CN"/>
                    </w:rPr>
                    <w:t>区</w:t>
                  </w:r>
                </w:p>
              </w:tc>
              <w:tc>
                <w:tcPr>
                  <w:tcW w:w="9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eastAsia" w:ascii="Times New Roman" w:hAnsi="Times New Roman" w:eastAsia="宋体" w:cs="Times New Roman"/>
                      <w:bCs w:val="0"/>
                      <w:color w:val="000000"/>
                      <w:kern w:val="0"/>
                      <w:sz w:val="20"/>
                      <w:szCs w:val="20"/>
                      <w:highlight w:val="none"/>
                      <w:u w:val="none"/>
                      <w:lang w:bidi="ar"/>
                    </w:rPr>
                  </w:pPr>
                  <w:r>
                    <w:rPr>
                      <w:rFonts w:hint="default" w:ascii="Times New Roman" w:hAnsi="Times New Roman" w:eastAsia="宋体" w:cs="Times New Roman"/>
                      <w:i w:val="0"/>
                      <w:color w:val="000000"/>
                      <w:kern w:val="0"/>
                      <w:sz w:val="20"/>
                      <w:szCs w:val="20"/>
                      <w:u w:val="none"/>
                      <w:lang w:val="en-US" w:eastAsia="zh-CN" w:bidi="ar"/>
                    </w:rPr>
                    <w:t>79667.99</w:t>
                  </w:r>
                </w:p>
              </w:tc>
              <w:tc>
                <w:tcPr>
                  <w:tcW w:w="17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eastAsia" w:ascii="Times New Roman" w:hAnsi="Times New Roman" w:eastAsia="宋体" w:cs="Times New Roman"/>
                      <w:bCs w:val="0"/>
                      <w:color w:val="000000"/>
                      <w:kern w:val="0"/>
                      <w:sz w:val="20"/>
                      <w:szCs w:val="20"/>
                      <w:highlight w:val="none"/>
                      <w:u w:val="none"/>
                      <w:lang w:val="en-US" w:eastAsia="zh-CN" w:bidi="ar"/>
                    </w:rPr>
                  </w:pPr>
                  <w:r>
                    <w:rPr>
                      <w:rFonts w:hint="default" w:ascii="Times New Roman" w:hAnsi="Times New Roman" w:eastAsia="宋体" w:cs="Times New Roman"/>
                      <w:bCs w:val="0"/>
                      <w:color w:val="000000"/>
                      <w:kern w:val="0"/>
                      <w:sz w:val="20"/>
                      <w:szCs w:val="20"/>
                      <w:highlight w:val="none"/>
                      <w:u w:val="none"/>
                      <w:lang w:val="en-US" w:eastAsia="zh-CN" w:bidi="ar"/>
                    </w:rPr>
                    <w:t>-</w:t>
                  </w:r>
                </w:p>
              </w:tc>
              <w:tc>
                <w:tcPr>
                  <w:tcW w:w="9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default" w:cs="Times New Roman"/>
                      <w:i w:val="0"/>
                      <w:color w:val="000000"/>
                      <w:kern w:val="0"/>
                      <w:sz w:val="20"/>
                      <w:szCs w:val="20"/>
                      <w:u w:val="none"/>
                      <w:lang w:val="en-US" w:eastAsia="zh-CN" w:bidi="ar"/>
                    </w:rPr>
                  </w:pPr>
                  <w:r>
                    <w:rPr>
                      <w:rFonts w:hint="default" w:cs="Times New Roman"/>
                      <w:i w:val="0"/>
                      <w:color w:val="000000"/>
                      <w:kern w:val="0"/>
                      <w:sz w:val="20"/>
                      <w:szCs w:val="20"/>
                      <w:u w:val="none"/>
                      <w:lang w:val="en-US" w:eastAsia="zh-CN" w:bidi="ar"/>
                    </w:rPr>
                    <w:t>-</w:t>
                  </w:r>
                  <w:r>
                    <w:rPr>
                      <w:rFonts w:hint="default" w:ascii="Times New Roman" w:hAnsi="Times New Roman" w:eastAsia="宋体" w:cs="Times New Roman"/>
                      <w:i w:val="0"/>
                      <w:color w:val="000000"/>
                      <w:kern w:val="0"/>
                      <w:sz w:val="20"/>
                      <w:szCs w:val="20"/>
                      <w:u w:val="none"/>
                      <w:lang w:val="en-US" w:eastAsia="zh-CN" w:bidi="ar"/>
                    </w:rPr>
                    <w:t>79345.86</w:t>
                  </w:r>
                </w:p>
              </w:tc>
              <w:tc>
                <w:tcPr>
                  <w:tcW w:w="986" w:type="pct"/>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default" w:cs="Times New Roman"/>
                      <w:bCs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322.13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0" w:lineRule="atLeast"/>
                    <w:ind w:left="0" w:leftChars="0" w:firstLine="0" w:firstLineChars="0"/>
                    <w:jc w:val="center"/>
                    <w:textAlignment w:val="auto"/>
                    <w:rPr>
                      <w:rFonts w:hint="eastAsia" w:cs="Times New Roman"/>
                      <w:bCs/>
                      <w:sz w:val="21"/>
                      <w:szCs w:val="21"/>
                      <w:highlight w:val="none"/>
                      <w:lang w:eastAsia="zh-CN"/>
                    </w:rPr>
                  </w:pPr>
                  <w:r>
                    <w:rPr>
                      <w:rFonts w:hint="eastAsia" w:cs="Times New Roman"/>
                      <w:bCs/>
                      <w:sz w:val="21"/>
                      <w:szCs w:val="21"/>
                      <w:highlight w:val="none"/>
                      <w:lang w:eastAsia="zh-CN"/>
                    </w:rPr>
                    <w:t>建筑用砂</w:t>
                  </w:r>
                  <w:r>
                    <w:rPr>
                      <w:rFonts w:hint="eastAsia" w:cs="Times New Roman"/>
                      <w:bCs/>
                      <w:sz w:val="21"/>
                      <w:szCs w:val="21"/>
                      <w:highlight w:val="none"/>
                      <w:lang w:val="en-US" w:eastAsia="zh-CN"/>
                    </w:rPr>
                    <w:t>S1-2</w:t>
                  </w:r>
                  <w:r>
                    <w:rPr>
                      <w:rFonts w:hint="eastAsia"/>
                      <w:sz w:val="21"/>
                      <w:szCs w:val="21"/>
                      <w:highlight w:val="none"/>
                      <w:lang w:val="en-US" w:eastAsia="zh-CN"/>
                    </w:rPr>
                    <w:t>区</w:t>
                  </w:r>
                </w:p>
              </w:tc>
              <w:tc>
                <w:tcPr>
                  <w:tcW w:w="9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default" w:eastAsia="宋体" w:cs="Times New Roman"/>
                      <w:bCs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33816.04</w:t>
                  </w:r>
                </w:p>
              </w:tc>
              <w:tc>
                <w:tcPr>
                  <w:tcW w:w="17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eastAsia"/>
                      <w:color w:val="000000"/>
                      <w:kern w:val="0"/>
                      <w:sz w:val="20"/>
                      <w:szCs w:val="20"/>
                      <w:highlight w:val="none"/>
                      <w:u w:val="none"/>
                      <w:lang w:val="en-US" w:eastAsia="zh-CN" w:bidi="ar"/>
                    </w:rPr>
                  </w:pPr>
                  <w:r>
                    <w:rPr>
                      <w:rFonts w:hint="default" w:cs="Times New Roman"/>
                      <w:bCs w:val="0"/>
                      <w:color w:val="000000"/>
                      <w:kern w:val="0"/>
                      <w:sz w:val="20"/>
                      <w:szCs w:val="20"/>
                      <w:highlight w:val="none"/>
                      <w:u w:val="none"/>
                      <w:lang w:val="en-US" w:eastAsia="zh-CN" w:bidi="ar"/>
                    </w:rPr>
                    <w:t>-</w:t>
                  </w:r>
                </w:p>
              </w:tc>
              <w:tc>
                <w:tcPr>
                  <w:tcW w:w="9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default" w:cs="Times New Roman"/>
                      <w:i w:val="0"/>
                      <w:color w:val="000000"/>
                      <w:kern w:val="0"/>
                      <w:sz w:val="20"/>
                      <w:szCs w:val="20"/>
                      <w:u w:val="none"/>
                      <w:lang w:val="en-US" w:eastAsia="zh-CN" w:bidi="ar"/>
                    </w:rPr>
                  </w:pPr>
                  <w:r>
                    <w:rPr>
                      <w:rFonts w:hint="default" w:cs="Times New Roman"/>
                      <w:i w:val="0"/>
                      <w:color w:val="000000"/>
                      <w:kern w:val="0"/>
                      <w:sz w:val="20"/>
                      <w:szCs w:val="20"/>
                      <w:u w:val="none"/>
                      <w:lang w:val="en-US" w:eastAsia="zh-CN" w:bidi="ar"/>
                    </w:rPr>
                    <w:t>-</w:t>
                  </w:r>
                  <w:r>
                    <w:rPr>
                      <w:rFonts w:hint="default" w:ascii="Times New Roman" w:hAnsi="Times New Roman" w:eastAsia="宋体" w:cs="Times New Roman"/>
                      <w:i w:val="0"/>
                      <w:color w:val="000000"/>
                      <w:kern w:val="0"/>
                      <w:sz w:val="20"/>
                      <w:szCs w:val="20"/>
                      <w:u w:val="none"/>
                      <w:lang w:val="en-US" w:eastAsia="zh-CN" w:bidi="ar"/>
                    </w:rPr>
                    <w:t>33748.47</w:t>
                  </w:r>
                </w:p>
              </w:tc>
              <w:tc>
                <w:tcPr>
                  <w:tcW w:w="986" w:type="pct"/>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default" w:cs="Times New Roman"/>
                      <w:bCs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67.57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0" w:lineRule="atLeast"/>
                    <w:ind w:left="0" w:leftChars="0" w:firstLine="0" w:firstLineChars="0"/>
                    <w:jc w:val="center"/>
                    <w:textAlignment w:val="auto"/>
                    <w:rPr>
                      <w:rFonts w:hint="eastAsia" w:cs="Times New Roman"/>
                      <w:bCs/>
                      <w:sz w:val="21"/>
                      <w:szCs w:val="21"/>
                      <w:highlight w:val="none"/>
                      <w:lang w:eastAsia="zh-CN"/>
                    </w:rPr>
                  </w:pPr>
                  <w:r>
                    <w:rPr>
                      <w:rFonts w:hint="eastAsia" w:cs="Times New Roman"/>
                      <w:bCs/>
                      <w:sz w:val="21"/>
                      <w:szCs w:val="21"/>
                      <w:highlight w:val="none"/>
                      <w:lang w:eastAsia="zh-CN"/>
                    </w:rPr>
                    <w:t>建筑用砂</w:t>
                  </w:r>
                  <w:r>
                    <w:rPr>
                      <w:rFonts w:hint="eastAsia" w:cs="Times New Roman"/>
                      <w:bCs/>
                      <w:sz w:val="21"/>
                      <w:szCs w:val="21"/>
                      <w:highlight w:val="none"/>
                      <w:lang w:val="en-US" w:eastAsia="zh-CN"/>
                    </w:rPr>
                    <w:t>S1-3</w:t>
                  </w:r>
                  <w:r>
                    <w:rPr>
                      <w:rFonts w:hint="eastAsia"/>
                      <w:sz w:val="21"/>
                      <w:szCs w:val="21"/>
                      <w:highlight w:val="none"/>
                      <w:lang w:val="en-US" w:eastAsia="zh-CN"/>
                    </w:rPr>
                    <w:t>区</w:t>
                  </w:r>
                </w:p>
              </w:tc>
              <w:tc>
                <w:tcPr>
                  <w:tcW w:w="9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default" w:eastAsia="宋体" w:cs="Times New Roman"/>
                      <w:bCs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48945.45</w:t>
                  </w:r>
                </w:p>
              </w:tc>
              <w:tc>
                <w:tcPr>
                  <w:tcW w:w="17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eastAsia"/>
                      <w:color w:val="000000"/>
                      <w:kern w:val="0"/>
                      <w:sz w:val="20"/>
                      <w:szCs w:val="20"/>
                      <w:highlight w:val="none"/>
                      <w:u w:val="none"/>
                      <w:lang w:val="en-US" w:eastAsia="zh-CN" w:bidi="ar"/>
                    </w:rPr>
                  </w:pPr>
                  <w:r>
                    <w:rPr>
                      <w:rFonts w:hint="default" w:cs="Times New Roman"/>
                      <w:bCs w:val="0"/>
                      <w:color w:val="000000"/>
                      <w:kern w:val="0"/>
                      <w:sz w:val="20"/>
                      <w:szCs w:val="20"/>
                      <w:highlight w:val="none"/>
                      <w:u w:val="none"/>
                      <w:lang w:val="en-US" w:eastAsia="zh-CN" w:bidi="ar"/>
                    </w:rPr>
                    <w:t>-</w:t>
                  </w:r>
                </w:p>
              </w:tc>
              <w:tc>
                <w:tcPr>
                  <w:tcW w:w="9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default" w:cs="Times New Roman"/>
                      <w:i w:val="0"/>
                      <w:color w:val="000000"/>
                      <w:kern w:val="0"/>
                      <w:sz w:val="20"/>
                      <w:szCs w:val="20"/>
                      <w:u w:val="none"/>
                      <w:lang w:val="en-US" w:eastAsia="zh-CN" w:bidi="ar"/>
                    </w:rPr>
                  </w:pPr>
                  <w:r>
                    <w:rPr>
                      <w:rFonts w:hint="default" w:cs="Times New Roman"/>
                      <w:i w:val="0"/>
                      <w:color w:val="000000"/>
                      <w:kern w:val="0"/>
                      <w:sz w:val="20"/>
                      <w:szCs w:val="20"/>
                      <w:u w:val="none"/>
                      <w:lang w:val="en-US" w:eastAsia="zh-CN" w:bidi="ar"/>
                    </w:rPr>
                    <w:t>-</w:t>
                  </w:r>
                  <w:r>
                    <w:rPr>
                      <w:rFonts w:hint="default" w:ascii="Times New Roman" w:hAnsi="Times New Roman" w:eastAsia="宋体" w:cs="Times New Roman"/>
                      <w:i w:val="0"/>
                      <w:color w:val="000000"/>
                      <w:kern w:val="0"/>
                      <w:sz w:val="20"/>
                      <w:szCs w:val="20"/>
                      <w:u w:val="none"/>
                      <w:lang w:val="en-US" w:eastAsia="zh-CN" w:bidi="ar"/>
                    </w:rPr>
                    <w:t>48981.26</w:t>
                  </w:r>
                </w:p>
              </w:tc>
              <w:tc>
                <w:tcPr>
                  <w:tcW w:w="986" w:type="pct"/>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default" w:cs="Times New Roman"/>
                      <w:bCs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-35.81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0" w:lineRule="atLeast"/>
                    <w:ind w:left="0" w:leftChars="0" w:firstLine="0" w:firstLineChars="0"/>
                    <w:jc w:val="center"/>
                    <w:textAlignment w:val="auto"/>
                    <w:rPr>
                      <w:rFonts w:hint="eastAsia" w:cs="Times New Roman"/>
                      <w:bCs/>
                      <w:sz w:val="21"/>
                      <w:szCs w:val="21"/>
                      <w:highlight w:val="none"/>
                      <w:lang w:eastAsia="zh-CN"/>
                    </w:rPr>
                  </w:pPr>
                  <w:r>
                    <w:rPr>
                      <w:rFonts w:hint="eastAsia" w:cs="Times New Roman"/>
                      <w:bCs/>
                      <w:sz w:val="21"/>
                      <w:szCs w:val="21"/>
                      <w:highlight w:val="none"/>
                      <w:lang w:eastAsia="zh-CN"/>
                    </w:rPr>
                    <w:t>建筑用砂</w:t>
                  </w:r>
                  <w:r>
                    <w:rPr>
                      <w:rFonts w:hint="eastAsia" w:cs="Times New Roman"/>
                      <w:bCs/>
                      <w:sz w:val="21"/>
                      <w:szCs w:val="21"/>
                      <w:highlight w:val="none"/>
                      <w:lang w:val="en-US" w:eastAsia="zh-CN"/>
                    </w:rPr>
                    <w:t>S1-4</w:t>
                  </w:r>
                  <w:r>
                    <w:rPr>
                      <w:rFonts w:hint="eastAsia"/>
                      <w:sz w:val="21"/>
                      <w:szCs w:val="21"/>
                      <w:highlight w:val="none"/>
                      <w:lang w:val="en-US" w:eastAsia="zh-CN"/>
                    </w:rPr>
                    <w:t>区</w:t>
                  </w:r>
                </w:p>
              </w:tc>
              <w:tc>
                <w:tcPr>
                  <w:tcW w:w="9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default" w:eastAsia="宋体" w:cs="Times New Roman"/>
                      <w:bCs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94107.56</w:t>
                  </w:r>
                </w:p>
              </w:tc>
              <w:tc>
                <w:tcPr>
                  <w:tcW w:w="17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eastAsia"/>
                      <w:color w:val="000000"/>
                      <w:kern w:val="0"/>
                      <w:sz w:val="20"/>
                      <w:szCs w:val="20"/>
                      <w:highlight w:val="none"/>
                      <w:u w:val="none"/>
                      <w:lang w:val="en-US" w:eastAsia="zh-CN" w:bidi="ar"/>
                    </w:rPr>
                  </w:pPr>
                  <w:r>
                    <w:rPr>
                      <w:rFonts w:hint="default" w:cs="Times New Roman"/>
                      <w:bCs w:val="0"/>
                      <w:color w:val="000000"/>
                      <w:kern w:val="0"/>
                      <w:sz w:val="20"/>
                      <w:szCs w:val="20"/>
                      <w:highlight w:val="none"/>
                      <w:u w:val="none"/>
                      <w:lang w:val="en-US" w:eastAsia="zh-CN" w:bidi="ar"/>
                    </w:rPr>
                    <w:t>-</w:t>
                  </w:r>
                </w:p>
              </w:tc>
              <w:tc>
                <w:tcPr>
                  <w:tcW w:w="9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default" w:cs="Times New Roman"/>
                      <w:i w:val="0"/>
                      <w:color w:val="000000"/>
                      <w:kern w:val="0"/>
                      <w:sz w:val="20"/>
                      <w:szCs w:val="20"/>
                      <w:u w:val="none"/>
                      <w:lang w:val="en-US" w:eastAsia="zh-CN" w:bidi="ar"/>
                    </w:rPr>
                  </w:pPr>
                  <w:r>
                    <w:rPr>
                      <w:rFonts w:hint="default" w:cs="Times New Roman"/>
                      <w:i w:val="0"/>
                      <w:color w:val="000000"/>
                      <w:kern w:val="0"/>
                      <w:sz w:val="20"/>
                      <w:szCs w:val="20"/>
                      <w:u w:val="none"/>
                      <w:lang w:val="en-US" w:eastAsia="zh-CN" w:bidi="ar"/>
                    </w:rPr>
                    <w:t>-</w:t>
                  </w:r>
                  <w:r>
                    <w:rPr>
                      <w:rFonts w:hint="default" w:ascii="Times New Roman" w:hAnsi="Times New Roman" w:eastAsia="宋体" w:cs="Times New Roman"/>
                      <w:i w:val="0"/>
                      <w:color w:val="000000"/>
                      <w:kern w:val="0"/>
                      <w:sz w:val="20"/>
                      <w:szCs w:val="20"/>
                      <w:u w:val="none"/>
                      <w:lang w:val="en-US" w:eastAsia="zh-CN" w:bidi="ar"/>
                    </w:rPr>
                    <w:t>94487.42</w:t>
                  </w:r>
                </w:p>
              </w:tc>
              <w:tc>
                <w:tcPr>
                  <w:tcW w:w="986" w:type="pct"/>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default" w:cs="Times New Roman"/>
                      <w:bCs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-379.86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0" w:lineRule="atLeast"/>
                    <w:ind w:left="0" w:leftChars="0" w:firstLine="0" w:firstLineChars="0"/>
                    <w:jc w:val="center"/>
                    <w:textAlignment w:val="auto"/>
                    <w:rPr>
                      <w:rFonts w:hint="eastAsia" w:cs="Times New Roman"/>
                      <w:bCs/>
                      <w:sz w:val="21"/>
                      <w:szCs w:val="21"/>
                      <w:highlight w:val="none"/>
                      <w:lang w:eastAsia="zh-CN"/>
                    </w:rPr>
                  </w:pPr>
                  <w:r>
                    <w:rPr>
                      <w:rFonts w:hint="eastAsia" w:cs="Times New Roman"/>
                      <w:bCs/>
                      <w:sz w:val="21"/>
                      <w:szCs w:val="21"/>
                      <w:highlight w:val="none"/>
                      <w:lang w:eastAsia="zh-CN"/>
                    </w:rPr>
                    <w:t>建筑用砂</w:t>
                  </w:r>
                  <w:r>
                    <w:rPr>
                      <w:rFonts w:hint="eastAsia" w:cs="Times New Roman"/>
                      <w:bCs/>
                      <w:sz w:val="21"/>
                      <w:szCs w:val="21"/>
                      <w:highlight w:val="none"/>
                      <w:lang w:val="en-US" w:eastAsia="zh-CN"/>
                    </w:rPr>
                    <w:t>S1-5</w:t>
                  </w:r>
                  <w:r>
                    <w:rPr>
                      <w:rFonts w:hint="eastAsia"/>
                      <w:sz w:val="21"/>
                      <w:szCs w:val="21"/>
                      <w:highlight w:val="none"/>
                      <w:lang w:val="en-US" w:eastAsia="zh-CN"/>
                    </w:rPr>
                    <w:t>区</w:t>
                  </w:r>
                </w:p>
              </w:tc>
              <w:tc>
                <w:tcPr>
                  <w:tcW w:w="9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default" w:eastAsia="宋体" w:cs="Times New Roman"/>
                      <w:bCs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26076.8</w:t>
                  </w:r>
                </w:p>
              </w:tc>
              <w:tc>
                <w:tcPr>
                  <w:tcW w:w="17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eastAsia"/>
                      <w:color w:val="000000"/>
                      <w:kern w:val="0"/>
                      <w:sz w:val="20"/>
                      <w:szCs w:val="20"/>
                      <w:highlight w:val="none"/>
                      <w:u w:val="none"/>
                      <w:lang w:val="en-US" w:eastAsia="zh-CN" w:bidi="ar"/>
                    </w:rPr>
                  </w:pPr>
                  <w:r>
                    <w:rPr>
                      <w:rFonts w:hint="default" w:cs="Times New Roman"/>
                      <w:bCs w:val="0"/>
                      <w:color w:val="000000"/>
                      <w:kern w:val="0"/>
                      <w:sz w:val="20"/>
                      <w:szCs w:val="20"/>
                      <w:highlight w:val="none"/>
                      <w:u w:val="none"/>
                      <w:lang w:val="en-US" w:eastAsia="zh-CN" w:bidi="ar"/>
                    </w:rPr>
                    <w:t>-</w:t>
                  </w:r>
                </w:p>
              </w:tc>
              <w:tc>
                <w:tcPr>
                  <w:tcW w:w="9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left="0" w:leftChars="0" w:firstLine="0" w:firstLineChars="0"/>
                    <w:jc w:val="center"/>
                    <w:textAlignment w:val="center"/>
                    <w:rPr>
                      <w:rFonts w:hint="default" w:cs="Times New Roman"/>
                      <w:i w:val="0"/>
                      <w:color w:val="000000"/>
                      <w:kern w:val="0"/>
                      <w:sz w:val="20"/>
                      <w:szCs w:val="20"/>
                      <w:u w:val="none"/>
                      <w:lang w:val="en-US" w:eastAsia="zh-CN" w:bidi="ar"/>
                    </w:rPr>
                  </w:pPr>
                  <w:r>
                    <w:rPr>
                      <w:rFonts w:hint="default" w:cs="Times New Roman"/>
                      <w:i w:val="0"/>
                      <w:color w:val="000000"/>
                      <w:kern w:val="0"/>
                      <w:sz w:val="20"/>
                      <w:szCs w:val="20"/>
                      <w:u w:val="none"/>
                      <w:lang w:val="en-US" w:eastAsia="zh-CN" w:bidi="ar"/>
                    </w:rPr>
                    <w:t>-</w:t>
                  </w:r>
                  <w:r>
                    <w:rPr>
                      <w:rFonts w:hint="default" w:ascii="Times New Roman" w:hAnsi="Times New Roman" w:eastAsia="宋体" w:cs="Times New Roman"/>
                      <w:i w:val="0"/>
                      <w:color w:val="000000"/>
                      <w:kern w:val="0"/>
                      <w:sz w:val="20"/>
                      <w:szCs w:val="20"/>
                      <w:u w:val="none"/>
                      <w:lang w:val="en-US" w:eastAsia="zh-CN" w:bidi="ar"/>
                    </w:rPr>
                    <w:t>26177.1</w:t>
                  </w:r>
                </w:p>
              </w:tc>
              <w:tc>
                <w:tcPr>
                  <w:tcW w:w="986" w:type="pct"/>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default" w:cs="Times New Roman"/>
                      <w:bCs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0" w:lineRule="atLeast"/>
                    <w:ind w:left="0" w:leftChars="0" w:firstLine="0" w:firstLineChars="0"/>
                    <w:jc w:val="center"/>
                    <w:textAlignment w:val="auto"/>
                    <w:rPr>
                      <w:rFonts w:hint="eastAsia" w:cs="Times New Roman"/>
                      <w:bCs/>
                      <w:sz w:val="21"/>
                      <w:szCs w:val="21"/>
                      <w:highlight w:val="none"/>
                      <w:lang w:eastAsia="zh-CN"/>
                    </w:rPr>
                  </w:pPr>
                  <w:r>
                    <w:rPr>
                      <w:rFonts w:hint="eastAsia" w:cs="Times New Roman"/>
                      <w:bCs/>
                      <w:sz w:val="21"/>
                      <w:szCs w:val="21"/>
                      <w:highlight w:val="none"/>
                      <w:lang w:eastAsia="zh-CN"/>
                    </w:rPr>
                    <w:t>合计</w:t>
                  </w:r>
                </w:p>
              </w:tc>
              <w:tc>
                <w:tcPr>
                  <w:tcW w:w="975" w:type="pct"/>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default" w:eastAsia="宋体" w:cs="Times New Roman"/>
                      <w:bCs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651380.49</w:t>
                  </w:r>
                </w:p>
              </w:tc>
              <w:tc>
                <w:tcPr>
                  <w:tcW w:w="1786" w:type="dxa"/>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eastAsia"/>
                      <w:color w:val="000000"/>
                      <w:kern w:val="0"/>
                      <w:sz w:val="20"/>
                      <w:szCs w:val="20"/>
                      <w:highlight w:val="none"/>
                      <w:u w:val="none"/>
                      <w:lang w:val="en-US" w:eastAsia="zh-CN" w:bidi="ar"/>
                    </w:rPr>
                  </w:pPr>
                  <w:r>
                    <w:rPr>
                      <w:rFonts w:hint="default" w:cs="Times New Roman"/>
                      <w:bCs w:val="0"/>
                      <w:i w:val="0"/>
                      <w:color w:val="000000"/>
                      <w:kern w:val="0"/>
                      <w:sz w:val="20"/>
                      <w:szCs w:val="20"/>
                      <w:highlight w:val="none"/>
                      <w:u w:val="none"/>
                      <w:lang w:val="en-US" w:eastAsia="zh-CN" w:bidi="ar"/>
                    </w:rPr>
                    <w:t>91062</w:t>
                  </w:r>
                </w:p>
              </w:tc>
              <w:tc>
                <w:tcPr>
                  <w:tcW w:w="986" w:type="pct"/>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default" w:cs="Times New Roman"/>
                      <w:i w:val="0"/>
                      <w:color w:val="000000"/>
                      <w:kern w:val="0"/>
                      <w:sz w:val="20"/>
                      <w:szCs w:val="20"/>
                      <w:u w:val="none"/>
                      <w:lang w:val="en-US" w:eastAsia="zh-CN" w:bidi="ar"/>
                    </w:rPr>
                  </w:pPr>
                  <w:r>
                    <w:rPr>
                      <w:rFonts w:hint="default" w:cs="Times New Roman"/>
                      <w:i w:val="0"/>
                      <w:color w:val="000000"/>
                      <w:kern w:val="0"/>
                      <w:sz w:val="20"/>
                      <w:szCs w:val="20"/>
                      <w:u w:val="none"/>
                      <w:lang w:val="en-US" w:eastAsia="zh-CN" w:bidi="ar"/>
                    </w:rPr>
                    <w:t>-</w:t>
                  </w:r>
                  <w:r>
                    <w:rPr>
                      <w:rFonts w:hint="default" w:ascii="Times New Roman" w:hAnsi="Times New Roman" w:eastAsia="宋体" w:cs="Times New Roman"/>
                      <w:i w:val="0"/>
                      <w:color w:val="000000"/>
                      <w:kern w:val="0"/>
                      <w:sz w:val="20"/>
                      <w:szCs w:val="20"/>
                      <w:u w:val="none"/>
                      <w:lang w:val="en-US" w:eastAsia="zh-CN" w:bidi="ar"/>
                    </w:rPr>
                    <w:t>650896.74</w:t>
                  </w:r>
                </w:p>
              </w:tc>
              <w:tc>
                <w:tcPr>
                  <w:tcW w:w="986" w:type="pct"/>
                  <w:tcBorders>
                    <w:tl2br w:val="nil"/>
                    <w:tr2bl w:val="nil"/>
                  </w:tcBorders>
                  <w:noWrap w:val="0"/>
                  <w:vAlign w:val="center"/>
                </w:tcPr>
                <w:p>
                  <w:pPr>
                    <w:keepNext w:val="0"/>
                    <w:keepLines w:val="0"/>
                    <w:widowControl/>
                    <w:suppressLineNumbers w:val="0"/>
                    <w:adjustRightInd w:val="0"/>
                    <w:snapToGrid w:val="0"/>
                    <w:spacing w:line="0" w:lineRule="atLeast"/>
                    <w:jc w:val="center"/>
                    <w:textAlignment w:val="center"/>
                    <w:rPr>
                      <w:rFonts w:hint="default" w:cs="Times New Roman"/>
                      <w:bCs w:val="0"/>
                      <w:color w:val="000000"/>
                      <w:kern w:val="0"/>
                      <w:sz w:val="20"/>
                      <w:szCs w:val="20"/>
                      <w:highlight w:val="none"/>
                      <w:u w:val="none"/>
                      <w:lang w:val="en-US" w:eastAsia="zh-CN" w:bidi="ar"/>
                    </w:rPr>
                  </w:pPr>
                  <w:r>
                    <w:rPr>
                      <w:rFonts w:hint="default" w:cs="Times New Roman"/>
                      <w:bCs w:val="0"/>
                      <w:i w:val="0"/>
                      <w:color w:val="000000"/>
                      <w:kern w:val="0"/>
                      <w:sz w:val="20"/>
                      <w:szCs w:val="20"/>
                      <w:highlight w:val="none"/>
                      <w:u w:val="none"/>
                      <w:lang w:val="en-US" w:eastAsia="zh-CN" w:bidi="ar"/>
                    </w:rPr>
                    <w:t>91545.75</w:t>
                  </w:r>
                </w:p>
              </w:tc>
            </w:tr>
          </w:tbl>
          <w:p>
            <w:pPr>
              <w:adjustRightInd w:val="0"/>
              <w:spacing w:line="360" w:lineRule="auto"/>
              <w:ind w:firstLine="480"/>
              <w:rPr>
                <w:rFonts w:hint="default"/>
                <w:sz w:val="24"/>
                <w:highlight w:val="none"/>
                <w:lang w:val="en-US" w:eastAsia="zh-CN"/>
              </w:rPr>
            </w:pPr>
            <w:r>
              <w:rPr>
                <w:rFonts w:hint="eastAsia"/>
                <w:sz w:val="24"/>
                <w:highlight w:val="none"/>
                <w:lang w:val="en-US" w:eastAsia="zh-CN"/>
              </w:rPr>
              <w:t>剩余土石方用于场地平整回填，不得外运。</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7、公用工程</w:t>
            </w:r>
          </w:p>
          <w:p>
            <w:pPr>
              <w:adjustRightInd w:val="0"/>
              <w:spacing w:line="360" w:lineRule="auto"/>
              <w:ind w:firstLine="480"/>
              <w:rPr>
                <w:rFonts w:hint="default"/>
                <w:sz w:val="24"/>
                <w:highlight w:val="none"/>
                <w:lang w:val="en-US" w:eastAsia="zh-CN"/>
              </w:rPr>
            </w:pPr>
            <w:r>
              <w:rPr>
                <w:rFonts w:hint="eastAsia"/>
                <w:sz w:val="24"/>
                <w:highlight w:val="none"/>
                <w:lang w:val="en-US" w:eastAsia="zh-CN"/>
              </w:rPr>
              <w:t>⑴给水</w:t>
            </w:r>
          </w:p>
          <w:p>
            <w:pPr>
              <w:adjustRightInd w:val="0"/>
              <w:spacing w:line="360" w:lineRule="auto"/>
              <w:ind w:firstLine="480" w:firstLineChars="200"/>
              <w:rPr>
                <w:rFonts w:hint="eastAsia"/>
                <w:sz w:val="24"/>
                <w:highlight w:val="none"/>
                <w:lang w:val="en-US" w:eastAsia="zh-CN"/>
              </w:rPr>
            </w:pPr>
            <w:r>
              <w:rPr>
                <w:rFonts w:hint="eastAsia"/>
                <w:sz w:val="24"/>
                <w:highlight w:val="none"/>
                <w:lang w:val="en-US" w:eastAsia="zh-CN"/>
              </w:rPr>
              <w:t>项目施工期用水主要为生活用水及施工用水，其中生活用水量为0.8m</w:t>
            </w:r>
            <w:r>
              <w:rPr>
                <w:rFonts w:hint="eastAsia"/>
                <w:sz w:val="24"/>
                <w:highlight w:val="none"/>
                <w:vertAlign w:val="superscript"/>
                <w:lang w:val="en-US" w:eastAsia="zh-CN"/>
              </w:rPr>
              <w:t>3</w:t>
            </w:r>
            <w:r>
              <w:rPr>
                <w:rFonts w:hint="eastAsia"/>
                <w:sz w:val="24"/>
                <w:highlight w:val="none"/>
                <w:lang w:val="en-US" w:eastAsia="zh-CN"/>
              </w:rPr>
              <w:t>/d(96m</w:t>
            </w:r>
            <w:r>
              <w:rPr>
                <w:rFonts w:hint="eastAsia"/>
                <w:sz w:val="24"/>
                <w:highlight w:val="none"/>
                <w:vertAlign w:val="superscript"/>
                <w:lang w:val="en-US" w:eastAsia="zh-CN"/>
              </w:rPr>
              <w:t>3</w:t>
            </w:r>
            <w:r>
              <w:rPr>
                <w:rFonts w:hint="eastAsia"/>
                <w:sz w:val="24"/>
                <w:highlight w:val="none"/>
                <w:lang w:val="en-US" w:eastAsia="zh-CN"/>
              </w:rPr>
              <w:t>/a)，施工用水量较少，运营期无用水消耗。煤炭治理区施工用水依托线驮石矿区罗花崖煤矿现有公共供水管网</w:t>
            </w:r>
            <w:r>
              <w:rPr>
                <w:rFonts w:hint="eastAsia"/>
                <w:sz w:val="24"/>
                <w:highlight w:val="none"/>
                <w:lang w:eastAsia="zh-CN"/>
              </w:rPr>
              <w:t>，</w:t>
            </w:r>
            <w:r>
              <w:rPr>
                <w:rFonts w:hint="eastAsia"/>
                <w:sz w:val="24"/>
                <w:highlight w:val="none"/>
                <w:lang w:val="en-US" w:eastAsia="zh-CN"/>
              </w:rPr>
              <w:t>建筑用砂治理区可由周边村镇通过水车拉运。</w:t>
            </w:r>
          </w:p>
          <w:p>
            <w:pPr>
              <w:adjustRightInd w:val="0"/>
              <w:spacing w:line="360" w:lineRule="auto"/>
              <w:ind w:firstLine="480"/>
              <w:rPr>
                <w:rFonts w:hint="default"/>
                <w:sz w:val="24"/>
                <w:highlight w:val="none"/>
                <w:lang w:val="en-US" w:eastAsia="zh-CN"/>
              </w:rPr>
            </w:pPr>
            <w:r>
              <w:rPr>
                <w:rFonts w:hint="eastAsia"/>
                <w:sz w:val="24"/>
                <w:highlight w:val="none"/>
                <w:lang w:val="en-US" w:eastAsia="zh-CN"/>
              </w:rPr>
              <w:t>⑵排水</w:t>
            </w:r>
          </w:p>
          <w:p>
            <w:pPr>
              <w:adjustRightInd w:val="0"/>
              <w:spacing w:line="360" w:lineRule="auto"/>
              <w:ind w:firstLine="480"/>
              <w:rPr>
                <w:rFonts w:hint="eastAsia"/>
                <w:sz w:val="24"/>
                <w:highlight w:val="none"/>
                <w:lang w:val="en-US" w:eastAsia="zh-CN"/>
              </w:rPr>
            </w:pPr>
            <w:r>
              <w:rPr>
                <w:rFonts w:hint="eastAsia"/>
                <w:sz w:val="24"/>
                <w:highlight w:val="none"/>
                <w:lang w:val="en-US" w:eastAsia="zh-CN"/>
              </w:rPr>
              <w:t>施工期生活污水排放量约为0.64m</w:t>
            </w:r>
            <w:r>
              <w:rPr>
                <w:rFonts w:hint="eastAsia"/>
                <w:sz w:val="24"/>
                <w:highlight w:val="none"/>
                <w:vertAlign w:val="superscript"/>
                <w:lang w:val="en-US" w:eastAsia="zh-CN"/>
              </w:rPr>
              <w:t>3</w:t>
            </w:r>
            <w:r>
              <w:rPr>
                <w:rFonts w:hint="eastAsia"/>
                <w:sz w:val="24"/>
                <w:highlight w:val="none"/>
                <w:lang w:val="en-US" w:eastAsia="zh-CN"/>
              </w:rPr>
              <w:t>/d(76.8m</w:t>
            </w:r>
            <w:r>
              <w:rPr>
                <w:rFonts w:hint="eastAsia"/>
                <w:sz w:val="24"/>
                <w:highlight w:val="none"/>
                <w:vertAlign w:val="superscript"/>
                <w:lang w:eastAsia="zh-CN"/>
              </w:rPr>
              <w:t>3</w:t>
            </w:r>
            <w:r>
              <w:rPr>
                <w:rFonts w:hint="eastAsia"/>
                <w:sz w:val="24"/>
                <w:highlight w:val="none"/>
                <w:vertAlign w:val="baseline"/>
                <w:lang w:val="en-US" w:eastAsia="zh-CN"/>
              </w:rPr>
              <w:t>/a</w:t>
            </w:r>
            <w:r>
              <w:rPr>
                <w:rFonts w:hint="eastAsia"/>
                <w:sz w:val="24"/>
                <w:highlight w:val="none"/>
                <w:lang w:val="en-US" w:eastAsia="zh-CN"/>
              </w:rPr>
              <w:t>)，集中收集后直接用于泼洒抑尘，不外排。施工废水集中收集后经沉淀后用于泼洒抑尘，不外排。</w:t>
            </w:r>
          </w:p>
          <w:p>
            <w:pPr>
              <w:adjustRightInd w:val="0"/>
              <w:spacing w:line="360" w:lineRule="auto"/>
              <w:ind w:firstLine="480"/>
              <w:rPr>
                <w:rFonts w:hint="default"/>
                <w:sz w:val="24"/>
                <w:highlight w:val="none"/>
                <w:lang w:val="en-US" w:eastAsia="zh-CN"/>
              </w:rPr>
            </w:pPr>
            <w:r>
              <w:rPr>
                <w:rFonts w:hint="eastAsia"/>
                <w:sz w:val="24"/>
                <w:highlight w:val="none"/>
                <w:lang w:val="en-US" w:eastAsia="zh-CN"/>
              </w:rPr>
              <w:t>⑶供电</w:t>
            </w:r>
          </w:p>
          <w:p>
            <w:pPr>
              <w:adjustRightInd w:val="0"/>
              <w:spacing w:line="360" w:lineRule="auto"/>
              <w:ind w:firstLine="480" w:firstLineChars="200"/>
              <w:rPr>
                <w:rFonts w:hint="eastAsia"/>
                <w:sz w:val="24"/>
                <w:highlight w:val="none"/>
                <w:lang w:val="en-US" w:eastAsia="zh-CN"/>
              </w:rPr>
            </w:pPr>
            <w:r>
              <w:rPr>
                <w:rFonts w:hint="eastAsia"/>
                <w:sz w:val="24"/>
                <w:highlight w:val="none"/>
                <w:lang w:val="en-US" w:eastAsia="zh-CN"/>
              </w:rPr>
              <w:t>施工期煤炭治理区电源可由线驮石矿区110kV变电站供给。建筑用砂治理区电源可由周边村镇供给。</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Times New Roman" w:hAnsi="Times New Roman" w:eastAsia="黑体" w:cs="Times New Roman"/>
                <w:sz w:val="24"/>
                <w:highlight w:val="none"/>
                <w:lang w:val="en-US" w:eastAsia="zh-CN"/>
              </w:rPr>
            </w:pPr>
            <w:r>
              <w:rPr>
                <w:rFonts w:hint="eastAsia" w:ascii="Times New Roman" w:hAnsi="Times New Roman" w:eastAsia="黑体" w:cs="Times New Roman"/>
                <w:sz w:val="24"/>
                <w:highlight w:val="none"/>
                <w:lang w:val="en-US" w:eastAsia="zh-CN"/>
              </w:rPr>
              <w:t>8、施工条件</w:t>
            </w:r>
          </w:p>
          <w:p>
            <w:pPr>
              <w:adjustRightInd w:val="0"/>
              <w:spacing w:line="360" w:lineRule="auto"/>
              <w:ind w:firstLine="480"/>
              <w:rPr>
                <w:rFonts w:hint="default"/>
                <w:sz w:val="24"/>
                <w:highlight w:val="none"/>
                <w:lang w:val="en-US" w:eastAsia="zh-CN"/>
              </w:rPr>
            </w:pPr>
            <w:r>
              <w:rPr>
                <w:rFonts w:hint="eastAsia"/>
                <w:sz w:val="24"/>
                <w:highlight w:val="none"/>
                <w:lang w:eastAsia="zh-CN"/>
              </w:rPr>
              <w:t>⑴</w:t>
            </w:r>
            <w:r>
              <w:rPr>
                <w:rFonts w:hint="eastAsia"/>
                <w:sz w:val="24"/>
                <w:highlight w:val="none"/>
                <w:lang w:val="en-US" w:eastAsia="zh-CN"/>
              </w:rPr>
              <w:t>交通条件</w:t>
            </w:r>
          </w:p>
          <w:p>
            <w:pPr>
              <w:adjustRightInd w:val="0"/>
              <w:spacing w:line="360" w:lineRule="auto"/>
              <w:ind w:firstLine="480"/>
              <w:rPr>
                <w:rFonts w:hint="eastAsia"/>
                <w:sz w:val="24"/>
                <w:highlight w:val="none"/>
                <w:lang w:eastAsia="zh-CN"/>
              </w:rPr>
            </w:pPr>
            <w:r>
              <w:rPr>
                <w:rFonts w:hint="eastAsia"/>
                <w:sz w:val="24"/>
                <w:highlight w:val="none"/>
                <w:lang w:eastAsia="zh-CN"/>
              </w:rPr>
              <w:t>项目区周边分布有同土公路、东灵线，交通便利。可满足本工程施工内外交通要求。工程施工机械及材料均可通过陆路进入场地。</w:t>
            </w:r>
          </w:p>
          <w:p>
            <w:pPr>
              <w:adjustRightInd w:val="0"/>
              <w:spacing w:line="360" w:lineRule="auto"/>
              <w:ind w:firstLine="480"/>
              <w:rPr>
                <w:rFonts w:hint="default"/>
                <w:sz w:val="24"/>
                <w:highlight w:val="none"/>
                <w:lang w:val="en-US" w:eastAsia="zh-CN"/>
              </w:rPr>
            </w:pPr>
            <w:r>
              <w:rPr>
                <w:rFonts w:hint="eastAsia"/>
                <w:sz w:val="24"/>
                <w:highlight w:val="none"/>
                <w:lang w:eastAsia="zh-CN"/>
              </w:rPr>
              <w:t>⑵</w:t>
            </w:r>
            <w:r>
              <w:rPr>
                <w:rFonts w:hint="eastAsia"/>
                <w:sz w:val="24"/>
                <w:highlight w:val="none"/>
                <w:lang w:val="en-US" w:eastAsia="zh-CN"/>
              </w:rPr>
              <w:t>原材料供应</w:t>
            </w:r>
          </w:p>
          <w:p>
            <w:pPr>
              <w:adjustRightInd w:val="0"/>
              <w:spacing w:line="360" w:lineRule="auto"/>
              <w:ind w:firstLine="480"/>
              <w:rPr>
                <w:rFonts w:hint="eastAsia"/>
                <w:sz w:val="24"/>
                <w:highlight w:val="none"/>
                <w:lang w:eastAsia="zh-CN"/>
              </w:rPr>
            </w:pPr>
            <w:r>
              <w:rPr>
                <w:rFonts w:hint="eastAsia"/>
                <w:sz w:val="24"/>
                <w:highlight w:val="none"/>
                <w:lang w:eastAsia="zh-CN"/>
              </w:rPr>
              <w:t>工程所需要的草籽和树种可以就近到红寺堡区供应公司购买。</w:t>
            </w:r>
          </w:p>
          <w:p>
            <w:pPr>
              <w:adjustRightInd w:val="0"/>
              <w:spacing w:line="360" w:lineRule="auto"/>
              <w:ind w:firstLine="480"/>
              <w:rPr>
                <w:rFonts w:hint="eastAsia"/>
                <w:sz w:val="24"/>
                <w:highlight w:val="none"/>
                <w:lang w:eastAsia="zh-CN"/>
              </w:rPr>
            </w:pPr>
            <w:r>
              <w:rPr>
                <w:rFonts w:hint="eastAsia"/>
                <w:sz w:val="24"/>
                <w:highlight w:val="none"/>
                <w:lang w:eastAsia="zh-CN"/>
              </w:rPr>
              <w:t>⑶</w:t>
            </w:r>
            <w:r>
              <w:rPr>
                <w:rFonts w:hint="eastAsia"/>
                <w:sz w:val="24"/>
                <w:highlight w:val="none"/>
                <w:lang w:val="en-US" w:eastAsia="zh-CN"/>
              </w:rPr>
              <w:t>工程占地</w:t>
            </w:r>
          </w:p>
          <w:p>
            <w:pPr>
              <w:adjustRightInd w:val="0"/>
              <w:spacing w:line="360" w:lineRule="auto"/>
              <w:ind w:firstLine="480"/>
              <w:rPr>
                <w:rFonts w:hint="eastAsia"/>
                <w:sz w:val="24"/>
                <w:highlight w:val="none"/>
                <w:lang w:eastAsia="zh-CN"/>
              </w:rPr>
            </w:pPr>
            <w:r>
              <w:rPr>
                <w:rFonts w:hint="eastAsia"/>
                <w:sz w:val="24"/>
                <w:highlight w:val="none"/>
                <w:lang w:eastAsia="zh-CN"/>
              </w:rPr>
              <w:t>施工有关设施和机械停放场地</w:t>
            </w:r>
            <w:r>
              <w:rPr>
                <w:rFonts w:hint="eastAsia"/>
                <w:sz w:val="24"/>
                <w:highlight w:val="none"/>
                <w:lang w:val="en-US" w:eastAsia="zh-CN"/>
              </w:rPr>
              <w:t>均</w:t>
            </w:r>
            <w:r>
              <w:rPr>
                <w:rFonts w:hint="eastAsia"/>
                <w:sz w:val="24"/>
                <w:highlight w:val="none"/>
                <w:lang w:eastAsia="zh-CN"/>
              </w:rPr>
              <w:t>布置在工程区的空地上，施工生产生活区就近租用，不新增临时用地。</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黑体" w:cs="Times New Roman"/>
                <w:sz w:val="24"/>
                <w:highlight w:val="none"/>
                <w:lang w:val="en-US" w:eastAsia="zh-CN"/>
              </w:rPr>
            </w:pPr>
            <w:r>
              <w:rPr>
                <w:rFonts w:hint="eastAsia" w:ascii="Times New Roman" w:hAnsi="Times New Roman" w:eastAsia="黑体" w:cs="Times New Roman"/>
                <w:sz w:val="24"/>
                <w:highlight w:val="none"/>
                <w:lang w:val="en-US" w:eastAsia="zh-CN"/>
              </w:rPr>
              <w:t>9、项目总投资及环保投资</w:t>
            </w:r>
          </w:p>
          <w:p>
            <w:pPr>
              <w:adjustRightInd w:val="0"/>
              <w:spacing w:line="360" w:lineRule="auto"/>
              <w:ind w:firstLine="480" w:firstLineChars="200"/>
              <w:rPr>
                <w:rFonts w:hint="default" w:ascii="Times New Roman" w:hAnsi="Times New Roman" w:eastAsia="宋体"/>
                <w:sz w:val="24"/>
                <w:highlight w:val="none"/>
                <w:lang w:val="en-US" w:eastAsia="zh-CN"/>
              </w:rPr>
            </w:pPr>
            <w:r>
              <w:rPr>
                <w:rFonts w:ascii="Times New Roman" w:hAnsi="Times New Roman"/>
                <w:sz w:val="24"/>
                <w:highlight w:val="none"/>
              </w:rPr>
              <w:t>项目总投资为</w:t>
            </w:r>
            <w:r>
              <w:rPr>
                <w:rFonts w:hint="eastAsia"/>
                <w:sz w:val="24"/>
                <w:highlight w:val="none"/>
                <w:lang w:val="en-US" w:eastAsia="zh-CN"/>
              </w:rPr>
              <w:t>816</w:t>
            </w:r>
            <w:r>
              <w:rPr>
                <w:rFonts w:ascii="Times New Roman" w:hAnsi="Times New Roman"/>
                <w:sz w:val="24"/>
                <w:highlight w:val="none"/>
              </w:rPr>
              <w:t>万元，</w:t>
            </w:r>
            <w:r>
              <w:rPr>
                <w:rFonts w:hint="eastAsia"/>
                <w:sz w:val="24"/>
                <w:highlight w:val="none"/>
                <w:lang w:val="en-US" w:eastAsia="zh-CN"/>
              </w:rPr>
              <w:t>全部为环保投资</w:t>
            </w:r>
            <w:r>
              <w:rPr>
                <w:rFonts w:hint="eastAsia" w:ascii="Times New Roman" w:hAnsi="Times New Roman"/>
                <w:sz w:val="24"/>
                <w:highlight w:val="none"/>
              </w:rPr>
              <w:t>，</w:t>
            </w:r>
            <w:r>
              <w:rPr>
                <w:rFonts w:ascii="Times New Roman" w:hAnsi="Times New Roman"/>
                <w:sz w:val="24"/>
                <w:highlight w:val="none"/>
              </w:rPr>
              <w:t>占总投资的</w:t>
            </w:r>
            <w:r>
              <w:rPr>
                <w:rFonts w:hint="eastAsia"/>
                <w:sz w:val="24"/>
                <w:highlight w:val="none"/>
                <w:lang w:val="en-US" w:eastAsia="zh-CN"/>
              </w:rPr>
              <w:t>100</w:t>
            </w:r>
            <w:r>
              <w:rPr>
                <w:rFonts w:ascii="Times New Roman" w:hAnsi="Times New Roman"/>
                <w:sz w:val="24"/>
                <w:highlight w:val="none"/>
              </w:rPr>
              <w:t>%</w:t>
            </w:r>
            <w:r>
              <w:rPr>
                <w:rFonts w:hint="eastAsia" w:ascii="Times New Roman" w:hAnsi="Times New Roman"/>
                <w:sz w:val="24"/>
                <w:highlight w:val="none"/>
              </w:rPr>
              <w:t>。</w:t>
            </w:r>
            <w:r>
              <w:rPr>
                <w:rFonts w:hint="eastAsia"/>
                <w:sz w:val="24"/>
                <w:highlight w:val="none"/>
                <w:lang w:val="en-US" w:eastAsia="zh-CN"/>
              </w:rPr>
              <w:t>本项目环保投资情况见表1-11。</w:t>
            </w:r>
          </w:p>
          <w:p>
            <w:pPr>
              <w:adjustRightInd w:val="0"/>
              <w:spacing w:line="360" w:lineRule="auto"/>
              <w:jc w:val="center"/>
              <w:rPr>
                <w:rFonts w:hint="default"/>
                <w:b/>
                <w:bCs/>
                <w:sz w:val="24"/>
                <w:highlight w:val="none"/>
                <w:lang w:val="en-US" w:eastAsia="zh-CN"/>
              </w:rPr>
            </w:pPr>
            <w:r>
              <w:rPr>
                <w:rFonts w:hint="default" w:ascii="Times New Roman" w:hAnsi="Times New Roman" w:eastAsia="黑体" w:cs="Times New Roman"/>
                <w:b w:val="0"/>
                <w:bCs w:val="0"/>
                <w:sz w:val="24"/>
                <w:highlight w:val="none"/>
                <w:lang w:val="en-US" w:eastAsia="zh-CN"/>
              </w:rPr>
              <w:t>表</w:t>
            </w:r>
            <w:r>
              <w:rPr>
                <w:rFonts w:hint="eastAsia" w:eastAsia="黑体" w:cs="Times New Roman"/>
                <w:b w:val="0"/>
                <w:bCs w:val="0"/>
                <w:sz w:val="24"/>
                <w:highlight w:val="none"/>
                <w:lang w:val="en-US" w:eastAsia="zh-CN"/>
              </w:rPr>
              <w:t>1-</w:t>
            </w:r>
            <w:r>
              <w:rPr>
                <w:rFonts w:hint="default" w:ascii="Times New Roman" w:hAnsi="Times New Roman" w:eastAsia="黑体" w:cs="Times New Roman"/>
                <w:b w:val="0"/>
                <w:bCs w:val="0"/>
                <w:sz w:val="24"/>
                <w:highlight w:val="none"/>
                <w:lang w:val="en-US" w:eastAsia="zh-CN"/>
              </w:rPr>
              <w:t>1</w:t>
            </w:r>
            <w:r>
              <w:rPr>
                <w:rFonts w:hint="eastAsia" w:eastAsia="黑体" w:cs="Times New Roman"/>
                <w:b w:val="0"/>
                <w:bCs w:val="0"/>
                <w:sz w:val="24"/>
                <w:highlight w:val="none"/>
                <w:lang w:val="en-US" w:eastAsia="zh-CN"/>
              </w:rPr>
              <w:t xml:space="preserve">1  </w:t>
            </w:r>
            <w:r>
              <w:rPr>
                <w:rFonts w:hint="default" w:ascii="Times New Roman" w:hAnsi="Times New Roman" w:eastAsia="黑体" w:cs="Times New Roman"/>
                <w:b w:val="0"/>
                <w:bCs w:val="0"/>
                <w:sz w:val="24"/>
                <w:highlight w:val="none"/>
                <w:lang w:val="en-US" w:eastAsia="zh-CN"/>
              </w:rPr>
              <w:t xml:space="preserve">  本项环保投资一览表</w:t>
            </w:r>
          </w:p>
          <w:tbl>
            <w:tblPr>
              <w:tblStyle w:val="1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4925"/>
              <w:gridCol w:w="1308"/>
              <w:gridCol w:w="1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271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环保设施</w:t>
                  </w:r>
                </w:p>
              </w:tc>
              <w:tc>
                <w:tcPr>
                  <w:tcW w:w="721" w:type="pct"/>
                  <w:tcBorders>
                    <w:tl2br w:val="nil"/>
                    <w:tr2bl w:val="nil"/>
                  </w:tcBorders>
                  <w:noWrap w:val="0"/>
                  <w:tcMar>
                    <w:left w:w="0" w:type="dxa"/>
                    <w:right w:w="0" w:type="dxa"/>
                  </w:tcMar>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投资(万元)</w:t>
                  </w:r>
                </w:p>
              </w:tc>
              <w:tc>
                <w:tcPr>
                  <w:tcW w:w="672"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施工期</w:t>
                  </w:r>
                </w:p>
              </w:tc>
              <w:tc>
                <w:tcPr>
                  <w:tcW w:w="2714" w:type="pct"/>
                  <w:tcBorders>
                    <w:tl2br w:val="nil"/>
                    <w:tr2bl w:val="nil"/>
                  </w:tcBorders>
                  <w:noWrap w:val="0"/>
                  <w:vAlign w:val="center"/>
                </w:tcPr>
                <w:p>
                  <w:pPr>
                    <w:adjustRightInd w:val="0"/>
                    <w:snapToGrid w:val="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工程施工费</w:t>
                  </w:r>
                </w:p>
              </w:tc>
              <w:tc>
                <w:tcPr>
                  <w:tcW w:w="72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747</w:t>
                  </w:r>
                </w:p>
              </w:tc>
              <w:tc>
                <w:tcPr>
                  <w:tcW w:w="67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91.54</w:t>
                  </w:r>
                  <w:r>
                    <w:rPr>
                      <w:rFonts w:hint="eastAsia" w:eastAsia="宋体" w:cs="Times New Roman"/>
                      <w:color w:val="auto"/>
                      <w:sz w:val="21"/>
                      <w:szCs w:val="21"/>
                      <w:highlight w:val="none"/>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s="Times New Roman"/>
                      <w:color w:val="auto"/>
                      <w:sz w:val="21"/>
                      <w:szCs w:val="21"/>
                      <w:highlight w:val="none"/>
                      <w:lang w:val="en-US" w:eastAsia="zh-CN"/>
                    </w:rPr>
                  </w:pPr>
                </w:p>
              </w:tc>
              <w:tc>
                <w:tcPr>
                  <w:tcW w:w="2714" w:type="pct"/>
                  <w:tcBorders>
                    <w:tl2br w:val="nil"/>
                    <w:tr2bl w:val="nil"/>
                  </w:tcBorders>
                  <w:noWrap w:val="0"/>
                  <w:vAlign w:val="center"/>
                </w:tcPr>
                <w:p>
                  <w:pPr>
                    <w:adjustRightInd w:val="0"/>
                    <w:snapToGrid w:val="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其他费用</w:t>
                  </w:r>
                </w:p>
              </w:tc>
              <w:tc>
                <w:tcPr>
                  <w:tcW w:w="72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w:t>
                  </w:r>
                </w:p>
              </w:tc>
              <w:tc>
                <w:tcPr>
                  <w:tcW w:w="67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s="Times New Roman"/>
                      <w:color w:val="auto"/>
                      <w:sz w:val="21"/>
                      <w:szCs w:val="21"/>
                      <w:highlight w:val="none"/>
                      <w:lang w:val="en-US" w:eastAsia="zh-CN"/>
                    </w:rPr>
                  </w:pPr>
                </w:p>
              </w:tc>
              <w:tc>
                <w:tcPr>
                  <w:tcW w:w="2714" w:type="pct"/>
                  <w:tcBorders>
                    <w:tl2br w:val="nil"/>
                    <w:tr2bl w:val="nil"/>
                  </w:tcBorders>
                  <w:noWrap w:val="0"/>
                  <w:vAlign w:val="center"/>
                </w:tcPr>
                <w:p>
                  <w:pPr>
                    <w:adjustRightInd w:val="0"/>
                    <w:snapToGrid w:val="0"/>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zh-CN" w:eastAsia="zh-CN"/>
                    </w:rPr>
                    <w:t>管护与监测费</w:t>
                  </w:r>
                </w:p>
              </w:tc>
              <w:tc>
                <w:tcPr>
                  <w:tcW w:w="721" w:type="pct"/>
                  <w:tcBorders>
                    <w:tl2br w:val="nil"/>
                    <w:tr2bl w:val="nil"/>
                  </w:tcBorders>
                  <w:noWrap w:val="0"/>
                  <w:vAlign w:val="center"/>
                </w:tcPr>
                <w:p>
                  <w:pPr>
                    <w:adjustRightInd w:val="0"/>
                    <w:snapToGrid w:val="0"/>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 xml:space="preserve">10.00 </w:t>
                  </w:r>
                </w:p>
              </w:tc>
              <w:tc>
                <w:tcPr>
                  <w:tcW w:w="672" w:type="pct"/>
                  <w:tcBorders>
                    <w:tl2br w:val="nil"/>
                    <w:tr2bl w:val="nil"/>
                  </w:tcBorders>
                  <w:noWrap w:val="0"/>
                  <w:vAlign w:val="center"/>
                </w:tcPr>
                <w:p>
                  <w:pPr>
                    <w:adjustRightInd w:val="0"/>
                    <w:snapToGrid w:val="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271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2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816</w:t>
                  </w:r>
                </w:p>
              </w:tc>
              <w:tc>
                <w:tcPr>
                  <w:tcW w:w="672" w:type="pct"/>
                  <w:tcBorders>
                    <w:tl2br w:val="nil"/>
                    <w:tr2bl w:val="nil"/>
                  </w:tcBorders>
                  <w:noWrap w:val="0"/>
                  <w:vAlign w:val="center"/>
                </w:tcPr>
                <w:p>
                  <w:pPr>
                    <w:pStyle w:val="25"/>
                    <w:keepNext w:val="0"/>
                    <w:keepLines w:val="0"/>
                    <w:pageBreakBefore w:val="0"/>
                    <w:kinsoku/>
                    <w:wordWrap/>
                    <w:overflowPunct/>
                    <w:topLinePunct w:val="0"/>
                    <w:autoSpaceDE/>
                    <w:autoSpaceDN/>
                    <w:bidi w:val="0"/>
                    <w:adjustRightInd w:val="0"/>
                    <w:snapToGrid w:val="0"/>
                    <w:spacing w:before="0" w:beforeAutospacing="0" w:after="0" w:afterAutospacing="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r>
          </w:tbl>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10、施工进度安排</w:t>
            </w:r>
          </w:p>
          <w:p>
            <w:pPr>
              <w:shd w:val="clear"/>
              <w:adjustRightInd w:val="0"/>
              <w:spacing w:line="360" w:lineRule="auto"/>
              <w:ind w:firstLine="480" w:firstLineChars="200"/>
              <w:rPr>
                <w:rFonts w:hint="eastAsia"/>
                <w:sz w:val="24"/>
                <w:highlight w:val="none"/>
                <w:lang w:val="en-US" w:eastAsia="zh-CN"/>
              </w:rPr>
            </w:pPr>
            <w:r>
              <w:rPr>
                <w:rFonts w:hint="eastAsia"/>
                <w:sz w:val="24"/>
                <w:highlight w:val="none"/>
                <w:lang w:val="en-US" w:eastAsia="zh-CN"/>
              </w:rPr>
              <w:t>施工期安排4个月，工程从2021年4月开始至2021年7月结束。</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11、施工组织</w:t>
            </w:r>
          </w:p>
          <w:p>
            <w:pPr>
              <w:adjustRightInd w:val="0"/>
              <w:spacing w:line="360" w:lineRule="auto"/>
              <w:ind w:firstLine="480" w:firstLineChars="200"/>
              <w:rPr>
                <w:rFonts w:hint="eastAsia"/>
                <w:sz w:val="24"/>
                <w:highlight w:val="none"/>
              </w:rPr>
            </w:pPr>
            <w:r>
              <w:rPr>
                <w:rFonts w:hint="eastAsia"/>
                <w:sz w:val="24"/>
                <w:highlight w:val="none"/>
              </w:rPr>
              <w:t>⑴施工人员</w:t>
            </w:r>
          </w:p>
          <w:p>
            <w:pPr>
              <w:adjustRightInd w:val="0"/>
              <w:spacing w:line="360" w:lineRule="auto"/>
              <w:ind w:firstLine="480" w:firstLineChars="200"/>
              <w:rPr>
                <w:rFonts w:hint="eastAsia"/>
                <w:sz w:val="24"/>
                <w:highlight w:val="none"/>
              </w:rPr>
            </w:pPr>
            <w:r>
              <w:rPr>
                <w:rFonts w:hint="eastAsia"/>
                <w:sz w:val="24"/>
                <w:highlight w:val="none"/>
              </w:rPr>
              <w:t>本项目施工期高峰人数</w:t>
            </w:r>
            <w:r>
              <w:rPr>
                <w:rFonts w:hint="eastAsia"/>
                <w:sz w:val="24"/>
                <w:highlight w:val="none"/>
                <w:lang w:eastAsia="zh-CN"/>
              </w:rPr>
              <w:t>为</w:t>
            </w:r>
            <w:r>
              <w:rPr>
                <w:rFonts w:hint="eastAsia"/>
                <w:sz w:val="24"/>
                <w:highlight w:val="none"/>
                <w:lang w:val="en-US" w:eastAsia="zh-CN"/>
              </w:rPr>
              <w:t>40</w:t>
            </w:r>
            <w:r>
              <w:rPr>
                <w:rFonts w:hint="eastAsia"/>
                <w:sz w:val="24"/>
                <w:highlight w:val="none"/>
              </w:rPr>
              <w:t>人，主要为就近村庄村民</w:t>
            </w:r>
            <w:r>
              <w:rPr>
                <w:rFonts w:hint="eastAsia"/>
                <w:sz w:val="24"/>
                <w:highlight w:val="none"/>
                <w:lang w:eastAsia="zh-CN"/>
              </w:rPr>
              <w:t>，工地不设住宿和食堂</w:t>
            </w:r>
            <w:r>
              <w:rPr>
                <w:rFonts w:hint="eastAsia"/>
                <w:sz w:val="24"/>
                <w:highlight w:val="none"/>
              </w:rPr>
              <w:t>。</w:t>
            </w:r>
          </w:p>
          <w:p>
            <w:pPr>
              <w:adjustRightInd w:val="0"/>
              <w:spacing w:line="360" w:lineRule="auto"/>
              <w:ind w:firstLine="480" w:firstLineChars="200"/>
              <w:rPr>
                <w:rFonts w:hint="eastAsia"/>
                <w:sz w:val="24"/>
                <w:highlight w:val="none"/>
              </w:rPr>
            </w:pPr>
            <w:r>
              <w:rPr>
                <w:rFonts w:hint="eastAsia"/>
                <w:sz w:val="24"/>
                <w:highlight w:val="none"/>
              </w:rPr>
              <w:t>⑵施工方式</w:t>
            </w:r>
          </w:p>
          <w:p>
            <w:pPr>
              <w:adjustRightInd w:val="0"/>
              <w:spacing w:line="360" w:lineRule="auto"/>
              <w:ind w:firstLine="480" w:firstLineChars="200"/>
              <w:rPr>
                <w:rFonts w:hint="eastAsia" w:eastAsia="宋体"/>
                <w:sz w:val="24"/>
                <w:highlight w:val="none"/>
                <w:lang w:eastAsia="zh-CN"/>
              </w:rPr>
            </w:pPr>
            <w:r>
              <w:rPr>
                <w:rFonts w:hint="eastAsia"/>
                <w:sz w:val="24"/>
                <w:highlight w:val="none"/>
              </w:rPr>
              <w:t>本项目采取人工与机械相结合的施工方式</w:t>
            </w:r>
            <w:r>
              <w:rPr>
                <w:rFonts w:hint="eastAsia"/>
                <w:sz w:val="24"/>
                <w:highlight w:val="none"/>
                <w:lang w:eastAsia="zh-CN"/>
              </w:rPr>
              <w:t>。</w:t>
            </w:r>
          </w:p>
          <w:p>
            <w:pPr>
              <w:adjustRightInd w:val="0"/>
              <w:spacing w:line="360" w:lineRule="auto"/>
              <w:ind w:firstLine="480" w:firstLineChars="200"/>
              <w:rPr>
                <w:rFonts w:hint="eastAsia"/>
                <w:sz w:val="24"/>
                <w:highlight w:val="none"/>
              </w:rPr>
            </w:pPr>
          </w:p>
          <w:p>
            <w:pPr>
              <w:pStyle w:val="2"/>
              <w:rPr>
                <w:rFonts w:hint="eastAsia"/>
                <w:sz w:val="24"/>
                <w:highlight w:val="none"/>
              </w:rPr>
            </w:pPr>
          </w:p>
          <w:p>
            <w:pPr>
              <w:pStyle w:val="2"/>
              <w:rPr>
                <w:rFonts w:hint="eastAsia"/>
                <w:sz w:val="24"/>
                <w:highlight w:val="none"/>
              </w:rPr>
            </w:pPr>
          </w:p>
          <w:p>
            <w:pPr>
              <w:pStyle w:val="2"/>
              <w:rPr>
                <w:rFonts w:hint="eastAsia"/>
                <w:sz w:val="24"/>
                <w:highlight w:val="none"/>
              </w:rPr>
            </w:pPr>
          </w:p>
          <w:p>
            <w:pPr>
              <w:adjustRightInd w:val="0"/>
              <w:spacing w:line="360" w:lineRule="auto"/>
              <w:ind w:firstLine="0" w:firstLineChars="0"/>
              <w:rPr>
                <w:rFonts w:hint="eastAsia"/>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13" w:hRule="atLeast"/>
          <w:jc w:val="center"/>
        </w:trPr>
        <w:tc>
          <w:tcPr>
            <w:tcW w:w="9286" w:type="dxa"/>
            <w:gridSpan w:val="7"/>
            <w:tcBorders>
              <w:top w:val="single" w:color="000000" w:sz="6" w:space="0"/>
              <w:left w:val="single" w:color="000000" w:sz="12" w:space="0"/>
              <w:bottom w:val="single" w:color="000000" w:sz="12" w:space="0"/>
              <w:right w:val="single" w:color="000000" w:sz="12" w:space="0"/>
            </w:tcBorders>
            <w:noWrap w:val="0"/>
            <w:vAlign w:val="top"/>
          </w:tcPr>
          <w:p>
            <w:pPr>
              <w:adjustRightInd w:val="0"/>
              <w:spacing w:line="360" w:lineRule="auto"/>
              <w:rPr>
                <w:b/>
                <w:bCs/>
                <w:sz w:val="24"/>
              </w:rPr>
            </w:pPr>
            <w:r>
              <w:rPr>
                <w:b/>
                <w:bCs/>
                <w:sz w:val="24"/>
              </w:rPr>
              <w:t>与本项目有关的原有污染源及主要环境问题：</w:t>
            </w:r>
          </w:p>
          <w:p>
            <w:pPr>
              <w:adjustRightInd w:val="0"/>
              <w:spacing w:line="360" w:lineRule="auto"/>
              <w:ind w:firstLine="480"/>
              <w:rPr>
                <w:rFonts w:hint="default" w:ascii="Times New Roman" w:hAnsi="Times New Roman" w:eastAsia="黑体" w:cs="Times New Roman"/>
                <w:b w:val="0"/>
                <w:bCs w:val="0"/>
                <w:sz w:val="24"/>
                <w:highlight w:val="none"/>
                <w:lang w:val="en-US" w:eastAsia="zh-CN"/>
              </w:rPr>
            </w:pPr>
            <w:r>
              <w:rPr>
                <w:rFonts w:hint="default" w:ascii="Times New Roman" w:hAnsi="Times New Roman" w:eastAsia="黑体" w:cs="Times New Roman"/>
                <w:b w:val="0"/>
                <w:bCs w:val="0"/>
                <w:sz w:val="24"/>
                <w:lang w:val="en-US" w:eastAsia="zh-CN"/>
              </w:rPr>
              <w:t>1、现有项目概况</w:t>
            </w:r>
          </w:p>
          <w:p>
            <w:pPr>
              <w:adjustRightInd w:val="0"/>
              <w:spacing w:line="360" w:lineRule="auto"/>
              <w:ind w:firstLine="480"/>
              <w:rPr>
                <w:rFonts w:hint="eastAsia" w:eastAsia="宋体"/>
                <w:b w:val="0"/>
                <w:bCs w:val="0"/>
                <w:color w:val="auto"/>
                <w:sz w:val="24"/>
                <w:highlight w:val="none"/>
                <w:lang w:val="en-US" w:eastAsia="zh-CN"/>
              </w:rPr>
            </w:pPr>
            <w:r>
              <w:rPr>
                <w:rFonts w:hint="eastAsia" w:eastAsia="宋体"/>
                <w:b w:val="0"/>
                <w:bCs w:val="0"/>
                <w:color w:val="auto"/>
                <w:sz w:val="24"/>
                <w:highlight w:val="none"/>
                <w:lang w:val="en-US" w:eastAsia="zh-CN"/>
              </w:rPr>
              <w:t>煤炭治理区和建筑用砂治理区由于砂石矿易于开采，过去由于矿政管理不规范，周边采砂区砂石资源缺乏合理的规划，执法力度不够以及矿产资源和矿山环境保护意识淡薄等因素，造成随意圈占矿体、私挖乱采的现象十分严重，盗采遗留下大量的采坑。目前，虽然大部分采砂坑已被关闭，但还存在向坑内倾倒建筑垃圾、弃土及小规模的偷采现象。非法盗采不仅严重破坏了原有的地形地貌景观，导致植被破坏、土地利用价值丧失、土地沙化加剧、水土流失、地质灾害频发等，还严重制约着周边城镇和园区的发展，制约着人们的生存空间。</w:t>
            </w:r>
          </w:p>
          <w:p>
            <w:pPr>
              <w:adjustRightInd w:val="0"/>
              <w:spacing w:line="360" w:lineRule="auto"/>
              <w:ind w:firstLine="48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煤炭区治理区块沿线驮石矿区煤炭赋存露头分布，主要为历史遗留盗采坑，红寺堡区范围内主要分布有3处，煤炭治理区（M）总面积40.33</w:t>
            </w:r>
            <w:r>
              <w:rPr>
                <w:rFonts w:hint="eastAsia" w:ascii="Times New Roman" w:hAnsi="Times New Roman" w:cs="Times New Roman"/>
                <w:b w:val="0"/>
                <w:bCs w:val="0"/>
                <w:color w:val="auto"/>
                <w:sz w:val="24"/>
                <w:highlight w:val="none"/>
                <w:lang w:val="en-US" w:eastAsia="zh-CN"/>
              </w:rPr>
              <w:t>hm</w:t>
            </w:r>
            <w:r>
              <w:rPr>
                <w:rFonts w:hint="eastAsia" w:ascii="Times New Roman" w:hAnsi="Times New Roman" w:cs="Times New Roman"/>
                <w:b w:val="0"/>
                <w:bCs w:val="0"/>
                <w:color w:val="auto"/>
                <w:sz w:val="24"/>
                <w:highlight w:val="none"/>
                <w:vertAlign w:val="superscript"/>
                <w:lang w:val="en-US" w:eastAsia="zh-CN"/>
              </w:rPr>
              <w:t>2</w:t>
            </w:r>
            <w:r>
              <w:rPr>
                <w:rFonts w:hint="eastAsia" w:ascii="Times New Roman" w:hAnsi="Times New Roman" w:eastAsia="宋体" w:cs="Times New Roman"/>
                <w:b w:val="0"/>
                <w:bCs w:val="0"/>
                <w:color w:val="auto"/>
                <w:sz w:val="24"/>
                <w:highlight w:val="none"/>
                <w:lang w:val="en-US" w:eastAsia="zh-CN"/>
              </w:rPr>
              <w:t>，其中M1治理区面积11.55</w:t>
            </w:r>
            <w:r>
              <w:rPr>
                <w:rFonts w:hint="eastAsia" w:ascii="Times New Roman" w:hAnsi="Times New Roman" w:cs="Times New Roman"/>
                <w:b w:val="0"/>
                <w:bCs w:val="0"/>
                <w:color w:val="auto"/>
                <w:sz w:val="24"/>
                <w:highlight w:val="none"/>
                <w:lang w:val="en-US" w:eastAsia="zh-CN"/>
              </w:rPr>
              <w:t>hm</w:t>
            </w:r>
            <w:r>
              <w:rPr>
                <w:rFonts w:hint="eastAsia" w:ascii="Times New Roman" w:hAnsi="Times New Roman" w:cs="Times New Roman"/>
                <w:b w:val="0"/>
                <w:bCs w:val="0"/>
                <w:color w:val="auto"/>
                <w:sz w:val="24"/>
                <w:highlight w:val="none"/>
                <w:vertAlign w:val="superscript"/>
                <w:lang w:val="en-US" w:eastAsia="zh-CN"/>
              </w:rPr>
              <w:t>2</w:t>
            </w:r>
            <w:r>
              <w:rPr>
                <w:rFonts w:hint="eastAsia" w:ascii="Times New Roman" w:hAnsi="Times New Roman" w:eastAsia="宋体" w:cs="Times New Roman"/>
                <w:b w:val="0"/>
                <w:bCs w:val="0"/>
                <w:color w:val="auto"/>
                <w:sz w:val="24"/>
                <w:highlight w:val="none"/>
                <w:lang w:val="en-US" w:eastAsia="zh-CN"/>
              </w:rPr>
              <w:t>，位于芦草井沟煤矿东侧</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M2治理区面积12.85</w:t>
            </w:r>
            <w:r>
              <w:rPr>
                <w:rFonts w:hint="eastAsia" w:ascii="Times New Roman" w:hAnsi="Times New Roman" w:cs="Times New Roman"/>
                <w:b w:val="0"/>
                <w:bCs w:val="0"/>
                <w:color w:val="auto"/>
                <w:sz w:val="24"/>
                <w:highlight w:val="none"/>
                <w:lang w:val="en-US" w:eastAsia="zh-CN"/>
              </w:rPr>
              <w:t>hm</w:t>
            </w:r>
            <w:r>
              <w:rPr>
                <w:rFonts w:hint="eastAsia" w:ascii="Times New Roman" w:hAnsi="Times New Roman" w:cs="Times New Roman"/>
                <w:b w:val="0"/>
                <w:bCs w:val="0"/>
                <w:color w:val="auto"/>
                <w:sz w:val="24"/>
                <w:highlight w:val="none"/>
                <w:vertAlign w:val="superscript"/>
                <w:lang w:val="en-US" w:eastAsia="zh-CN"/>
              </w:rPr>
              <w:t>2</w:t>
            </w:r>
            <w:r>
              <w:rPr>
                <w:rFonts w:hint="eastAsia" w:ascii="Times New Roman" w:hAnsi="Times New Roman" w:eastAsia="宋体" w:cs="Times New Roman"/>
                <w:b w:val="0"/>
                <w:bCs w:val="0"/>
                <w:color w:val="auto"/>
                <w:sz w:val="24"/>
                <w:highlight w:val="none"/>
                <w:lang w:val="en-US" w:eastAsia="zh-CN"/>
              </w:rPr>
              <w:t>，位于罗花崖煤矿矿权北侧</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M3治理区面积15.93</w:t>
            </w:r>
            <w:r>
              <w:rPr>
                <w:rFonts w:hint="eastAsia" w:ascii="Times New Roman" w:hAnsi="Times New Roman" w:cs="Times New Roman"/>
                <w:b w:val="0"/>
                <w:bCs w:val="0"/>
                <w:color w:val="auto"/>
                <w:sz w:val="24"/>
                <w:highlight w:val="none"/>
                <w:lang w:val="en-US" w:eastAsia="zh-CN"/>
              </w:rPr>
              <w:t>hm</w:t>
            </w:r>
            <w:r>
              <w:rPr>
                <w:rFonts w:hint="eastAsia" w:ascii="Times New Roman" w:hAnsi="Times New Roman" w:cs="Times New Roman"/>
                <w:b w:val="0"/>
                <w:bCs w:val="0"/>
                <w:color w:val="auto"/>
                <w:sz w:val="24"/>
                <w:highlight w:val="none"/>
                <w:vertAlign w:val="superscript"/>
                <w:lang w:val="en-US" w:eastAsia="zh-CN"/>
              </w:rPr>
              <w:t>2</w:t>
            </w:r>
            <w:r>
              <w:rPr>
                <w:rFonts w:hint="eastAsia" w:ascii="Times New Roman" w:hAnsi="Times New Roman" w:eastAsia="宋体" w:cs="Times New Roman"/>
                <w:b w:val="0"/>
                <w:bCs w:val="0"/>
                <w:color w:val="auto"/>
                <w:sz w:val="24"/>
                <w:highlight w:val="none"/>
                <w:lang w:val="en-US" w:eastAsia="zh-CN"/>
              </w:rPr>
              <w:t>，位于芦草井沟煤矿北侧且在原矿权范围内。</w:t>
            </w:r>
          </w:p>
          <w:p>
            <w:pPr>
              <w:widowControl w:val="0"/>
              <w:spacing w:line="360" w:lineRule="auto"/>
              <w:ind w:firstLine="480" w:firstLineChars="200"/>
              <w:jc w:val="both"/>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b w:val="0"/>
                <w:bCs w:val="0"/>
                <w:color w:val="auto"/>
                <w:sz w:val="24"/>
                <w:highlight w:val="none"/>
                <w:lang w:val="en-US" w:eastAsia="zh-CN"/>
              </w:rPr>
              <w:t>该区域存在的地质环境问题主要是原生地貌景观破坏、土地占用及挖损、生态系统功能退化。</w:t>
            </w:r>
            <w:r>
              <w:rPr>
                <w:rFonts w:hint="default" w:ascii="Times New Roman" w:hAnsi="Times New Roman" w:eastAsia="宋体" w:cs="Times New Roman"/>
                <w:kern w:val="2"/>
                <w:sz w:val="24"/>
                <w:szCs w:val="24"/>
              </w:rPr>
              <w:t>另外，采砂坑四周的高陡边坡有潜在的崩塌灾害，弃土弃渣堆放在冲沟内时刻威胁附近村民住宅及出行道路安全</w:t>
            </w:r>
            <w:r>
              <w:rPr>
                <w:rFonts w:hint="eastAsia" w:ascii="Times New Roman" w:hAnsi="Times New Roman" w:eastAsia="宋体" w:cs="Times New Roman"/>
                <w:kern w:val="2"/>
                <w:sz w:val="24"/>
                <w:szCs w:val="24"/>
                <w:lang w:eastAsia="zh-CN"/>
              </w:rPr>
              <w:t>。</w:t>
            </w:r>
          </w:p>
          <w:p>
            <w:pPr>
              <w:widowControl w:val="0"/>
              <w:spacing w:line="360" w:lineRule="auto"/>
              <w:ind w:firstLine="480" w:firstLineChars="200"/>
              <w:jc w:val="both"/>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rPr>
              <w:t>建筑用砂区主要集中在京藏高速、</w:t>
            </w:r>
            <w:r>
              <w:rPr>
                <w:rFonts w:hint="eastAsia" w:ascii="Times New Roman" w:hAnsi="Times New Roman" w:eastAsia="宋体" w:cs="Times New Roman"/>
                <w:kern w:val="2"/>
                <w:sz w:val="24"/>
                <w:szCs w:val="24"/>
                <w:lang w:val="en-US" w:eastAsia="zh-CN"/>
              </w:rPr>
              <w:t>太中银铁路</w:t>
            </w:r>
            <w:r>
              <w:rPr>
                <w:rFonts w:hint="eastAsia" w:ascii="Times New Roman" w:hAnsi="Times New Roman" w:eastAsia="宋体" w:cs="Times New Roman"/>
                <w:kern w:val="2"/>
                <w:sz w:val="24"/>
                <w:szCs w:val="24"/>
              </w:rPr>
              <w:t>两侧，主要是历史遗留废弃采砂场，原采矿证注销时间较早，未履行土地复垦的职责，已无法确定责任主体，因此均划为政府治理责任区。根据现状走访调查结果，红寺堡区范围内主要分布有</w:t>
            </w:r>
            <w:r>
              <w:rPr>
                <w:rFonts w:hint="eastAsia" w:ascii="Times New Roman" w:hAnsi="Times New Roman" w:eastAsia="宋体" w:cs="Times New Roman"/>
                <w:kern w:val="2"/>
                <w:sz w:val="24"/>
                <w:szCs w:val="24"/>
                <w:lang w:val="en-US" w:eastAsia="zh-CN"/>
              </w:rPr>
              <w:t>1</w:t>
            </w:r>
            <w:r>
              <w:rPr>
                <w:rFonts w:hint="eastAsia" w:ascii="Times New Roman" w:hAnsi="Times New Roman" w:eastAsia="宋体" w:cs="Times New Roman"/>
                <w:kern w:val="2"/>
                <w:sz w:val="24"/>
                <w:szCs w:val="24"/>
              </w:rPr>
              <w:t>处。现状建筑用砂治理区（S</w:t>
            </w:r>
            <w:r>
              <w:rPr>
                <w:rFonts w:hint="eastAsia" w:ascii="Times New Roman" w:hAnsi="Times New Roman" w:eastAsia="宋体" w:cs="Times New Roman"/>
                <w:kern w:val="2"/>
                <w:sz w:val="24"/>
                <w:szCs w:val="24"/>
                <w:lang w:val="en-US" w:eastAsia="zh-CN"/>
              </w:rPr>
              <w:t>1</w:t>
            </w:r>
            <w:r>
              <w:rPr>
                <w:rFonts w:hint="eastAsia" w:ascii="Times New Roman" w:hAnsi="Times New Roman" w:eastAsia="宋体" w:cs="Times New Roman"/>
                <w:kern w:val="2"/>
                <w:sz w:val="24"/>
                <w:szCs w:val="24"/>
              </w:rPr>
              <w:t>）面积</w:t>
            </w:r>
            <w:r>
              <w:rPr>
                <w:rFonts w:hint="eastAsia" w:ascii="Times New Roman" w:hAnsi="Times New Roman" w:eastAsia="宋体" w:cs="Times New Roman"/>
                <w:kern w:val="2"/>
                <w:sz w:val="24"/>
                <w:szCs w:val="24"/>
                <w:lang w:val="en-US" w:eastAsia="zh-CN"/>
              </w:rPr>
              <w:t>34.10</w:t>
            </w:r>
            <w:r>
              <w:rPr>
                <w:rFonts w:hint="eastAsia" w:ascii="Times New Roman" w:hAnsi="Times New Roman" w:eastAsia="宋体" w:cs="Times New Roman"/>
                <w:kern w:val="2"/>
                <w:sz w:val="24"/>
                <w:szCs w:val="24"/>
              </w:rPr>
              <w:t>公顷。该区域存在的地质环境问题主要是原生地貌景观破坏、土地占用及挖损、生态系统功能退化</w:t>
            </w:r>
            <w:r>
              <w:rPr>
                <w:rFonts w:hint="eastAsia" w:ascii="Times New Roman" w:hAnsi="Times New Roman" w:cs="Times New Roman"/>
                <w:kern w:val="2"/>
                <w:sz w:val="24"/>
                <w:szCs w:val="24"/>
                <w:lang w:eastAsia="zh-CN"/>
              </w:rPr>
              <w:t>。</w:t>
            </w:r>
          </w:p>
          <w:p>
            <w:pPr>
              <w:adjustRightInd w:val="0"/>
              <w:spacing w:line="360" w:lineRule="auto"/>
              <w:ind w:firstLine="480"/>
              <w:rPr>
                <w:rFonts w:hint="default" w:ascii="Times New Roman" w:hAnsi="Times New Roman" w:eastAsia="黑体" w:cs="Times New Roman"/>
                <w:b w:val="0"/>
                <w:bCs w:val="0"/>
                <w:sz w:val="24"/>
                <w:lang w:val="en-US" w:eastAsia="zh-CN"/>
              </w:rPr>
            </w:pPr>
            <w:r>
              <w:rPr>
                <w:rFonts w:hint="eastAsia" w:ascii="Times New Roman" w:hAnsi="Times New Roman" w:eastAsia="黑体" w:cs="Times New Roman"/>
                <w:b w:val="0"/>
                <w:bCs w:val="0"/>
                <w:sz w:val="24"/>
                <w:lang w:val="en-US" w:eastAsia="zh-CN"/>
              </w:rPr>
              <w:t>2、存在的问题</w:t>
            </w:r>
          </w:p>
          <w:p>
            <w:pPr>
              <w:adjustRightInd w:val="0"/>
              <w:spacing w:line="360" w:lineRule="auto"/>
              <w:ind w:firstLine="48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⑴</w:t>
            </w:r>
            <w:r>
              <w:rPr>
                <w:rFonts w:hint="default" w:ascii="Times New Roman" w:hAnsi="Times New Roman" w:eastAsia="宋体" w:cs="Times New Roman"/>
                <w:b w:val="0"/>
                <w:bCs w:val="0"/>
                <w:color w:val="auto"/>
                <w:sz w:val="24"/>
                <w:szCs w:val="24"/>
                <w:highlight w:val="none"/>
                <w:lang w:val="en-US" w:eastAsia="zh-CN"/>
              </w:rPr>
              <w:t>地质灾害</w:t>
            </w:r>
          </w:p>
          <w:p>
            <w:pPr>
              <w:spacing w:line="360" w:lineRule="auto"/>
              <w:ind w:firstLine="560"/>
              <w:rPr>
                <w:rFonts w:hint="default" w:ascii="Times New Roman" w:hAnsi="Times New Roman" w:eastAsia="宋体" w:cs="Times New Roman"/>
                <w:sz w:val="24"/>
                <w:szCs w:val="24"/>
                <w:highlight w:val="none"/>
              </w:rPr>
            </w:pPr>
            <w:r>
              <w:rPr>
                <w:rFonts w:hint="eastAsia" w:ascii="Times New Roman" w:hAnsi="Times New Roman" w:eastAsia="宋体" w:cs="Times New Roman"/>
                <w:kern w:val="2"/>
                <w:sz w:val="24"/>
                <w:szCs w:val="24"/>
                <w:highlight w:val="none"/>
                <w:lang w:val="en-US" w:eastAsia="zh-CN" w:bidi="ar-SA"/>
              </w:rPr>
              <w:t>采矿活动主要引起的地质灾害危险性评估的灾种有：崩塌、滑坡、泥（渣）石流、地面塌陷、地裂缝等。根据现场调查局部边坡接近80°，现场发现已存在地裂缝、崩塌（滑坡）裂隙，盗采人员在内部活动很容易因为矿体采动引起次生地质灾害</w:t>
            </w:r>
            <w:r>
              <w:rPr>
                <w:rFonts w:hint="eastAsia" w:cs="Times New Roman"/>
                <w:kern w:val="2"/>
                <w:sz w:val="24"/>
                <w:szCs w:val="24"/>
                <w:highlight w:val="none"/>
                <w:lang w:val="en-US" w:eastAsia="zh-CN" w:bidi="ar-SA"/>
              </w:rPr>
              <w:t>。</w:t>
            </w:r>
            <w:r>
              <w:rPr>
                <w:rFonts w:hint="default" w:ascii="Times New Roman" w:hAnsi="Times New Roman" w:eastAsia="宋体" w:cs="Times New Roman"/>
                <w:sz w:val="24"/>
                <w:szCs w:val="24"/>
                <w:highlight w:val="none"/>
              </w:rPr>
              <w:t>遗留下的采坑及废弃物遍布，采坑边坡陡倾，采坑周边分布有草场、其他草地及电力线路，人类工程活动较频繁，采坑四周没有任何警示防护设施，也无夜间照明设备，对牧民及牲畜的安全构成极大威胁；如果遇到强降雨，在现状地质环境条件下发生崩塌地质灾害的可能性大。</w:t>
            </w:r>
          </w:p>
          <w:p>
            <w:pPr>
              <w:spacing w:line="360" w:lineRule="auto"/>
              <w:ind w:firstLine="56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M1治理区地质灾害情况</w:t>
            </w:r>
            <w:r>
              <w:rPr>
                <w:rFonts w:hint="eastAsia"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M1治理区南部有1处长约320米的不稳定边坡，边坡最大高差30米，最大坡度约70度，平均坡度约45°。</w:t>
            </w:r>
          </w:p>
          <w:p>
            <w:pPr>
              <w:spacing w:line="360" w:lineRule="auto"/>
              <w:ind w:firstLine="56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M2治理区地质灾害情况</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M</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治理区南部有1处长约</w:t>
            </w:r>
            <w:r>
              <w:rPr>
                <w:rFonts w:hint="eastAsia" w:ascii="Times New Roman" w:hAnsi="Times New Roman" w:eastAsia="宋体" w:cs="Times New Roman"/>
                <w:sz w:val="24"/>
                <w:szCs w:val="24"/>
                <w:highlight w:val="none"/>
                <w:lang w:val="en-US" w:eastAsia="zh-CN"/>
              </w:rPr>
              <w:t>21</w:t>
            </w:r>
            <w:r>
              <w:rPr>
                <w:rFonts w:hint="default" w:ascii="Times New Roman" w:hAnsi="Times New Roman" w:eastAsia="宋体" w:cs="Times New Roman"/>
                <w:sz w:val="24"/>
                <w:szCs w:val="24"/>
                <w:highlight w:val="none"/>
                <w:lang w:val="en-US" w:eastAsia="zh-CN"/>
              </w:rPr>
              <w:t>0米的不稳定边坡，边坡最大高差</w:t>
            </w:r>
            <w:r>
              <w:rPr>
                <w:rFonts w:hint="eastAsia" w:ascii="Times New Roman" w:hAnsi="Times New Roman" w:eastAsia="宋体" w:cs="Times New Roman"/>
                <w:sz w:val="24"/>
                <w:szCs w:val="24"/>
                <w:highlight w:val="none"/>
                <w:lang w:val="en-US" w:eastAsia="zh-CN"/>
              </w:rPr>
              <w:t>16</w:t>
            </w:r>
            <w:r>
              <w:rPr>
                <w:rFonts w:hint="default" w:ascii="Times New Roman" w:hAnsi="Times New Roman" w:eastAsia="宋体" w:cs="Times New Roman"/>
                <w:sz w:val="24"/>
                <w:szCs w:val="24"/>
                <w:highlight w:val="none"/>
                <w:lang w:val="en-US" w:eastAsia="zh-CN"/>
              </w:rPr>
              <w:t>米，最大坡度约</w:t>
            </w:r>
            <w:r>
              <w:rPr>
                <w:rFonts w:hint="eastAsia" w:ascii="Times New Roman" w:hAnsi="Times New Roman" w:eastAsia="宋体" w:cs="Times New Roman"/>
                <w:sz w:val="24"/>
                <w:szCs w:val="24"/>
                <w:highlight w:val="none"/>
                <w:lang w:val="en-US" w:eastAsia="zh-CN"/>
              </w:rPr>
              <w:t>60</w:t>
            </w:r>
            <w:r>
              <w:rPr>
                <w:rFonts w:hint="default" w:ascii="Times New Roman" w:hAnsi="Times New Roman" w:eastAsia="宋体" w:cs="Times New Roman"/>
                <w:sz w:val="24"/>
                <w:szCs w:val="24"/>
                <w:highlight w:val="none"/>
                <w:lang w:val="en-US" w:eastAsia="zh-CN"/>
              </w:rPr>
              <w:t>度，平均坡度约45°。</w:t>
            </w:r>
          </w:p>
          <w:p>
            <w:pPr>
              <w:spacing w:line="360" w:lineRule="auto"/>
              <w:ind w:firstLine="560"/>
              <w:rPr>
                <w:rFonts w:hint="default"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M3治理区地质灾害情况</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M</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治理区南部有1处长约</w:t>
            </w:r>
            <w:r>
              <w:rPr>
                <w:rFonts w:hint="eastAsia" w:ascii="Times New Roman" w:hAnsi="Times New Roman" w:eastAsia="宋体" w:cs="Times New Roman"/>
                <w:sz w:val="24"/>
                <w:szCs w:val="24"/>
                <w:highlight w:val="none"/>
                <w:lang w:val="en-US" w:eastAsia="zh-CN"/>
              </w:rPr>
              <w:t>330</w:t>
            </w:r>
            <w:r>
              <w:rPr>
                <w:rFonts w:hint="default" w:ascii="Times New Roman" w:hAnsi="Times New Roman" w:eastAsia="宋体" w:cs="Times New Roman"/>
                <w:sz w:val="24"/>
                <w:szCs w:val="24"/>
                <w:highlight w:val="none"/>
                <w:lang w:val="en-US" w:eastAsia="zh-CN"/>
              </w:rPr>
              <w:t>米的不稳定</w:t>
            </w:r>
            <w:r>
              <w:rPr>
                <w:rFonts w:hint="default" w:ascii="Times New Roman" w:hAnsi="Times New Roman" w:eastAsia="宋体" w:cs="Times New Roman"/>
                <w:b w:val="0"/>
                <w:kern w:val="2"/>
                <w:sz w:val="24"/>
                <w:szCs w:val="24"/>
                <w:highlight w:val="none"/>
                <w:lang w:val="en-US" w:eastAsia="zh-CN" w:bidi="ar-SA"/>
              </w:rPr>
              <w:t>边坡，边坡最大高差</w:t>
            </w:r>
            <w:r>
              <w:rPr>
                <w:rFonts w:hint="eastAsia" w:ascii="Times New Roman" w:hAnsi="Times New Roman" w:eastAsia="宋体" w:cs="Times New Roman"/>
                <w:b w:val="0"/>
                <w:kern w:val="2"/>
                <w:sz w:val="24"/>
                <w:szCs w:val="24"/>
                <w:highlight w:val="none"/>
                <w:lang w:val="en-US" w:eastAsia="zh-CN" w:bidi="ar-SA"/>
              </w:rPr>
              <w:t>20</w:t>
            </w:r>
            <w:r>
              <w:rPr>
                <w:rFonts w:hint="default" w:ascii="Times New Roman" w:hAnsi="Times New Roman" w:eastAsia="宋体" w:cs="Times New Roman"/>
                <w:b w:val="0"/>
                <w:kern w:val="2"/>
                <w:sz w:val="24"/>
                <w:szCs w:val="24"/>
                <w:highlight w:val="none"/>
                <w:lang w:val="en-US" w:eastAsia="zh-CN" w:bidi="ar-SA"/>
              </w:rPr>
              <w:t>米，最大坡度约</w:t>
            </w:r>
            <w:r>
              <w:rPr>
                <w:rFonts w:hint="eastAsia" w:ascii="Times New Roman" w:hAnsi="Times New Roman" w:eastAsia="宋体" w:cs="Times New Roman"/>
                <w:b w:val="0"/>
                <w:kern w:val="2"/>
                <w:sz w:val="24"/>
                <w:szCs w:val="24"/>
                <w:highlight w:val="none"/>
                <w:lang w:val="en-US" w:eastAsia="zh-CN" w:bidi="ar-SA"/>
              </w:rPr>
              <w:t>72</w:t>
            </w:r>
            <w:r>
              <w:rPr>
                <w:rFonts w:hint="default" w:ascii="Times New Roman" w:hAnsi="Times New Roman" w:eastAsia="宋体" w:cs="Times New Roman"/>
                <w:b w:val="0"/>
                <w:kern w:val="2"/>
                <w:sz w:val="24"/>
                <w:szCs w:val="24"/>
                <w:highlight w:val="none"/>
                <w:lang w:val="en-US" w:eastAsia="zh-CN" w:bidi="ar-SA"/>
              </w:rPr>
              <w:t>度，平均坡度约4</w:t>
            </w:r>
            <w:r>
              <w:rPr>
                <w:rFonts w:hint="eastAsia" w:ascii="Times New Roman" w:hAnsi="Times New Roman" w:eastAsia="宋体" w:cs="Times New Roman"/>
                <w:b w:val="0"/>
                <w:kern w:val="2"/>
                <w:sz w:val="24"/>
                <w:szCs w:val="24"/>
                <w:highlight w:val="none"/>
                <w:lang w:val="en-US" w:eastAsia="zh-CN" w:bidi="ar-SA"/>
              </w:rPr>
              <w:t>3</w:t>
            </w:r>
            <w:r>
              <w:rPr>
                <w:rFonts w:hint="default" w:ascii="Times New Roman" w:hAnsi="Times New Roman" w:eastAsia="宋体" w:cs="Times New Roman"/>
                <w:b w:val="0"/>
                <w:kern w:val="2"/>
                <w:sz w:val="24"/>
                <w:szCs w:val="24"/>
                <w:highlight w:val="none"/>
                <w:lang w:val="en-US" w:eastAsia="zh-CN" w:bidi="ar-SA"/>
              </w:rPr>
              <w:t>°。</w:t>
            </w:r>
          </w:p>
          <w:p>
            <w:pPr>
              <w:spacing w:line="360" w:lineRule="auto"/>
              <w:ind w:firstLine="560"/>
              <w:rPr>
                <w:rFonts w:hint="eastAsia" w:cs="Times New Roman"/>
                <w:sz w:val="24"/>
                <w:szCs w:val="24"/>
                <w:highlight w:val="none"/>
                <w:lang w:val="en-US" w:eastAsia="zh-CN"/>
              </w:rPr>
            </w:pPr>
            <w:r>
              <w:rPr>
                <w:rFonts w:hint="eastAsia" w:cs="Times New Roman"/>
                <w:sz w:val="24"/>
                <w:szCs w:val="24"/>
                <w:highlight w:val="none"/>
                <w:lang w:val="en-US" w:eastAsia="zh-CN"/>
              </w:rPr>
              <w:t>S1治理区地质灾害情况：建筑用砂一号治理区位于京藏高速与定武高速交叉处以南1千米、皮条沟内，由5个历史遗留的采坑组成（由南向北分别命名为S1-1</w:t>
            </w:r>
            <w:r>
              <w:rPr>
                <w:rFonts w:hint="default" w:cs="Times New Roman"/>
                <w:sz w:val="24"/>
                <w:szCs w:val="24"/>
                <w:highlight w:val="none"/>
                <w:lang w:val="en-US" w:eastAsia="zh-CN"/>
              </w:rPr>
              <w:t>~</w:t>
            </w:r>
            <w:r>
              <w:rPr>
                <w:rFonts w:hint="eastAsia" w:cs="Times New Roman"/>
                <w:sz w:val="24"/>
                <w:szCs w:val="24"/>
                <w:highlight w:val="none"/>
                <w:lang w:val="en-US" w:eastAsia="zh-CN"/>
              </w:rPr>
              <w:t>S1-5），对土地的破坏类型主要为挖损和压占，治理区占地面积共34.10公顷。</w:t>
            </w:r>
          </w:p>
          <w:p>
            <w:pPr>
              <w:pStyle w:val="12"/>
              <w:jc w:val="center"/>
              <w:rPr>
                <w:rFonts w:hint="eastAsia"/>
                <w:lang w:val="en-US" w:eastAsia="zh-CN"/>
              </w:rPr>
            </w:pPr>
            <w:r>
              <w:rPr>
                <w:rFonts w:hint="eastAsia"/>
                <w:lang w:val="en-US" w:eastAsia="zh-CN"/>
              </w:rPr>
              <w:drawing>
                <wp:inline distT="0" distB="0" distL="114300" distR="114300">
                  <wp:extent cx="3832860" cy="2888615"/>
                  <wp:effectExtent l="0" t="0" r="15240" b="6985"/>
                  <wp:docPr id="4" name="图片 4" descr="O[2P4)3S3J%BZ{[[LN`[XB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O[2P4)3S3J%BZ{[[LN`[XBE"/>
                          <pic:cNvPicPr>
                            <a:picLocks noChangeAspect="true"/>
                          </pic:cNvPicPr>
                        </pic:nvPicPr>
                        <pic:blipFill>
                          <a:blip r:embed="rId5"/>
                          <a:stretch>
                            <a:fillRect/>
                          </a:stretch>
                        </pic:blipFill>
                        <pic:spPr>
                          <a:xfrm>
                            <a:off x="0" y="0"/>
                            <a:ext cx="3832860" cy="2888615"/>
                          </a:xfrm>
                          <a:prstGeom prst="rect">
                            <a:avLst/>
                          </a:prstGeom>
                        </pic:spPr>
                      </pic:pic>
                    </a:graphicData>
                  </a:graphic>
                </wp:inline>
              </w:drawing>
            </w:r>
          </w:p>
          <w:p>
            <w:pPr>
              <w:pStyle w:val="12"/>
              <w:jc w:val="center"/>
              <w:rPr>
                <w:rFonts w:hint="default" w:ascii="Times New Roman" w:hAnsi="Times New Roman" w:eastAsia="宋体" w:cs="Times New Roman"/>
                <w:b w:val="0"/>
                <w:bCs w:val="0"/>
                <w:color w:val="auto"/>
                <w:sz w:val="24"/>
                <w:szCs w:val="24"/>
                <w:highlight w:val="none"/>
                <w:lang w:val="en-US" w:eastAsia="zh-CN"/>
              </w:rPr>
            </w:pPr>
            <w:r>
              <w:rPr>
                <w:rFonts w:hint="eastAsia" w:cs="Times New Roman"/>
                <w:b/>
                <w:bCs/>
                <w:color w:val="auto"/>
                <w:sz w:val="24"/>
                <w:szCs w:val="24"/>
                <w:highlight w:val="none"/>
                <w:lang w:val="en-US" w:eastAsia="zh-CN"/>
              </w:rPr>
              <w:t xml:space="preserve">图1-15    </w:t>
            </w:r>
            <w:r>
              <w:rPr>
                <w:rFonts w:hint="eastAsia" w:ascii="Times New Roman" w:hAnsi="Times New Roman" w:eastAsia="宋体" w:cs="Times New Roman"/>
                <w:b/>
                <w:bCs/>
                <w:color w:val="auto"/>
                <w:sz w:val="24"/>
                <w:szCs w:val="24"/>
                <w:highlight w:val="none"/>
                <w:lang w:val="en-US" w:eastAsia="zh-CN"/>
              </w:rPr>
              <w:t>不稳定边坡</w:t>
            </w:r>
          </w:p>
          <w:p>
            <w:pPr>
              <w:adjustRightInd w:val="0"/>
              <w:spacing w:line="360" w:lineRule="auto"/>
              <w:ind w:firstLine="48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⑵地形地貌破坏</w:t>
            </w:r>
          </w:p>
          <w:p>
            <w:pPr>
              <w:pStyle w:val="27"/>
              <w:spacing w:line="360" w:lineRule="auto"/>
              <w:ind w:firstLine="560"/>
              <w:rPr>
                <w:rFonts w:hint="default" w:ascii="Times New Roman" w:hAnsi="Times New Roman" w:eastAsia="宋体" w:cs="Times New Roman"/>
                <w:sz w:val="24"/>
                <w:szCs w:val="24"/>
                <w:highlight w:val="none"/>
                <w:lang w:val="en-US" w:eastAsia="zh-CN"/>
              </w:rPr>
            </w:pPr>
            <w:r>
              <w:rPr>
                <w:rFonts w:hint="eastAsia" w:eastAsia="宋体" w:cs="Times New Roman"/>
                <w:sz w:val="24"/>
                <w:szCs w:val="24"/>
                <w:highlight w:val="none"/>
                <w:lang w:eastAsia="zh-CN"/>
              </w:rPr>
              <w:t>煤炭</w:t>
            </w:r>
            <w:r>
              <w:rPr>
                <w:rFonts w:hint="default" w:ascii="Times New Roman" w:hAnsi="Times New Roman" w:eastAsia="宋体" w:cs="Times New Roman"/>
                <w:sz w:val="24"/>
                <w:szCs w:val="24"/>
                <w:highlight w:val="none"/>
              </w:rPr>
              <w:t>治理区</w:t>
            </w:r>
            <w:r>
              <w:rPr>
                <w:rFonts w:hint="eastAsia" w:ascii="Times New Roman" w:hAnsi="Times New Roman" w:eastAsia="宋体" w:cs="Times New Roman"/>
                <w:sz w:val="24"/>
                <w:szCs w:val="24"/>
                <w:highlight w:val="none"/>
                <w:lang w:val="en-US" w:eastAsia="zh-CN"/>
              </w:rPr>
              <w:t>矿山建设与开采活动改变了原有的地形条件和地貌特征，植被及地貌景观遭到破坏，采矿活动形成的采坑、渣（煤）堆等造成采坑遍布、陡坎林立、渣堆遍布、表土松散，与周边原始地貌极不协调。项目区内采矿活动造成地形地貌破坏严重，视觉效果极差，项目区内共有74.43公顷土地地形地貌破坏。</w:t>
            </w:r>
          </w:p>
          <w:p>
            <w:pPr>
              <w:adjustRightInd w:val="0"/>
              <w:spacing w:line="360" w:lineRule="auto"/>
              <w:ind w:firstLine="240" w:firstLineChars="100"/>
              <w:jc w:val="center"/>
              <w:rPr>
                <w:rFonts w:hint="default" w:ascii="Times New Roman" w:hAnsi="Times New Roman" w:eastAsia="宋体" w:cs="Times New Roman"/>
                <w:sz w:val="24"/>
                <w:szCs w:val="24"/>
                <w:highlight w:val="yellow"/>
              </w:rPr>
            </w:pPr>
            <w:r>
              <w:rPr>
                <w:rFonts w:hint="default" w:ascii="Times New Roman" w:hAnsi="Times New Roman" w:eastAsia="宋体" w:cs="Times New Roman"/>
                <w:sz w:val="24"/>
                <w:szCs w:val="24"/>
                <w:highlight w:val="none"/>
              </w:rPr>
              <w:drawing>
                <wp:inline distT="0" distB="0" distL="114300" distR="114300">
                  <wp:extent cx="4422140" cy="2715260"/>
                  <wp:effectExtent l="0" t="0" r="16510" b="8890"/>
                  <wp:docPr id="23" name="图片 23" descr="P_BMU$GW]KIYJ$O]GWX7]%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P_BMU$GW]KIYJ$O]GWX7]%B"/>
                          <pic:cNvPicPr>
                            <a:picLocks noChangeAspect="true"/>
                          </pic:cNvPicPr>
                        </pic:nvPicPr>
                        <pic:blipFill>
                          <a:blip r:embed="rId6"/>
                          <a:stretch>
                            <a:fillRect/>
                          </a:stretch>
                        </pic:blipFill>
                        <pic:spPr>
                          <a:xfrm>
                            <a:off x="0" y="0"/>
                            <a:ext cx="4422140" cy="2715260"/>
                          </a:xfrm>
                          <a:prstGeom prst="rect">
                            <a:avLst/>
                          </a:prstGeom>
                        </pic:spPr>
                      </pic:pic>
                    </a:graphicData>
                  </a:graphic>
                </wp:inline>
              </w:drawing>
            </w:r>
          </w:p>
          <w:p>
            <w:pPr>
              <w:pStyle w:val="12"/>
              <w:spacing w:line="360" w:lineRule="auto"/>
              <w:jc w:val="center"/>
              <w:rPr>
                <w:rFonts w:hint="default"/>
                <w:highlight w:val="none"/>
              </w:rPr>
            </w:pPr>
            <w:r>
              <w:rPr>
                <w:rFonts w:hint="eastAsia" w:cs="Times New Roman"/>
                <w:b/>
                <w:bCs/>
                <w:kern w:val="2"/>
                <w:sz w:val="24"/>
                <w:szCs w:val="24"/>
                <w:highlight w:val="none"/>
                <w:lang w:val="en-US" w:eastAsia="zh-CN"/>
              </w:rPr>
              <w:t xml:space="preserve">图1-16    </w:t>
            </w:r>
            <w:r>
              <w:rPr>
                <w:rFonts w:hint="eastAsia" w:ascii="Times New Roman" w:hAnsi="Times New Roman" w:cs="Times New Roman"/>
                <w:b/>
                <w:bCs/>
                <w:kern w:val="2"/>
                <w:sz w:val="24"/>
                <w:szCs w:val="24"/>
                <w:highlight w:val="none"/>
                <w:lang w:val="en-US" w:eastAsia="zh-CN"/>
              </w:rPr>
              <w:t>煤炭治理区</w:t>
            </w:r>
            <w:r>
              <w:rPr>
                <w:rFonts w:hint="eastAsia" w:ascii="Times New Roman" w:hAnsi="Times New Roman" w:eastAsia="宋体" w:cs="Times New Roman"/>
                <w:b/>
                <w:bCs/>
                <w:kern w:val="2"/>
                <w:sz w:val="24"/>
                <w:szCs w:val="24"/>
                <w:highlight w:val="none"/>
                <w:lang w:val="en-US" w:eastAsia="zh-CN"/>
              </w:rPr>
              <w:t>采坑破坏地形地貌景观</w:t>
            </w:r>
          </w:p>
          <w:p>
            <w:pPr>
              <w:pStyle w:val="5"/>
              <w:pageBreakBefore w:val="0"/>
              <w:widowControl w:val="0"/>
              <w:numPr>
                <w:ilvl w:val="0"/>
                <w:numId w:val="0"/>
              </w:numPr>
              <w:kinsoku/>
              <w:wordWrap/>
              <w:overflowPunct/>
              <w:topLinePunct w:val="0"/>
              <w:autoSpaceDE/>
              <w:autoSpaceDN/>
              <w:bidi w:val="0"/>
              <w:adjustRightInd/>
              <w:snapToGrid w:val="0"/>
              <w:spacing w:beforeLines="0" w:afterLines="0" w:line="360" w:lineRule="auto"/>
              <w:ind w:firstLine="480" w:firstLineChars="200"/>
              <w:textAlignment w:val="auto"/>
              <w:rPr>
                <w:rFonts w:hint="default"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①M1治理区地质环境现状</w:t>
            </w:r>
          </w:p>
          <w:p>
            <w:pPr>
              <w:pageBreakBefore w:val="0"/>
              <w:widowControl/>
              <w:kinsoku/>
              <w:wordWrap/>
              <w:overflowPunct/>
              <w:topLinePunct w:val="0"/>
              <w:autoSpaceDE/>
              <w:autoSpaceDN/>
              <w:bidi w:val="0"/>
              <w:adjustRightInd/>
              <w:snapToGrid/>
              <w:spacing w:line="360" w:lineRule="auto"/>
              <w:ind w:firstLine="560"/>
              <w:jc w:val="left"/>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M1治理区占地面积11.55公顷，</w:t>
            </w:r>
            <w:r>
              <w:rPr>
                <w:rFonts w:hint="eastAsia" w:cs="Times New Roman"/>
                <w:sz w:val="24"/>
                <w:szCs w:val="24"/>
                <w:highlight w:val="none"/>
                <w:lang w:val="en-US" w:eastAsia="zh-CN"/>
              </w:rPr>
              <w:t>现状存在1处尾坑（WK1）、1处渣堆（ZD1），见图1-17。WK1面积1.39hm</w:t>
            </w:r>
            <w:r>
              <w:rPr>
                <w:rFonts w:hint="eastAsia" w:cs="Times New Roman"/>
                <w:sz w:val="24"/>
                <w:szCs w:val="24"/>
                <w:highlight w:val="none"/>
                <w:vertAlign w:val="superscript"/>
                <w:lang w:val="en-US" w:eastAsia="zh-CN"/>
              </w:rPr>
              <w:t xml:space="preserve"> 2</w:t>
            </w:r>
            <w:r>
              <w:rPr>
                <w:rFonts w:hint="eastAsia" w:cs="Times New Roman"/>
                <w:sz w:val="24"/>
                <w:szCs w:val="24"/>
                <w:highlight w:val="none"/>
                <w:lang w:val="en-US" w:eastAsia="zh-CN"/>
              </w:rPr>
              <w:t xml:space="preserve">，标高1456-1492m，尾坑最大深度32m；ZD1面积4.39hm </w:t>
            </w:r>
            <w:r>
              <w:rPr>
                <w:rFonts w:hint="eastAsia" w:cs="Times New Roman"/>
                <w:sz w:val="24"/>
                <w:szCs w:val="24"/>
                <w:highlight w:val="none"/>
                <w:vertAlign w:val="superscript"/>
                <w:lang w:val="en-US" w:eastAsia="zh-CN"/>
              </w:rPr>
              <w:t>2</w:t>
            </w:r>
            <w:r>
              <w:rPr>
                <w:rFonts w:hint="eastAsia" w:cs="Times New Roman"/>
                <w:sz w:val="24"/>
                <w:szCs w:val="24"/>
                <w:highlight w:val="none"/>
                <w:vertAlign w:val="baseline"/>
                <w:lang w:val="en-US" w:eastAsia="zh-CN"/>
              </w:rPr>
              <w:t>，</w:t>
            </w:r>
            <w:r>
              <w:rPr>
                <w:rFonts w:hint="eastAsia" w:cs="Times New Roman"/>
                <w:sz w:val="24"/>
                <w:szCs w:val="24"/>
                <w:highlight w:val="none"/>
                <w:lang w:val="en-US" w:eastAsia="zh-CN"/>
              </w:rPr>
              <w:t>标高1446-1498m，渣堆最大高度10m</w:t>
            </w:r>
            <w:r>
              <w:rPr>
                <w:rFonts w:hint="eastAsia" w:ascii="Times New Roman" w:hAnsi="Times New Roman" w:eastAsia="宋体" w:cs="Times New Roman"/>
                <w:sz w:val="24"/>
                <w:szCs w:val="24"/>
                <w:highlight w:val="none"/>
                <w:lang w:val="en-US" w:eastAsia="zh-CN"/>
              </w:rPr>
              <w:t>。</w:t>
            </w:r>
          </w:p>
          <w:p>
            <w:pPr>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drawing>
                <wp:inline distT="0" distB="0" distL="114300" distR="114300">
                  <wp:extent cx="2326005" cy="3349625"/>
                  <wp:effectExtent l="0" t="0" r="3175" b="17145"/>
                  <wp:docPr id="3" name="图片 3" descr="7{LDJV1O7]F6K198%KX}K6K"/>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7{LDJV1O7]F6K198%KX}K6K"/>
                          <pic:cNvPicPr>
                            <a:picLocks noChangeAspect="true"/>
                          </pic:cNvPicPr>
                        </pic:nvPicPr>
                        <pic:blipFill>
                          <a:blip r:embed="rId7"/>
                          <a:stretch>
                            <a:fillRect/>
                          </a:stretch>
                        </pic:blipFill>
                        <pic:spPr>
                          <a:xfrm rot="16200000">
                            <a:off x="0" y="0"/>
                            <a:ext cx="2326005" cy="3349625"/>
                          </a:xfrm>
                          <a:prstGeom prst="rect">
                            <a:avLst/>
                          </a:prstGeom>
                        </pic:spPr>
                      </pic:pic>
                    </a:graphicData>
                  </a:graphic>
                </wp:inline>
              </w:drawing>
            </w:r>
          </w:p>
          <w:p>
            <w:pPr>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cs="Times New Roman"/>
                <w:b/>
                <w:bCs/>
                <w:kern w:val="2"/>
                <w:sz w:val="24"/>
                <w:szCs w:val="24"/>
                <w:highlight w:val="none"/>
                <w:lang w:val="en-US" w:eastAsia="zh-CN" w:bidi="ar-SA"/>
              </w:rPr>
              <w:t xml:space="preserve">图1-17    </w:t>
            </w:r>
            <w:r>
              <w:rPr>
                <w:rFonts w:hint="eastAsia" w:ascii="Times New Roman" w:hAnsi="Times New Roman" w:eastAsia="宋体" w:cs="Times New Roman"/>
                <w:b/>
                <w:bCs/>
                <w:kern w:val="2"/>
                <w:sz w:val="24"/>
                <w:szCs w:val="24"/>
                <w:highlight w:val="none"/>
                <w:lang w:val="en-US" w:eastAsia="zh-CN" w:bidi="ar-SA"/>
              </w:rPr>
              <w:t>M1</w:t>
            </w:r>
            <w:r>
              <w:rPr>
                <w:rFonts w:hint="eastAsia" w:cs="Times New Roman"/>
                <w:b/>
                <w:bCs/>
                <w:kern w:val="2"/>
                <w:sz w:val="24"/>
                <w:szCs w:val="24"/>
                <w:highlight w:val="none"/>
                <w:lang w:val="en-US" w:eastAsia="zh-CN" w:bidi="ar-SA"/>
              </w:rPr>
              <w:t>现状图</w:t>
            </w:r>
          </w:p>
          <w:p>
            <w:pPr>
              <w:pStyle w:val="5"/>
              <w:pageBreakBefore w:val="0"/>
              <w:widowControl w:val="0"/>
              <w:numPr>
                <w:ilvl w:val="0"/>
                <w:numId w:val="0"/>
              </w:numPr>
              <w:kinsoku/>
              <w:wordWrap/>
              <w:overflowPunct/>
              <w:topLinePunct w:val="0"/>
              <w:autoSpaceDE/>
              <w:autoSpaceDN/>
              <w:bidi w:val="0"/>
              <w:adjustRightInd/>
              <w:snapToGrid w:val="0"/>
              <w:spacing w:beforeLines="0" w:afterLines="0" w:line="360" w:lineRule="auto"/>
              <w:ind w:firstLine="480" w:firstLineChars="200"/>
              <w:textAlignment w:val="auto"/>
              <w:rPr>
                <w:rFonts w:hint="default" w:ascii="Times New Roman" w:hAnsi="Times New Roman" w:eastAsia="宋体" w:cs="Times New Roman"/>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②</w:t>
            </w:r>
            <w:r>
              <w:rPr>
                <w:rFonts w:hint="eastAsia" w:ascii="Times New Roman" w:hAnsi="Times New Roman" w:eastAsia="宋体" w:cs="Times New Roman"/>
                <w:b w:val="0"/>
                <w:kern w:val="2"/>
                <w:sz w:val="24"/>
                <w:szCs w:val="24"/>
                <w:highlight w:val="none"/>
                <w:lang w:val="en-US" w:eastAsia="zh-CN" w:bidi="ar-SA"/>
              </w:rPr>
              <w:t>M2治理区地质环境现状</w:t>
            </w:r>
          </w:p>
          <w:p>
            <w:pPr>
              <w:pStyle w:val="5"/>
              <w:numPr>
                <w:ilvl w:val="0"/>
                <w:numId w:val="0"/>
              </w:numPr>
              <w:bidi w:val="0"/>
              <w:snapToGrid w:val="0"/>
              <w:spacing w:beforeLines="0" w:afterLines="0" w:line="360" w:lineRule="auto"/>
              <w:ind w:firstLine="480" w:firstLineChars="200"/>
              <w:rPr>
                <w:rFonts w:hint="default" w:ascii="Times New Roman" w:hAnsi="Times New Roman" w:eastAsia="宋体" w:cs="Times New Roman"/>
                <w:b w:val="0"/>
                <w:sz w:val="24"/>
                <w:highlight w:val="none"/>
                <w:lang w:val="en-US" w:eastAsia="zh-CN"/>
              </w:rPr>
            </w:pPr>
            <w:r>
              <w:rPr>
                <w:rFonts w:hint="default" w:ascii="Times New Roman" w:hAnsi="Times New Roman" w:eastAsia="宋体" w:cs="Times New Roman"/>
                <w:b w:val="0"/>
                <w:kern w:val="2"/>
                <w:sz w:val="24"/>
                <w:szCs w:val="24"/>
                <w:highlight w:val="none"/>
                <w:lang w:val="en-US" w:eastAsia="zh-CN" w:bidi="ar-SA"/>
              </w:rPr>
              <w:t>M2治理区面积12.85公顷，</w:t>
            </w:r>
            <w:r>
              <w:rPr>
                <w:rFonts w:hint="default" w:ascii="Times New Roman" w:hAnsi="Times New Roman" w:eastAsia="宋体" w:cs="Times New Roman"/>
                <w:b w:val="0"/>
                <w:sz w:val="24"/>
                <w:szCs w:val="24"/>
                <w:highlight w:val="none"/>
                <w:lang w:val="en-US" w:eastAsia="zh-CN"/>
              </w:rPr>
              <w:t>现状存在2处尾坑（WK2、WK3）、3处渣堆（ZD2、ZD3、ZD4），见图</w:t>
            </w:r>
            <w:r>
              <w:rPr>
                <w:rFonts w:hint="default" w:eastAsia="宋体" w:cs="Times New Roman"/>
                <w:b w:val="0"/>
                <w:sz w:val="24"/>
                <w:szCs w:val="24"/>
                <w:highlight w:val="none"/>
                <w:lang w:val="en-US" w:eastAsia="zh-CN"/>
              </w:rPr>
              <w:t>1-18</w:t>
            </w:r>
            <w:r>
              <w:rPr>
                <w:rFonts w:hint="default" w:ascii="Times New Roman" w:hAnsi="Times New Roman" w:eastAsia="宋体" w:cs="Times New Roman"/>
                <w:b w:val="0"/>
                <w:sz w:val="24"/>
                <w:szCs w:val="24"/>
                <w:highlight w:val="none"/>
                <w:lang w:val="en-US" w:eastAsia="zh-CN"/>
              </w:rPr>
              <w:t>。WK2面积0.68hm</w:t>
            </w:r>
            <w:r>
              <w:rPr>
                <w:rFonts w:hint="default" w:ascii="Times New Roman" w:hAnsi="Times New Roman" w:eastAsia="宋体" w:cs="Times New Roman"/>
                <w:b w:val="0"/>
                <w:sz w:val="24"/>
                <w:szCs w:val="24"/>
                <w:highlight w:val="none"/>
                <w:vertAlign w:val="superscript"/>
                <w:lang w:val="en-US" w:eastAsia="zh-CN"/>
              </w:rPr>
              <w:t>2</w:t>
            </w:r>
            <w:r>
              <w:rPr>
                <w:rFonts w:hint="default" w:ascii="Times New Roman" w:hAnsi="Times New Roman" w:eastAsia="宋体" w:cs="Times New Roman"/>
                <w:b w:val="0"/>
                <w:sz w:val="24"/>
                <w:szCs w:val="24"/>
                <w:highlight w:val="none"/>
                <w:lang w:val="en-US" w:eastAsia="zh-CN"/>
              </w:rPr>
              <w:t>，标高1496-1515m，最大深度19m；WK3面积0.89hm</w:t>
            </w:r>
            <w:r>
              <w:rPr>
                <w:rFonts w:hint="default" w:ascii="Times New Roman" w:hAnsi="Times New Roman" w:eastAsia="宋体" w:cs="Times New Roman"/>
                <w:b w:val="0"/>
                <w:sz w:val="24"/>
                <w:szCs w:val="24"/>
                <w:highlight w:val="none"/>
                <w:vertAlign w:val="superscript"/>
                <w:lang w:val="en-US" w:eastAsia="zh-CN"/>
              </w:rPr>
              <w:t>2</w:t>
            </w:r>
            <w:r>
              <w:rPr>
                <w:rFonts w:hint="default" w:ascii="Times New Roman" w:hAnsi="Times New Roman" w:eastAsia="宋体" w:cs="Times New Roman"/>
                <w:b w:val="0"/>
                <w:sz w:val="24"/>
                <w:szCs w:val="24"/>
                <w:highlight w:val="none"/>
                <w:lang w:val="en-US" w:eastAsia="zh-CN"/>
              </w:rPr>
              <w:t>，标高1480-1504m，最大深度24m；ZD2面积3.88hm</w:t>
            </w:r>
            <w:r>
              <w:rPr>
                <w:rFonts w:hint="default" w:ascii="Times New Roman" w:hAnsi="Times New Roman" w:eastAsia="宋体" w:cs="Times New Roman"/>
                <w:b w:val="0"/>
                <w:sz w:val="24"/>
                <w:szCs w:val="24"/>
                <w:highlight w:val="none"/>
                <w:vertAlign w:val="superscript"/>
                <w:lang w:val="en-US" w:eastAsia="zh-CN"/>
              </w:rPr>
              <w:t>2</w:t>
            </w:r>
            <w:r>
              <w:rPr>
                <w:rFonts w:hint="default" w:ascii="Times New Roman" w:hAnsi="Times New Roman" w:eastAsia="宋体" w:cs="Times New Roman"/>
                <w:b w:val="0"/>
                <w:sz w:val="24"/>
                <w:szCs w:val="24"/>
                <w:highlight w:val="none"/>
                <w:lang w:val="en-US" w:eastAsia="zh-CN"/>
              </w:rPr>
              <w:t>，标高1492-1511m， 最大高度19m ；ZD3面积0.28hm</w:t>
            </w:r>
            <w:r>
              <w:rPr>
                <w:rFonts w:hint="default" w:ascii="Times New Roman" w:hAnsi="Times New Roman" w:eastAsia="宋体" w:cs="Times New Roman"/>
                <w:b w:val="0"/>
                <w:sz w:val="24"/>
                <w:szCs w:val="24"/>
                <w:highlight w:val="none"/>
                <w:vertAlign w:val="superscript"/>
                <w:lang w:val="en-US" w:eastAsia="zh-CN"/>
              </w:rPr>
              <w:t>2</w:t>
            </w:r>
            <w:r>
              <w:rPr>
                <w:rFonts w:hint="default" w:ascii="Times New Roman" w:hAnsi="Times New Roman" w:eastAsia="宋体" w:cs="Times New Roman"/>
                <w:b w:val="0"/>
                <w:sz w:val="24"/>
                <w:szCs w:val="24"/>
                <w:highlight w:val="none"/>
                <w:lang w:val="en-US" w:eastAsia="zh-CN"/>
              </w:rPr>
              <w:t xml:space="preserve">，标高1498-1502m，最大高度4m；ZD4面积0.58hm </w:t>
            </w:r>
            <w:r>
              <w:rPr>
                <w:rFonts w:hint="default" w:ascii="Times New Roman" w:hAnsi="Times New Roman" w:eastAsia="宋体" w:cs="Times New Roman"/>
                <w:b w:val="0"/>
                <w:sz w:val="24"/>
                <w:szCs w:val="24"/>
                <w:highlight w:val="none"/>
                <w:vertAlign w:val="superscript"/>
                <w:lang w:val="en-US" w:eastAsia="zh-CN"/>
              </w:rPr>
              <w:t>2</w:t>
            </w:r>
            <w:r>
              <w:rPr>
                <w:rFonts w:hint="default" w:ascii="Times New Roman" w:hAnsi="Times New Roman" w:eastAsia="宋体" w:cs="Times New Roman"/>
                <w:b w:val="0"/>
                <w:sz w:val="24"/>
                <w:szCs w:val="24"/>
                <w:highlight w:val="none"/>
                <w:lang w:val="en-US" w:eastAsia="zh-CN"/>
              </w:rPr>
              <w:t>，标高1511-1518m，最大高度7m。</w:t>
            </w:r>
          </w:p>
          <w:p>
            <w:pPr>
              <w:pStyle w:val="28"/>
              <w:bidi w:val="0"/>
              <w:spacing w:line="240" w:lineRule="auto"/>
              <w:rPr>
                <w:rFonts w:hint="default"/>
                <w:lang w:val="en-US" w:eastAsia="zh-CN"/>
              </w:rPr>
            </w:pPr>
            <w:r>
              <w:rPr>
                <w:rFonts w:hint="default"/>
                <w:lang w:val="en-US" w:eastAsia="zh-CN"/>
              </w:rPr>
              <w:drawing>
                <wp:inline distT="0" distB="0" distL="114300" distR="114300">
                  <wp:extent cx="2958465" cy="3658870"/>
                  <wp:effectExtent l="0" t="0" r="13335" b="17780"/>
                  <wp:docPr id="8" name="图片 8" descr="T$6K7]%~Q1XJOBQ`)A@)Z)T"/>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T$6K7]%~Q1XJOBQ`)A@)Z)T"/>
                          <pic:cNvPicPr>
                            <a:picLocks noChangeAspect="true"/>
                          </pic:cNvPicPr>
                        </pic:nvPicPr>
                        <pic:blipFill>
                          <a:blip r:embed="rId8"/>
                          <a:stretch>
                            <a:fillRect/>
                          </a:stretch>
                        </pic:blipFill>
                        <pic:spPr>
                          <a:xfrm>
                            <a:off x="0" y="0"/>
                            <a:ext cx="2958465" cy="3658870"/>
                          </a:xfrm>
                          <a:prstGeom prst="rect">
                            <a:avLst/>
                          </a:prstGeom>
                        </pic:spPr>
                      </pic:pic>
                    </a:graphicData>
                  </a:graphic>
                </wp:inline>
              </w:drawing>
            </w:r>
          </w:p>
          <w:p>
            <w:pPr>
              <w:pageBreakBefore w:val="0"/>
              <w:widowControl w:val="0"/>
              <w:kinsoku/>
              <w:wordWrap/>
              <w:overflowPunct/>
              <w:topLinePunct w:val="0"/>
              <w:autoSpaceDE/>
              <w:autoSpaceDN/>
              <w:bidi w:val="0"/>
              <w:adjustRightInd/>
              <w:snapToGrid w:val="0"/>
              <w:spacing w:line="360" w:lineRule="auto"/>
              <w:ind w:firstLine="481" w:firstLineChars="200"/>
              <w:jc w:val="center"/>
              <w:textAlignment w:val="auto"/>
              <w:rPr>
                <w:rFonts w:hint="default" w:ascii="Times New Roman" w:hAnsi="Times New Roman" w:eastAsia="宋体" w:cs="Times New Roman"/>
                <w:b/>
                <w:bCs/>
                <w:kern w:val="2"/>
                <w:sz w:val="24"/>
                <w:szCs w:val="24"/>
                <w:highlight w:val="none"/>
                <w:lang w:val="en-US" w:eastAsia="zh-CN" w:bidi="ar-SA"/>
              </w:rPr>
            </w:pPr>
            <w:r>
              <w:rPr>
                <w:rFonts w:hint="eastAsia" w:cs="Times New Roman"/>
                <w:b/>
                <w:bCs/>
                <w:kern w:val="2"/>
                <w:sz w:val="24"/>
                <w:szCs w:val="24"/>
                <w:highlight w:val="none"/>
                <w:lang w:val="en-US" w:eastAsia="zh-CN" w:bidi="ar-SA"/>
              </w:rPr>
              <w:t xml:space="preserve">图1-18    </w:t>
            </w:r>
            <w:r>
              <w:rPr>
                <w:rFonts w:hint="default" w:ascii="Times New Roman" w:hAnsi="Times New Roman" w:eastAsia="宋体" w:cs="Times New Roman"/>
                <w:b/>
                <w:bCs/>
                <w:kern w:val="2"/>
                <w:sz w:val="24"/>
                <w:szCs w:val="24"/>
                <w:highlight w:val="none"/>
                <w:lang w:val="en-US" w:eastAsia="zh-CN" w:bidi="ar-SA"/>
              </w:rPr>
              <w:t xml:space="preserve"> M2</w:t>
            </w:r>
            <w:r>
              <w:rPr>
                <w:rFonts w:hint="eastAsia" w:cs="Times New Roman"/>
                <w:b/>
                <w:bCs/>
                <w:kern w:val="2"/>
                <w:sz w:val="24"/>
                <w:szCs w:val="24"/>
                <w:highlight w:val="none"/>
                <w:lang w:val="en-US" w:eastAsia="zh-CN" w:bidi="ar-SA"/>
              </w:rPr>
              <w:t>现状图</w:t>
            </w:r>
          </w:p>
          <w:p>
            <w:pPr>
              <w:pStyle w:val="5"/>
              <w:pageBreakBefore w:val="0"/>
              <w:widowControl w:val="0"/>
              <w:numPr>
                <w:ilvl w:val="0"/>
                <w:numId w:val="0"/>
              </w:numPr>
              <w:kinsoku/>
              <w:wordWrap/>
              <w:overflowPunct/>
              <w:topLinePunct w:val="0"/>
              <w:autoSpaceDE/>
              <w:autoSpaceDN/>
              <w:bidi w:val="0"/>
              <w:adjustRightInd/>
              <w:snapToGrid w:val="0"/>
              <w:spacing w:beforeLines="0" w:afterLines="0" w:line="360" w:lineRule="auto"/>
              <w:ind w:firstLine="480" w:firstLineChars="200"/>
              <w:textAlignment w:val="auto"/>
              <w:rPr>
                <w:rFonts w:hint="default" w:ascii="Times New Roman" w:hAnsi="Times New Roman" w:eastAsia="宋体" w:cs="Times New Roman"/>
                <w:b w:val="0"/>
                <w:kern w:val="2"/>
                <w:sz w:val="24"/>
                <w:szCs w:val="24"/>
                <w:highlight w:val="none"/>
                <w:lang w:val="en-US" w:eastAsia="zh-CN" w:bidi="ar-SA"/>
              </w:rPr>
            </w:pPr>
            <w:r>
              <w:rPr>
                <w:rFonts w:hint="default" w:ascii="Times New Roman" w:hAnsi="Times New Roman" w:eastAsia="宋体" w:cs="Times New Roman"/>
                <w:b w:val="0"/>
                <w:kern w:val="2"/>
                <w:sz w:val="24"/>
                <w:szCs w:val="24"/>
                <w:highlight w:val="none"/>
                <w:lang w:val="en-US" w:eastAsia="zh-CN" w:bidi="ar-SA"/>
              </w:rPr>
              <w:t>③M3治理区地质环境现状</w:t>
            </w:r>
          </w:p>
          <w:p>
            <w:pPr>
              <w:pStyle w:val="5"/>
              <w:pageBreakBefore w:val="0"/>
              <w:widowControl w:val="0"/>
              <w:numPr>
                <w:ilvl w:val="0"/>
                <w:numId w:val="0"/>
              </w:numPr>
              <w:kinsoku/>
              <w:wordWrap/>
              <w:overflowPunct/>
              <w:topLinePunct w:val="0"/>
              <w:autoSpaceDE/>
              <w:autoSpaceDN/>
              <w:bidi w:val="0"/>
              <w:adjustRightInd/>
              <w:snapToGrid w:val="0"/>
              <w:spacing w:beforeLines="0" w:afterLines="0" w:line="360" w:lineRule="auto"/>
              <w:ind w:firstLine="480" w:firstLineChars="200"/>
              <w:textAlignment w:val="auto"/>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kern w:val="2"/>
                <w:sz w:val="24"/>
                <w:szCs w:val="24"/>
                <w:highlight w:val="none"/>
                <w:lang w:val="en-US" w:eastAsia="zh-CN" w:bidi="ar-SA"/>
              </w:rPr>
              <w:t>M3治理区面积15.93公顷，位于芦草井沟煤矿北侧且在原矿权范围内</w:t>
            </w:r>
            <w:r>
              <w:rPr>
                <w:rFonts w:hint="default" w:ascii="Times New Roman" w:hAnsi="Times New Roman" w:eastAsia="宋体" w:cs="Times New Roman"/>
                <w:b w:val="0"/>
                <w:bCs w:val="0"/>
                <w:kern w:val="2"/>
                <w:sz w:val="24"/>
                <w:szCs w:val="24"/>
                <w:highlight w:val="none"/>
                <w:lang w:val="en-US" w:eastAsia="zh-CN" w:bidi="ar-SA"/>
              </w:rPr>
              <w:t>。</w:t>
            </w:r>
            <w:r>
              <w:rPr>
                <w:rFonts w:hint="default" w:ascii="Times New Roman" w:hAnsi="Times New Roman" w:eastAsia="宋体" w:cs="Times New Roman"/>
                <w:b w:val="0"/>
                <w:bCs w:val="0"/>
                <w:sz w:val="24"/>
                <w:szCs w:val="24"/>
                <w:highlight w:val="none"/>
                <w:lang w:val="en-US" w:eastAsia="zh-CN"/>
              </w:rPr>
              <w:t>现状存在1处尾坑（WK4）、4处渣堆（ZD5、ZD6、ZD7、ZD8），见图</w:t>
            </w:r>
            <w:r>
              <w:rPr>
                <w:rFonts w:hint="eastAsia" w:eastAsia="宋体" w:cs="Times New Roman"/>
                <w:b w:val="0"/>
                <w:bCs w:val="0"/>
                <w:sz w:val="24"/>
                <w:szCs w:val="24"/>
                <w:highlight w:val="none"/>
                <w:lang w:val="en-US" w:eastAsia="zh-CN"/>
              </w:rPr>
              <w:t>1-19</w:t>
            </w:r>
            <w:r>
              <w:rPr>
                <w:rFonts w:hint="default" w:ascii="Times New Roman" w:hAnsi="Times New Roman" w:eastAsia="宋体" w:cs="Times New Roman"/>
                <w:b w:val="0"/>
                <w:bCs w:val="0"/>
                <w:sz w:val="24"/>
                <w:szCs w:val="24"/>
                <w:highlight w:val="none"/>
                <w:lang w:val="en-US" w:eastAsia="zh-CN"/>
              </w:rPr>
              <w:t>。WK4面积3.78hm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，标高1490-1518m，最大深度28m；ZD5面积0.39hm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，标高1532-1536m，最大高度4m；ZD6面积2.58hm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，标高1519-1525m，最大高度6m；ZD7面积0.33hm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，标高1520-1529m，最大高度9m；ZD8面积1.35hm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，标高1507-1517m，最大高度10m。</w:t>
            </w:r>
          </w:p>
          <w:p>
            <w:pPr>
              <w:pStyle w:val="5"/>
              <w:numPr>
                <w:ilvl w:val="0"/>
                <w:numId w:val="0"/>
              </w:numPr>
              <w:snapToGrid w:val="0"/>
              <w:spacing w:beforeLines="0" w:afterLines="0" w:line="360" w:lineRule="auto"/>
              <w:jc w:val="center"/>
            </w:pPr>
            <w:r>
              <w:drawing>
                <wp:inline distT="0" distB="0" distL="114300" distR="114300">
                  <wp:extent cx="3712845" cy="3872865"/>
                  <wp:effectExtent l="0" t="0" r="1905" b="13335"/>
                  <wp:docPr id="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true"/>
                          </pic:cNvPicPr>
                        </pic:nvPicPr>
                        <pic:blipFill>
                          <a:blip r:embed="rId9"/>
                          <a:stretch>
                            <a:fillRect/>
                          </a:stretch>
                        </pic:blipFill>
                        <pic:spPr>
                          <a:xfrm>
                            <a:off x="0" y="0"/>
                            <a:ext cx="3712845" cy="3872865"/>
                          </a:xfrm>
                          <a:prstGeom prst="rect">
                            <a:avLst/>
                          </a:prstGeom>
                          <a:noFill/>
                          <a:ln>
                            <a:noFill/>
                          </a:ln>
                        </pic:spPr>
                      </pic:pic>
                    </a:graphicData>
                  </a:graphic>
                </wp:inline>
              </w:drawing>
            </w:r>
          </w:p>
          <w:p>
            <w:pPr>
              <w:pStyle w:val="5"/>
              <w:pageBreakBefore w:val="0"/>
              <w:widowControl/>
              <w:numPr>
                <w:ilvl w:val="0"/>
                <w:numId w:val="0"/>
              </w:numPr>
              <w:kinsoku/>
              <w:wordWrap/>
              <w:overflowPunct/>
              <w:topLinePunct w:val="0"/>
              <w:autoSpaceDE/>
              <w:autoSpaceDN/>
              <w:bidi w:val="0"/>
              <w:adjustRightInd/>
              <w:snapToGrid w:val="0"/>
              <w:spacing w:beforeLines="0" w:afterLines="0" w:line="360" w:lineRule="auto"/>
              <w:ind w:firstLine="0" w:firstLineChars="0"/>
              <w:jc w:val="center"/>
              <w:textAlignment w:val="auto"/>
              <w:rPr>
                <w:rFonts w:hint="eastAsia" w:ascii="宋体" w:hAnsi="宋体" w:eastAsia="宋体" w:cs="宋体"/>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图1-19    M3现状图</w:t>
            </w:r>
          </w:p>
          <w:p>
            <w:pPr>
              <w:adjustRightInd w:val="0"/>
              <w:snapToGrid w:val="0"/>
              <w:spacing w:line="360" w:lineRule="auto"/>
              <w:ind w:firstLine="480" w:firstLineChars="200"/>
              <w:rPr>
                <w:rFonts w:hint="default" w:ascii="Times New Roman" w:hAnsi="Times New Roman" w:eastAsia="宋体" w:cs="Times New Roman"/>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④</w:t>
            </w:r>
            <w:r>
              <w:rPr>
                <w:rFonts w:hint="eastAsia" w:ascii="Times New Roman" w:hAnsi="Times New Roman" w:eastAsia="宋体" w:cs="Times New Roman"/>
                <w:b w:val="0"/>
                <w:kern w:val="2"/>
                <w:sz w:val="24"/>
                <w:szCs w:val="24"/>
                <w:highlight w:val="none"/>
                <w:lang w:val="en-US" w:eastAsia="zh-CN" w:bidi="ar-SA"/>
              </w:rPr>
              <w:t>S1</w:t>
            </w:r>
            <w:r>
              <w:rPr>
                <w:rFonts w:hint="eastAsia" w:cs="Times New Roman"/>
                <w:b w:val="0"/>
                <w:kern w:val="2"/>
                <w:sz w:val="24"/>
                <w:szCs w:val="24"/>
                <w:highlight w:val="none"/>
                <w:lang w:val="en-US" w:eastAsia="zh-CN" w:bidi="ar-SA"/>
              </w:rPr>
              <w:t>-1</w:t>
            </w:r>
            <w:r>
              <w:rPr>
                <w:rFonts w:hint="default" w:ascii="Times New Roman" w:hAnsi="Times New Roman" w:eastAsia="宋体" w:cs="Times New Roman"/>
                <w:b w:val="0"/>
                <w:kern w:val="2"/>
                <w:sz w:val="24"/>
                <w:szCs w:val="24"/>
                <w:highlight w:val="none"/>
                <w:lang w:val="en-US" w:eastAsia="zh-CN" w:bidi="ar-SA"/>
              </w:rPr>
              <w:t>治理区地质环境现状</w:t>
            </w:r>
          </w:p>
          <w:p>
            <w:pPr>
              <w:adjustRightInd w:val="0"/>
              <w:snapToGrid w:val="0"/>
              <w:spacing w:line="360" w:lineRule="auto"/>
              <w:ind w:firstLine="480" w:firstLineChars="200"/>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S1</w:t>
            </w:r>
            <w:r>
              <w:rPr>
                <w:rFonts w:hint="eastAsia" w:cs="Times New Roman"/>
                <w:b w:val="0"/>
                <w:kern w:val="2"/>
                <w:sz w:val="24"/>
                <w:szCs w:val="24"/>
                <w:highlight w:val="none"/>
                <w:lang w:val="en-US" w:eastAsia="zh-CN" w:bidi="ar-SA"/>
              </w:rPr>
              <w:t>-1</w:t>
            </w:r>
            <w:r>
              <w:rPr>
                <w:rFonts w:hint="eastAsia" w:ascii="Times New Roman" w:hAnsi="Times New Roman" w:eastAsia="宋体" w:cs="Times New Roman"/>
                <w:b w:val="0"/>
                <w:kern w:val="2"/>
                <w:sz w:val="24"/>
                <w:szCs w:val="24"/>
                <w:highlight w:val="none"/>
                <w:lang w:val="en-US" w:eastAsia="zh-CN" w:bidi="ar-SA"/>
              </w:rPr>
              <w:t>区面积8.46hm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，现状存在5处尾坑（WK5、WK6、WK7、WK8、WK9），见图</w:t>
            </w:r>
            <w:r>
              <w:rPr>
                <w:rFonts w:hint="eastAsia" w:cs="Times New Roman"/>
                <w:b w:val="0"/>
                <w:kern w:val="2"/>
                <w:sz w:val="24"/>
                <w:szCs w:val="24"/>
                <w:highlight w:val="none"/>
                <w:lang w:val="en-US" w:eastAsia="zh-CN" w:bidi="ar-SA"/>
              </w:rPr>
              <w:t>1-20</w:t>
            </w:r>
            <w:r>
              <w:rPr>
                <w:rFonts w:hint="eastAsia" w:ascii="Times New Roman" w:hAnsi="Times New Roman" w:eastAsia="宋体" w:cs="Times New Roman"/>
                <w:b w:val="0"/>
                <w:kern w:val="2"/>
                <w:sz w:val="24"/>
                <w:szCs w:val="24"/>
                <w:highlight w:val="none"/>
                <w:lang w:val="en-US" w:eastAsia="zh-CN" w:bidi="ar-SA"/>
              </w:rPr>
              <w:t>。WK5面积0.87hm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，标高1321-1329m，最大深度8m；WK6面积0.59hm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，标高1319-1329m，最大深度10m；WK7面积0.13hm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，标高1314-1319m，最大深度5m；WK8面积0.17hm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，标高1311-1318m，最大深度7m；WK9面积0.22hm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 1319-1324m，最大深度5m。</w:t>
            </w:r>
          </w:p>
          <w:p>
            <w:pPr>
              <w:pStyle w:val="2"/>
              <w:rPr>
                <w:rFonts w:hint="eastAsia" w:ascii="Times New Roman" w:hAnsi="Times New Roman" w:eastAsia="宋体" w:cs="Times New Roman"/>
                <w:b w:val="0"/>
                <w:kern w:val="2"/>
                <w:sz w:val="24"/>
                <w:szCs w:val="24"/>
                <w:highlight w:val="none"/>
                <w:lang w:val="en-US" w:eastAsia="zh-CN" w:bidi="ar-SA"/>
              </w:rPr>
            </w:pPr>
          </w:p>
          <w:p>
            <w:pPr>
              <w:pStyle w:val="2"/>
              <w:rPr>
                <w:rFonts w:hint="eastAsia" w:ascii="Times New Roman" w:hAnsi="Times New Roman" w:eastAsia="宋体" w:cs="Times New Roman"/>
                <w:b w:val="0"/>
                <w:kern w:val="2"/>
                <w:sz w:val="24"/>
                <w:szCs w:val="24"/>
                <w:highlight w:val="none"/>
                <w:lang w:val="en-US" w:eastAsia="zh-CN" w:bidi="ar-SA"/>
              </w:rPr>
            </w:pPr>
          </w:p>
          <w:p>
            <w:pPr>
              <w:pStyle w:val="2"/>
              <w:rPr>
                <w:rFonts w:hint="eastAsia" w:ascii="Times New Roman" w:hAnsi="Times New Roman" w:eastAsia="宋体" w:cs="Times New Roman"/>
                <w:b w:val="0"/>
                <w:kern w:val="2"/>
                <w:sz w:val="24"/>
                <w:szCs w:val="24"/>
                <w:highlight w:val="none"/>
                <w:lang w:val="en-US" w:eastAsia="zh-CN" w:bidi="ar-SA"/>
              </w:rPr>
            </w:pPr>
          </w:p>
          <w:p>
            <w:pPr>
              <w:pStyle w:val="2"/>
              <w:rPr>
                <w:rFonts w:hint="eastAsia" w:ascii="Times New Roman" w:hAnsi="Times New Roman" w:eastAsia="宋体" w:cs="Times New Roman"/>
                <w:b w:val="0"/>
                <w:kern w:val="2"/>
                <w:sz w:val="24"/>
                <w:szCs w:val="24"/>
                <w:highlight w:val="none"/>
                <w:lang w:val="en-US" w:eastAsia="zh-CN" w:bidi="ar-SA"/>
              </w:rPr>
            </w:pPr>
          </w:p>
          <w:p>
            <w:pPr>
              <w:pStyle w:val="2"/>
              <w:ind w:firstLine="0"/>
              <w:rPr>
                <w:rFonts w:hint="eastAsia" w:ascii="Times New Roman" w:hAnsi="Times New Roman" w:eastAsia="宋体" w:cs="Times New Roman"/>
                <w:b w:val="0"/>
                <w:kern w:val="2"/>
                <w:sz w:val="24"/>
                <w:szCs w:val="24"/>
                <w:highlight w:val="none"/>
                <w:lang w:val="en-US" w:eastAsia="zh-CN" w:bidi="ar-SA"/>
              </w:rPr>
            </w:pPr>
          </w:p>
          <w:p>
            <w:pPr>
              <w:adjustRightInd w:val="0"/>
              <w:snapToGrid w:val="0"/>
              <w:spacing w:line="360" w:lineRule="auto"/>
              <w:ind w:firstLine="0" w:firstLineChars="0"/>
              <w:jc w:val="center"/>
            </w:pPr>
            <w:r>
              <w:drawing>
                <wp:inline distT="0" distB="0" distL="114300" distR="114300">
                  <wp:extent cx="4199255" cy="3422015"/>
                  <wp:effectExtent l="0" t="0" r="10795" b="6985"/>
                  <wp:docPr id="1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true"/>
                          </pic:cNvPicPr>
                        </pic:nvPicPr>
                        <pic:blipFill>
                          <a:blip r:embed="rId10"/>
                          <a:stretch>
                            <a:fillRect/>
                          </a:stretch>
                        </pic:blipFill>
                        <pic:spPr>
                          <a:xfrm>
                            <a:off x="0" y="0"/>
                            <a:ext cx="4199255" cy="3422015"/>
                          </a:xfrm>
                          <a:prstGeom prst="rect">
                            <a:avLst/>
                          </a:prstGeom>
                          <a:noFill/>
                          <a:ln>
                            <a:noFill/>
                          </a:ln>
                        </pic:spPr>
                      </pic:pic>
                    </a:graphicData>
                  </a:graphic>
                </wp:inline>
              </w:drawing>
            </w:r>
          </w:p>
          <w:p>
            <w:pPr>
              <w:pStyle w:val="5"/>
              <w:widowControl/>
              <w:numPr>
                <w:ilvl w:val="0"/>
                <w:numId w:val="0"/>
              </w:numPr>
              <w:adjustRightInd w:val="0"/>
              <w:snapToGrid w:val="0"/>
              <w:spacing w:beforeLines="0" w:afterLines="0" w:line="360" w:lineRule="auto"/>
              <w:ind w:firstLine="0" w:firstLineChars="0"/>
              <w:jc w:val="center"/>
              <w:rPr>
                <w:rFonts w:hint="default" w:eastAsia="宋体"/>
                <w:b/>
                <w:bCs/>
                <w:sz w:val="24"/>
                <w:highlight w:val="none"/>
                <w:lang w:val="en-US" w:eastAsia="zh-CN"/>
              </w:rPr>
            </w:pPr>
            <w:r>
              <w:rPr>
                <w:rFonts w:hint="default" w:eastAsia="宋体" w:cs="Times New Roman"/>
                <w:b/>
                <w:bCs/>
                <w:kern w:val="2"/>
                <w:sz w:val="24"/>
                <w:szCs w:val="24"/>
                <w:highlight w:val="none"/>
                <w:lang w:val="en-US" w:eastAsia="zh-CN" w:bidi="ar-SA"/>
              </w:rPr>
              <w:t xml:space="preserve">图1-20    </w:t>
            </w:r>
            <w:r>
              <w:rPr>
                <w:rFonts w:hint="default" w:ascii="Times New Roman" w:hAnsi="Times New Roman" w:eastAsia="宋体" w:cs="Times New Roman"/>
                <w:b/>
                <w:bCs/>
                <w:kern w:val="2"/>
                <w:sz w:val="24"/>
                <w:szCs w:val="24"/>
                <w:highlight w:val="none"/>
                <w:lang w:val="en-US" w:eastAsia="zh-CN" w:bidi="ar-SA"/>
              </w:rPr>
              <w:t>S1-1现状图</w:t>
            </w:r>
          </w:p>
          <w:p>
            <w:pPr>
              <w:adjustRightInd w:val="0"/>
              <w:snapToGrid w:val="0"/>
              <w:spacing w:line="360" w:lineRule="auto"/>
              <w:ind w:firstLine="480" w:firstLineChars="200"/>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⑤S</w:t>
            </w:r>
            <w:r>
              <w:rPr>
                <w:rFonts w:hint="eastAsia" w:cs="Times New Roman"/>
                <w:b w:val="0"/>
                <w:kern w:val="2"/>
                <w:sz w:val="24"/>
                <w:szCs w:val="24"/>
                <w:highlight w:val="none"/>
                <w:lang w:val="en-US" w:eastAsia="zh-CN" w:bidi="ar-SA"/>
              </w:rPr>
              <w:t>1-</w:t>
            </w:r>
            <w:r>
              <w:rPr>
                <w:rFonts w:hint="eastAsia" w:ascii="Times New Roman" w:hAnsi="Times New Roman" w:eastAsia="宋体" w:cs="Times New Roman"/>
                <w:b w:val="0"/>
                <w:kern w:val="2"/>
                <w:sz w:val="24"/>
                <w:szCs w:val="24"/>
                <w:highlight w:val="none"/>
                <w:lang w:val="en-US" w:eastAsia="zh-CN" w:bidi="ar-SA"/>
              </w:rPr>
              <w:t>2</w:t>
            </w:r>
            <w:r>
              <w:rPr>
                <w:rFonts w:hint="default" w:ascii="Times New Roman" w:hAnsi="Times New Roman" w:eastAsia="宋体" w:cs="Times New Roman"/>
                <w:b w:val="0"/>
                <w:kern w:val="2"/>
                <w:sz w:val="24"/>
                <w:szCs w:val="24"/>
                <w:highlight w:val="none"/>
                <w:lang w:val="en-US" w:eastAsia="zh-CN" w:bidi="ar-SA"/>
              </w:rPr>
              <w:t>治理区地质环境现状</w:t>
            </w:r>
          </w:p>
          <w:p>
            <w:pPr>
              <w:adjustRightInd w:val="0"/>
              <w:snapToGrid w:val="0"/>
              <w:spacing w:line="360" w:lineRule="auto"/>
              <w:ind w:firstLine="480" w:firstLineChars="200"/>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S</w:t>
            </w:r>
            <w:r>
              <w:rPr>
                <w:rFonts w:hint="eastAsia" w:cs="Times New Roman"/>
                <w:b w:val="0"/>
                <w:kern w:val="2"/>
                <w:sz w:val="24"/>
                <w:szCs w:val="24"/>
                <w:highlight w:val="none"/>
                <w:lang w:val="en-US" w:eastAsia="zh-CN" w:bidi="ar-SA"/>
              </w:rPr>
              <w:t>1-</w:t>
            </w:r>
            <w:r>
              <w:rPr>
                <w:rFonts w:hint="eastAsia" w:ascii="Times New Roman" w:hAnsi="Times New Roman" w:eastAsia="宋体" w:cs="Times New Roman"/>
                <w:b w:val="0"/>
                <w:kern w:val="2"/>
                <w:sz w:val="24"/>
                <w:szCs w:val="24"/>
                <w:highlight w:val="none"/>
                <w:lang w:val="en-US" w:eastAsia="zh-CN" w:bidi="ar-SA"/>
              </w:rPr>
              <w:t>2区面积3.45hm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，现状存在1处尾坑（WK10）、1处渣堆（ZD9），见图</w:t>
            </w:r>
            <w:r>
              <w:rPr>
                <w:rFonts w:hint="eastAsia" w:cs="Times New Roman"/>
                <w:b w:val="0"/>
                <w:kern w:val="2"/>
                <w:sz w:val="24"/>
                <w:szCs w:val="24"/>
                <w:highlight w:val="none"/>
                <w:lang w:val="en-US" w:eastAsia="zh-CN" w:bidi="ar-SA"/>
              </w:rPr>
              <w:t>1-21。</w:t>
            </w:r>
            <w:r>
              <w:rPr>
                <w:rFonts w:hint="eastAsia" w:ascii="Times New Roman" w:hAnsi="Times New Roman" w:eastAsia="宋体" w:cs="Times New Roman"/>
                <w:b w:val="0"/>
                <w:kern w:val="2"/>
                <w:sz w:val="24"/>
                <w:szCs w:val="24"/>
                <w:highlight w:val="none"/>
                <w:lang w:val="en-US" w:eastAsia="zh-CN" w:bidi="ar-SA"/>
              </w:rPr>
              <w:t>WK10面积1.35hm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，标高1300-1309m，最大深度9m；ZD9面积0.56hm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，标高1309-1315m，最大高度6m。</w:t>
            </w:r>
          </w:p>
          <w:p>
            <w:pPr>
              <w:adjustRightInd w:val="0"/>
              <w:snapToGrid w:val="0"/>
              <w:spacing w:line="360" w:lineRule="auto"/>
              <w:ind w:firstLine="480" w:firstLineChars="200"/>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⑥S</w:t>
            </w:r>
            <w:r>
              <w:rPr>
                <w:rFonts w:hint="eastAsia" w:cs="Times New Roman"/>
                <w:b w:val="0"/>
                <w:kern w:val="2"/>
                <w:sz w:val="24"/>
                <w:szCs w:val="24"/>
                <w:highlight w:val="none"/>
                <w:lang w:val="en-US" w:eastAsia="zh-CN" w:bidi="ar-SA"/>
              </w:rPr>
              <w:t>1-</w:t>
            </w:r>
            <w:r>
              <w:rPr>
                <w:rFonts w:hint="eastAsia" w:ascii="Times New Roman" w:hAnsi="Times New Roman" w:eastAsia="宋体" w:cs="Times New Roman"/>
                <w:b w:val="0"/>
                <w:kern w:val="2"/>
                <w:sz w:val="24"/>
                <w:szCs w:val="24"/>
                <w:highlight w:val="none"/>
                <w:lang w:val="en-US" w:eastAsia="zh-CN" w:bidi="ar-SA"/>
              </w:rPr>
              <w:t>3</w:t>
            </w:r>
            <w:r>
              <w:rPr>
                <w:rFonts w:hint="default" w:ascii="Times New Roman" w:hAnsi="Times New Roman" w:eastAsia="宋体" w:cs="Times New Roman"/>
                <w:b w:val="0"/>
                <w:kern w:val="2"/>
                <w:sz w:val="24"/>
                <w:szCs w:val="24"/>
                <w:highlight w:val="none"/>
                <w:lang w:val="en-US" w:eastAsia="zh-CN" w:bidi="ar-SA"/>
              </w:rPr>
              <w:t>治理区地质环境现状</w:t>
            </w:r>
          </w:p>
          <w:p>
            <w:pPr>
              <w:adjustRightInd w:val="0"/>
              <w:snapToGrid w:val="0"/>
              <w:spacing w:line="360" w:lineRule="auto"/>
              <w:ind w:firstLine="480" w:firstLineChars="200"/>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S</w:t>
            </w:r>
            <w:r>
              <w:rPr>
                <w:rFonts w:hint="eastAsia" w:cs="Times New Roman"/>
                <w:b w:val="0"/>
                <w:kern w:val="2"/>
                <w:sz w:val="24"/>
                <w:szCs w:val="24"/>
                <w:highlight w:val="none"/>
                <w:lang w:val="en-US" w:eastAsia="zh-CN" w:bidi="ar-SA"/>
              </w:rPr>
              <w:t>1-</w:t>
            </w:r>
            <w:r>
              <w:rPr>
                <w:rFonts w:hint="eastAsia" w:ascii="Times New Roman" w:hAnsi="Times New Roman" w:eastAsia="宋体" w:cs="Times New Roman"/>
                <w:b w:val="0"/>
                <w:kern w:val="2"/>
                <w:sz w:val="24"/>
                <w:szCs w:val="24"/>
                <w:highlight w:val="none"/>
                <w:lang w:val="en-US" w:eastAsia="zh-CN" w:bidi="ar-SA"/>
              </w:rPr>
              <w:t>3区面积5.18m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，现状存在1处尾坑（WK11）、2处渣堆（ZD10、ZD11）</w:t>
            </w:r>
            <w:r>
              <w:rPr>
                <w:rFonts w:hint="eastAsia" w:cs="Times New Roman"/>
                <w:b w:val="0"/>
                <w:kern w:val="2"/>
                <w:sz w:val="24"/>
                <w:szCs w:val="24"/>
                <w:highlight w:val="none"/>
                <w:lang w:val="en-US" w:eastAsia="zh-CN" w:bidi="ar-SA"/>
              </w:rPr>
              <w:t>，</w:t>
            </w:r>
            <w:r>
              <w:rPr>
                <w:rFonts w:hint="eastAsia" w:ascii="Times New Roman" w:hAnsi="Times New Roman" w:eastAsia="宋体" w:cs="Times New Roman"/>
                <w:b w:val="0"/>
                <w:kern w:val="2"/>
                <w:sz w:val="24"/>
                <w:szCs w:val="24"/>
                <w:highlight w:val="none"/>
                <w:lang w:val="en-US" w:eastAsia="zh-CN" w:bidi="ar-SA"/>
              </w:rPr>
              <w:t>见图</w:t>
            </w:r>
            <w:r>
              <w:rPr>
                <w:rFonts w:hint="eastAsia" w:cs="Times New Roman"/>
                <w:b w:val="0"/>
                <w:kern w:val="2"/>
                <w:sz w:val="24"/>
                <w:szCs w:val="24"/>
                <w:highlight w:val="none"/>
                <w:lang w:val="en-US" w:eastAsia="zh-CN" w:bidi="ar-SA"/>
              </w:rPr>
              <w:t>1-21</w:t>
            </w:r>
            <w:r>
              <w:rPr>
                <w:rFonts w:hint="eastAsia" w:ascii="Times New Roman" w:hAnsi="Times New Roman" w:eastAsia="宋体" w:cs="Times New Roman"/>
                <w:b w:val="0"/>
                <w:kern w:val="2"/>
                <w:sz w:val="24"/>
                <w:szCs w:val="24"/>
                <w:highlight w:val="none"/>
                <w:lang w:val="en-US" w:eastAsia="zh-CN" w:bidi="ar-SA"/>
              </w:rPr>
              <w:t>。WK11面积1.11hm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，标高1312-1316m，最大深度4m；ZD10面积1.18hm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，标高1311-1320m，最大高度9m；ZD11面积0.85hm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，标高1311-1319m，最大高度8m。</w:t>
            </w:r>
          </w:p>
          <w:p>
            <w:pPr>
              <w:adjustRightInd w:val="0"/>
              <w:snapToGrid w:val="0"/>
              <w:spacing w:line="360" w:lineRule="auto"/>
              <w:ind w:firstLine="0" w:firstLineChars="0"/>
              <w:jc w:val="center"/>
            </w:pPr>
            <w:r>
              <w:drawing>
                <wp:inline distT="0" distB="0" distL="114300" distR="114300">
                  <wp:extent cx="4303395" cy="2282190"/>
                  <wp:effectExtent l="0" t="0" r="1905" b="3810"/>
                  <wp:docPr id="1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true"/>
                          </pic:cNvPicPr>
                        </pic:nvPicPr>
                        <pic:blipFill>
                          <a:blip r:embed="rId11"/>
                          <a:stretch>
                            <a:fillRect/>
                          </a:stretch>
                        </pic:blipFill>
                        <pic:spPr>
                          <a:xfrm>
                            <a:off x="0" y="0"/>
                            <a:ext cx="4303395" cy="2282190"/>
                          </a:xfrm>
                          <a:prstGeom prst="rect">
                            <a:avLst/>
                          </a:prstGeom>
                          <a:noFill/>
                          <a:ln>
                            <a:noFill/>
                          </a:ln>
                        </pic:spPr>
                      </pic:pic>
                    </a:graphicData>
                  </a:graphic>
                </wp:inline>
              </w:drawing>
            </w:r>
          </w:p>
          <w:p>
            <w:pPr>
              <w:pStyle w:val="5"/>
              <w:widowControl/>
              <w:numPr>
                <w:ilvl w:val="0"/>
                <w:numId w:val="0"/>
              </w:numPr>
              <w:adjustRightInd w:val="0"/>
              <w:snapToGrid w:val="0"/>
              <w:spacing w:beforeLines="0" w:afterLines="0" w:line="360" w:lineRule="auto"/>
              <w:ind w:firstLine="0" w:firstLineChars="0"/>
              <w:jc w:val="center"/>
              <w:rPr>
                <w:rFonts w:hint="eastAsia"/>
                <w:lang w:val="en-US" w:eastAsia="zh-CN"/>
              </w:rPr>
            </w:pPr>
            <w:r>
              <w:rPr>
                <w:rFonts w:hint="default" w:eastAsia="宋体" w:cs="Times New Roman"/>
                <w:b/>
                <w:bCs/>
                <w:kern w:val="2"/>
                <w:sz w:val="24"/>
                <w:szCs w:val="24"/>
                <w:highlight w:val="none"/>
                <w:lang w:val="en-US" w:eastAsia="zh-CN" w:bidi="ar-SA"/>
              </w:rPr>
              <w:t>图1-2</w:t>
            </w:r>
            <w:r>
              <w:rPr>
                <w:rFonts w:hint="eastAsia" w:eastAsia="宋体" w:cs="Times New Roman"/>
                <w:b/>
                <w:bCs/>
                <w:kern w:val="2"/>
                <w:sz w:val="24"/>
                <w:szCs w:val="24"/>
                <w:highlight w:val="none"/>
                <w:lang w:val="en-US" w:eastAsia="zh-CN" w:bidi="ar-SA"/>
              </w:rPr>
              <w:t>1</w:t>
            </w:r>
            <w:r>
              <w:rPr>
                <w:rFonts w:hint="default" w:eastAsia="宋体" w:cs="Times New Roman"/>
                <w:b/>
                <w:bCs/>
                <w:kern w:val="2"/>
                <w:sz w:val="24"/>
                <w:szCs w:val="24"/>
                <w:highlight w:val="none"/>
                <w:lang w:val="en-US" w:eastAsia="zh-CN" w:bidi="ar-SA"/>
              </w:rPr>
              <w:t xml:space="preserve">   </w:t>
            </w:r>
            <w:r>
              <w:rPr>
                <w:rFonts w:hint="default" w:ascii="Times New Roman" w:hAnsi="Times New Roman" w:eastAsia="宋体" w:cs="Times New Roman"/>
                <w:b/>
                <w:bCs/>
                <w:kern w:val="2"/>
                <w:sz w:val="24"/>
                <w:szCs w:val="24"/>
                <w:highlight w:val="none"/>
                <w:lang w:val="en-US" w:eastAsia="zh-CN" w:bidi="ar-SA"/>
              </w:rPr>
              <w:t>S1-</w:t>
            </w:r>
            <w:r>
              <w:rPr>
                <w:rFonts w:hint="eastAsia" w:eastAsia="宋体" w:cs="Times New Roman"/>
                <w:b/>
                <w:bCs/>
                <w:kern w:val="2"/>
                <w:sz w:val="24"/>
                <w:szCs w:val="24"/>
                <w:highlight w:val="none"/>
                <w:lang w:val="en-US" w:eastAsia="zh-CN" w:bidi="ar-SA"/>
              </w:rPr>
              <w:t>2、S1-3</w:t>
            </w:r>
            <w:r>
              <w:rPr>
                <w:rFonts w:hint="default" w:ascii="Times New Roman" w:hAnsi="Times New Roman" w:eastAsia="宋体" w:cs="Times New Roman"/>
                <w:b/>
                <w:bCs/>
                <w:kern w:val="2"/>
                <w:sz w:val="24"/>
                <w:szCs w:val="24"/>
                <w:highlight w:val="none"/>
                <w:lang w:val="en-US" w:eastAsia="zh-CN" w:bidi="ar-SA"/>
              </w:rPr>
              <w:t>现状图</w:t>
            </w:r>
          </w:p>
          <w:p>
            <w:pPr>
              <w:adjustRightInd w:val="0"/>
              <w:snapToGrid w:val="0"/>
              <w:spacing w:line="360" w:lineRule="auto"/>
              <w:ind w:firstLine="480" w:firstLineChars="200"/>
              <w:rPr>
                <w:rFonts w:hint="eastAsia" w:ascii="Times New Roman" w:hAnsi="Times New Roman" w:eastAsia="宋体" w:cs="Times New Roman"/>
                <w:b w:val="0"/>
                <w:kern w:val="2"/>
                <w:sz w:val="24"/>
                <w:szCs w:val="24"/>
                <w:highlight w:val="none"/>
                <w:lang w:val="en-US" w:eastAsia="zh-CN" w:bidi="ar-SA"/>
              </w:rPr>
            </w:pPr>
            <w:r>
              <w:rPr>
                <w:rFonts w:hint="default" w:ascii="Times New Roman" w:hAnsi="Times New Roman" w:eastAsia="宋体" w:cs="Times New Roman"/>
                <w:b w:val="0"/>
                <w:kern w:val="2"/>
                <w:sz w:val="24"/>
                <w:szCs w:val="24"/>
                <w:highlight w:val="none"/>
                <w:lang w:val="en-US" w:eastAsia="zh-CN" w:bidi="ar-SA"/>
              </w:rPr>
              <w:t>⑦</w:t>
            </w:r>
            <w:r>
              <w:rPr>
                <w:rFonts w:hint="eastAsia" w:ascii="Times New Roman" w:hAnsi="Times New Roman" w:eastAsia="宋体" w:cs="Times New Roman"/>
                <w:b w:val="0"/>
                <w:kern w:val="2"/>
                <w:sz w:val="24"/>
                <w:szCs w:val="24"/>
                <w:highlight w:val="none"/>
                <w:lang w:val="en-US" w:eastAsia="zh-CN" w:bidi="ar-SA"/>
              </w:rPr>
              <w:t>S</w:t>
            </w:r>
            <w:r>
              <w:rPr>
                <w:rFonts w:hint="eastAsia" w:cs="Times New Roman"/>
                <w:b w:val="0"/>
                <w:kern w:val="2"/>
                <w:sz w:val="24"/>
                <w:szCs w:val="24"/>
                <w:highlight w:val="none"/>
                <w:lang w:val="en-US" w:eastAsia="zh-CN" w:bidi="ar-SA"/>
              </w:rPr>
              <w:t>1-</w:t>
            </w:r>
            <w:r>
              <w:rPr>
                <w:rFonts w:hint="eastAsia" w:ascii="Times New Roman" w:hAnsi="Times New Roman" w:eastAsia="宋体" w:cs="Times New Roman"/>
                <w:b w:val="0"/>
                <w:kern w:val="2"/>
                <w:sz w:val="24"/>
                <w:szCs w:val="24"/>
                <w:highlight w:val="none"/>
                <w:lang w:val="en-US" w:eastAsia="zh-CN" w:bidi="ar-SA"/>
              </w:rPr>
              <w:t>4</w:t>
            </w:r>
            <w:r>
              <w:rPr>
                <w:rFonts w:hint="default" w:ascii="Times New Roman" w:hAnsi="Times New Roman" w:eastAsia="宋体" w:cs="Times New Roman"/>
                <w:b w:val="0"/>
                <w:kern w:val="2"/>
                <w:sz w:val="24"/>
                <w:szCs w:val="24"/>
                <w:highlight w:val="none"/>
                <w:lang w:val="en-US" w:eastAsia="zh-CN" w:bidi="ar-SA"/>
              </w:rPr>
              <w:t>治理区地质环境现状</w:t>
            </w:r>
          </w:p>
          <w:p>
            <w:pPr>
              <w:adjustRightInd w:val="0"/>
              <w:snapToGrid w:val="0"/>
              <w:spacing w:line="360" w:lineRule="auto"/>
              <w:ind w:firstLine="480" w:firstLineChars="200"/>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S</w:t>
            </w:r>
            <w:r>
              <w:rPr>
                <w:rFonts w:hint="eastAsia" w:cs="Times New Roman"/>
                <w:b w:val="0"/>
                <w:kern w:val="2"/>
                <w:sz w:val="24"/>
                <w:szCs w:val="24"/>
                <w:highlight w:val="none"/>
                <w:lang w:val="en-US" w:eastAsia="zh-CN" w:bidi="ar-SA"/>
              </w:rPr>
              <w:t>1-</w:t>
            </w:r>
            <w:r>
              <w:rPr>
                <w:rFonts w:hint="eastAsia" w:ascii="Times New Roman" w:hAnsi="Times New Roman" w:eastAsia="宋体" w:cs="Times New Roman"/>
                <w:b w:val="0"/>
                <w:kern w:val="2"/>
                <w:sz w:val="24"/>
                <w:szCs w:val="24"/>
                <w:highlight w:val="none"/>
                <w:lang w:val="en-US" w:eastAsia="zh-CN" w:bidi="ar-SA"/>
              </w:rPr>
              <w:t>4区面积11.73hm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，现状存在2处尾坑（ZD12、ZD13），见图</w:t>
            </w:r>
            <w:r>
              <w:rPr>
                <w:rFonts w:hint="eastAsia" w:cs="Times New Roman"/>
                <w:b w:val="0"/>
                <w:kern w:val="2"/>
                <w:sz w:val="24"/>
                <w:szCs w:val="24"/>
                <w:highlight w:val="none"/>
                <w:lang w:val="en-US" w:eastAsia="zh-CN" w:bidi="ar-SA"/>
              </w:rPr>
              <w:t>1-22</w:t>
            </w:r>
            <w:r>
              <w:rPr>
                <w:rFonts w:hint="eastAsia" w:ascii="Times New Roman" w:hAnsi="Times New Roman" w:eastAsia="宋体" w:cs="Times New Roman"/>
                <w:b w:val="0"/>
                <w:kern w:val="2"/>
                <w:sz w:val="24"/>
                <w:szCs w:val="24"/>
                <w:highlight w:val="none"/>
                <w:lang w:val="en-US" w:eastAsia="zh-CN" w:bidi="ar-SA"/>
              </w:rPr>
              <w:t>。ZD12面积 1.47hm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，标高1307-1320m，最大高度13m；ZD13面积3.31hm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，标高1298-1305m</w:t>
            </w:r>
            <w:r>
              <w:rPr>
                <w:rFonts w:hint="eastAsia" w:cs="Times New Roman"/>
                <w:b w:val="0"/>
                <w:kern w:val="2"/>
                <w:sz w:val="24"/>
                <w:szCs w:val="24"/>
                <w:highlight w:val="none"/>
                <w:lang w:val="en-US" w:eastAsia="zh-CN" w:bidi="ar-SA"/>
              </w:rPr>
              <w:t>，</w:t>
            </w:r>
            <w:r>
              <w:rPr>
                <w:rFonts w:hint="eastAsia" w:ascii="Times New Roman" w:hAnsi="Times New Roman" w:eastAsia="宋体" w:cs="Times New Roman"/>
                <w:b w:val="0"/>
                <w:kern w:val="2"/>
                <w:sz w:val="24"/>
                <w:szCs w:val="24"/>
                <w:highlight w:val="none"/>
                <w:lang w:val="en-US" w:eastAsia="zh-CN" w:bidi="ar-SA"/>
              </w:rPr>
              <w:t>最大高度7m。</w:t>
            </w:r>
          </w:p>
          <w:p>
            <w:pPr>
              <w:adjustRightInd w:val="0"/>
              <w:snapToGrid w:val="0"/>
              <w:spacing w:line="360" w:lineRule="auto"/>
              <w:ind w:firstLine="480" w:firstLineChars="200"/>
              <w:rPr>
                <w:rFonts w:hint="default" w:ascii="Times New Roman" w:hAnsi="Times New Roman" w:eastAsia="宋体" w:cs="Times New Roman"/>
                <w:b w:val="0"/>
                <w:kern w:val="2"/>
                <w:sz w:val="24"/>
                <w:szCs w:val="24"/>
                <w:highlight w:val="none"/>
                <w:lang w:val="en-US" w:eastAsia="zh-CN" w:bidi="ar-SA"/>
              </w:rPr>
            </w:pPr>
            <w:r>
              <w:rPr>
                <w:rFonts w:hint="default" w:ascii="Times New Roman" w:hAnsi="Times New Roman" w:eastAsia="宋体" w:cs="Times New Roman"/>
                <w:b w:val="0"/>
                <w:kern w:val="2"/>
                <w:sz w:val="24"/>
                <w:szCs w:val="24"/>
                <w:highlight w:val="none"/>
                <w:lang w:val="en-US" w:eastAsia="zh-CN" w:bidi="ar-SA"/>
              </w:rPr>
              <w:t>⑧</w:t>
            </w:r>
            <w:r>
              <w:rPr>
                <w:rFonts w:hint="eastAsia" w:ascii="Times New Roman" w:hAnsi="Times New Roman" w:eastAsia="宋体" w:cs="Times New Roman"/>
                <w:b w:val="0"/>
                <w:kern w:val="2"/>
                <w:sz w:val="24"/>
                <w:szCs w:val="24"/>
                <w:highlight w:val="none"/>
                <w:lang w:val="en-US" w:eastAsia="zh-CN" w:bidi="ar-SA"/>
              </w:rPr>
              <w:t>S</w:t>
            </w:r>
            <w:r>
              <w:rPr>
                <w:rFonts w:hint="eastAsia" w:cs="Times New Roman"/>
                <w:b w:val="0"/>
                <w:kern w:val="2"/>
                <w:sz w:val="24"/>
                <w:szCs w:val="24"/>
                <w:highlight w:val="none"/>
                <w:lang w:val="en-US" w:eastAsia="zh-CN" w:bidi="ar-SA"/>
              </w:rPr>
              <w:t>1-</w:t>
            </w:r>
            <w:r>
              <w:rPr>
                <w:rFonts w:hint="eastAsia" w:ascii="Times New Roman" w:hAnsi="Times New Roman" w:eastAsia="宋体" w:cs="Times New Roman"/>
                <w:b w:val="0"/>
                <w:kern w:val="2"/>
                <w:sz w:val="24"/>
                <w:szCs w:val="24"/>
                <w:highlight w:val="none"/>
                <w:lang w:val="en-US" w:eastAsia="zh-CN" w:bidi="ar-SA"/>
              </w:rPr>
              <w:t>5</w:t>
            </w:r>
            <w:r>
              <w:rPr>
                <w:rFonts w:hint="default" w:ascii="Times New Roman" w:hAnsi="Times New Roman" w:eastAsia="宋体" w:cs="Times New Roman"/>
                <w:b w:val="0"/>
                <w:kern w:val="2"/>
                <w:sz w:val="24"/>
                <w:szCs w:val="24"/>
                <w:highlight w:val="none"/>
                <w:lang w:val="en-US" w:eastAsia="zh-CN" w:bidi="ar-SA"/>
              </w:rPr>
              <w:t>治理区地质环境现状</w:t>
            </w:r>
          </w:p>
          <w:p>
            <w:pPr>
              <w:bidi w:val="0"/>
              <w:adjustRightInd w:val="0"/>
              <w:snapToGrid w:val="0"/>
              <w:spacing w:line="360" w:lineRule="auto"/>
              <w:ind w:firstLine="480" w:firstLineChars="200"/>
              <w:rPr>
                <w:rFonts w:hint="eastAsia"/>
                <w:sz w:val="24"/>
                <w:highlight w:val="none"/>
              </w:rPr>
            </w:pPr>
            <w:r>
              <w:rPr>
                <w:rFonts w:hint="eastAsia" w:ascii="Times New Roman" w:hAnsi="Times New Roman" w:eastAsia="宋体" w:cs="Times New Roman"/>
                <w:b w:val="0"/>
                <w:kern w:val="2"/>
                <w:sz w:val="24"/>
                <w:szCs w:val="24"/>
                <w:highlight w:val="none"/>
                <w:lang w:val="en-US" w:eastAsia="zh-CN" w:bidi="ar-SA"/>
              </w:rPr>
              <w:t>S</w:t>
            </w:r>
            <w:r>
              <w:rPr>
                <w:rFonts w:hint="eastAsia" w:cs="Times New Roman"/>
                <w:b w:val="0"/>
                <w:kern w:val="2"/>
                <w:sz w:val="24"/>
                <w:szCs w:val="24"/>
                <w:highlight w:val="none"/>
                <w:lang w:val="en-US" w:eastAsia="zh-CN" w:bidi="ar-SA"/>
              </w:rPr>
              <w:t>1-</w:t>
            </w:r>
            <w:r>
              <w:rPr>
                <w:rFonts w:hint="eastAsia" w:ascii="Times New Roman" w:hAnsi="Times New Roman" w:eastAsia="宋体" w:cs="Times New Roman"/>
                <w:b w:val="0"/>
                <w:kern w:val="2"/>
                <w:sz w:val="24"/>
                <w:szCs w:val="24"/>
                <w:highlight w:val="none"/>
                <w:lang w:val="en-US" w:eastAsia="zh-CN" w:bidi="ar-SA"/>
              </w:rPr>
              <w:t>5区面积5.28hm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，现状存在2处渣堆（ZD14、ZD15）</w:t>
            </w:r>
            <w:r>
              <w:rPr>
                <w:rFonts w:hint="eastAsia" w:ascii="Times New Roman" w:hAnsi="Times New Roman" w:eastAsia="宋体" w:cs="Times New Roman"/>
                <w:b w:val="0"/>
                <w:kern w:val="2"/>
                <w:sz w:val="24"/>
                <w:szCs w:val="24"/>
                <w:highlight w:val="none"/>
                <w:vertAlign w:val="baseline"/>
                <w:lang w:val="en-US" w:eastAsia="zh-CN" w:bidi="ar-SA"/>
              </w:rPr>
              <w:t>，见图</w:t>
            </w:r>
            <w:r>
              <w:rPr>
                <w:rFonts w:hint="eastAsia" w:cs="Times New Roman"/>
                <w:b w:val="0"/>
                <w:kern w:val="2"/>
                <w:sz w:val="24"/>
                <w:szCs w:val="24"/>
                <w:highlight w:val="none"/>
                <w:lang w:val="en-US" w:eastAsia="zh-CN" w:bidi="ar-SA"/>
              </w:rPr>
              <w:t>1-22</w:t>
            </w:r>
            <w:r>
              <w:rPr>
                <w:rFonts w:hint="eastAsia" w:ascii="Times New Roman" w:hAnsi="Times New Roman" w:eastAsia="宋体" w:cs="Times New Roman"/>
                <w:b w:val="0"/>
                <w:kern w:val="2"/>
                <w:sz w:val="24"/>
                <w:szCs w:val="24"/>
                <w:highlight w:val="none"/>
                <w:vertAlign w:val="baseline"/>
                <w:lang w:val="en-US" w:eastAsia="zh-CN" w:bidi="ar-SA"/>
              </w:rPr>
              <w:t>。</w:t>
            </w:r>
            <w:r>
              <w:rPr>
                <w:rFonts w:hint="eastAsia" w:ascii="Times New Roman" w:hAnsi="Times New Roman" w:eastAsia="宋体" w:cs="Times New Roman"/>
                <w:b w:val="0"/>
                <w:kern w:val="2"/>
                <w:sz w:val="24"/>
                <w:szCs w:val="24"/>
                <w:highlight w:val="none"/>
                <w:lang w:val="en-US" w:eastAsia="zh-CN" w:bidi="ar-SA"/>
              </w:rPr>
              <w:t>ZD14面积0.36hm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，标高1290-1292m，最大高度2m；ZD15面积0.49hm</w:t>
            </w:r>
            <w:r>
              <w:rPr>
                <w:rFonts w:hint="eastAsia" w:ascii="Times New Roman" w:hAnsi="Times New Roman" w:eastAsia="宋体" w:cs="Times New Roman"/>
                <w:b w:val="0"/>
                <w:kern w:val="2"/>
                <w:sz w:val="24"/>
                <w:szCs w:val="24"/>
                <w:highlight w:val="none"/>
                <w:vertAlign w:val="superscript"/>
                <w:lang w:val="en-US" w:eastAsia="zh-CN" w:bidi="ar-SA"/>
              </w:rPr>
              <w:t>2</w:t>
            </w:r>
            <w:r>
              <w:rPr>
                <w:rFonts w:hint="eastAsia" w:ascii="Times New Roman" w:hAnsi="Times New Roman" w:eastAsia="宋体" w:cs="Times New Roman"/>
                <w:b w:val="0"/>
                <w:kern w:val="2"/>
                <w:sz w:val="24"/>
                <w:szCs w:val="24"/>
                <w:highlight w:val="none"/>
                <w:lang w:val="en-US" w:eastAsia="zh-CN" w:bidi="ar-SA"/>
              </w:rPr>
              <w:t>，标高1285-1292m，最大高度7m。</w:t>
            </w:r>
          </w:p>
          <w:p>
            <w:pPr>
              <w:pStyle w:val="28"/>
              <w:bidi w:val="0"/>
              <w:spacing w:line="360" w:lineRule="auto"/>
            </w:pPr>
            <w:r>
              <w:drawing>
                <wp:inline distT="0" distB="0" distL="114300" distR="114300">
                  <wp:extent cx="4674870" cy="3443605"/>
                  <wp:effectExtent l="0" t="0" r="11430" b="4445"/>
                  <wp:docPr id="14"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true"/>
                          </pic:cNvPicPr>
                        </pic:nvPicPr>
                        <pic:blipFill>
                          <a:blip r:embed="rId12"/>
                          <a:stretch>
                            <a:fillRect/>
                          </a:stretch>
                        </pic:blipFill>
                        <pic:spPr>
                          <a:xfrm>
                            <a:off x="0" y="0"/>
                            <a:ext cx="4674870" cy="3443605"/>
                          </a:xfrm>
                          <a:prstGeom prst="rect">
                            <a:avLst/>
                          </a:prstGeom>
                          <a:noFill/>
                          <a:ln>
                            <a:noFill/>
                          </a:ln>
                        </pic:spPr>
                      </pic:pic>
                    </a:graphicData>
                  </a:graphic>
                </wp:inline>
              </w:drawing>
            </w:r>
          </w:p>
          <w:p>
            <w:pPr>
              <w:pStyle w:val="5"/>
              <w:widowControl/>
              <w:numPr>
                <w:ilvl w:val="0"/>
                <w:numId w:val="0"/>
              </w:numPr>
              <w:bidi w:val="0"/>
              <w:adjustRightInd w:val="0"/>
              <w:snapToGrid w:val="0"/>
              <w:spacing w:beforeLines="0" w:afterLines="0" w:line="360" w:lineRule="auto"/>
              <w:jc w:val="center"/>
            </w:pPr>
            <w:r>
              <w:rPr>
                <w:rFonts w:hint="default" w:eastAsia="宋体" w:cs="Times New Roman"/>
                <w:b/>
                <w:bCs/>
                <w:kern w:val="2"/>
                <w:sz w:val="24"/>
                <w:szCs w:val="24"/>
                <w:highlight w:val="none"/>
                <w:lang w:val="en-US" w:eastAsia="zh-CN" w:bidi="ar-SA"/>
              </w:rPr>
              <w:t>图1-2</w:t>
            </w:r>
            <w:r>
              <w:rPr>
                <w:rFonts w:hint="eastAsia" w:eastAsia="宋体" w:cs="Times New Roman"/>
                <w:b/>
                <w:bCs/>
                <w:kern w:val="2"/>
                <w:sz w:val="24"/>
                <w:szCs w:val="24"/>
                <w:highlight w:val="none"/>
                <w:lang w:val="en-US" w:eastAsia="zh-CN" w:bidi="ar-SA"/>
              </w:rPr>
              <w:t>1</w:t>
            </w:r>
            <w:r>
              <w:rPr>
                <w:rFonts w:hint="default" w:eastAsia="宋体" w:cs="Times New Roman"/>
                <w:b/>
                <w:bCs/>
                <w:kern w:val="2"/>
                <w:sz w:val="24"/>
                <w:szCs w:val="24"/>
                <w:highlight w:val="none"/>
                <w:lang w:val="en-US" w:eastAsia="zh-CN" w:bidi="ar-SA"/>
              </w:rPr>
              <w:t xml:space="preserve">   </w:t>
            </w:r>
            <w:r>
              <w:rPr>
                <w:rFonts w:hint="default" w:ascii="Times New Roman" w:hAnsi="Times New Roman" w:eastAsia="宋体" w:cs="Times New Roman"/>
                <w:b/>
                <w:bCs/>
                <w:kern w:val="2"/>
                <w:sz w:val="24"/>
                <w:szCs w:val="24"/>
                <w:highlight w:val="none"/>
                <w:lang w:val="en-US" w:eastAsia="zh-CN" w:bidi="ar-SA"/>
              </w:rPr>
              <w:t>S1-</w:t>
            </w:r>
            <w:r>
              <w:rPr>
                <w:rFonts w:hint="eastAsia" w:eastAsia="宋体" w:cs="Times New Roman"/>
                <w:b/>
                <w:bCs/>
                <w:kern w:val="2"/>
                <w:sz w:val="24"/>
                <w:szCs w:val="24"/>
                <w:highlight w:val="none"/>
                <w:lang w:val="en-US" w:eastAsia="zh-CN" w:bidi="ar-SA"/>
              </w:rPr>
              <w:t>4、S1-5</w:t>
            </w:r>
            <w:r>
              <w:rPr>
                <w:rFonts w:hint="default" w:ascii="Times New Roman" w:hAnsi="Times New Roman" w:eastAsia="宋体" w:cs="Times New Roman"/>
                <w:b/>
                <w:bCs/>
                <w:kern w:val="2"/>
                <w:sz w:val="24"/>
                <w:szCs w:val="24"/>
                <w:highlight w:val="none"/>
                <w:lang w:val="en-US" w:eastAsia="zh-CN" w:bidi="ar-SA"/>
              </w:rPr>
              <w:t>现状图</w:t>
            </w:r>
          </w:p>
          <w:p>
            <w:pPr>
              <w:adjustRightInd w:val="0"/>
              <w:spacing w:line="360" w:lineRule="auto"/>
              <w:ind w:firstLine="48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⑶土地资源破坏</w:t>
            </w:r>
          </w:p>
          <w:p>
            <w:pPr>
              <w:adjustRightInd w:val="0"/>
              <w:spacing w:line="360" w:lineRule="auto"/>
              <w:ind w:firstLine="48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项目区内盗采坑、采砂坑、渣堆等的大量无序分布使得项目区内表土广泛缺失，植被无法生长，土地荒芜，裸露砂土因缺水干燥，风气沙扬，生态环境严重恶化，破坏和浪费大量的土地资源。</w:t>
            </w:r>
          </w:p>
          <w:p>
            <w:pPr>
              <w:adjustRightInd w:val="0"/>
              <w:spacing w:line="360" w:lineRule="auto"/>
              <w:ind w:firstLine="48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⑷水土流失</w:t>
            </w:r>
          </w:p>
          <w:p>
            <w:pPr>
              <w:adjustRightInd w:val="0"/>
              <w:spacing w:line="360" w:lineRule="auto"/>
              <w:ind w:firstLine="480"/>
              <w:rPr>
                <w:rFonts w:hint="eastAsia"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红寺堡区位于内陆干旱气候区，气候干燥、少雨多风。风季时间较长，风大沙多。区域内的农田大都已经弃耕，并日益沙化，再加上盗采活动频繁，严重破坏土地和植被，排放大量的剥离物，增加新的水土流失和土地沙化干化源，成为本区域主要的环境地质问题</w:t>
            </w:r>
            <w:r>
              <w:rPr>
                <w:rFonts w:hint="eastAsia" w:cs="Times New Roman"/>
                <w:b w:val="0"/>
                <w:bCs w:val="0"/>
                <w:color w:val="auto"/>
                <w:sz w:val="24"/>
                <w:szCs w:val="24"/>
                <w:highlight w:val="none"/>
                <w:lang w:val="en-US" w:eastAsia="zh-CN"/>
              </w:rPr>
              <w:t>。</w:t>
            </w:r>
          </w:p>
          <w:p>
            <w:pPr>
              <w:pStyle w:val="28"/>
              <w:spacing w:line="240" w:lineRule="auto"/>
              <w:jc w:val="center"/>
              <w:rPr>
                <w:rFonts w:hint="eastAsia"/>
              </w:rPr>
            </w:pPr>
            <w:r>
              <w:rPr>
                <w:rFonts w:hint="eastAsia"/>
              </w:rPr>
              <w:drawing>
                <wp:inline distT="0" distB="0" distL="114300" distR="114300">
                  <wp:extent cx="2404110" cy="1811655"/>
                  <wp:effectExtent l="0" t="0" r="15240" b="17145"/>
                  <wp:docPr id="19" name="图片 19" descr="T~U%~QMP5_S[0F_2G{_R[$Y"/>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T~U%~QMP5_S[0F_2G{_R[$Y"/>
                          <pic:cNvPicPr>
                            <a:picLocks noChangeAspect="true"/>
                          </pic:cNvPicPr>
                        </pic:nvPicPr>
                        <pic:blipFill>
                          <a:blip r:embed="rId13"/>
                          <a:stretch>
                            <a:fillRect/>
                          </a:stretch>
                        </pic:blipFill>
                        <pic:spPr>
                          <a:xfrm>
                            <a:off x="0" y="0"/>
                            <a:ext cx="2404110" cy="1811655"/>
                          </a:xfrm>
                          <a:prstGeom prst="rect">
                            <a:avLst/>
                          </a:prstGeom>
                        </pic:spPr>
                      </pic:pic>
                    </a:graphicData>
                  </a:graphic>
                </wp:inline>
              </w:drawing>
            </w:r>
            <w:r>
              <w:rPr>
                <w:rFonts w:hint="eastAsia"/>
              </w:rPr>
              <w:drawing>
                <wp:inline distT="0" distB="0" distL="114300" distR="114300">
                  <wp:extent cx="2406015" cy="1812925"/>
                  <wp:effectExtent l="0" t="0" r="13335" b="15875"/>
                  <wp:docPr id="18" name="图片 18" descr="BEGION5IDKJ5BD_29Q%4ID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BEGION5IDKJ5BD_29Q%4IDS"/>
                          <pic:cNvPicPr>
                            <a:picLocks noChangeAspect="true"/>
                          </pic:cNvPicPr>
                        </pic:nvPicPr>
                        <pic:blipFill>
                          <a:blip r:embed="rId14"/>
                          <a:stretch>
                            <a:fillRect/>
                          </a:stretch>
                        </pic:blipFill>
                        <pic:spPr>
                          <a:xfrm>
                            <a:off x="0" y="0"/>
                            <a:ext cx="2406015" cy="1812925"/>
                          </a:xfrm>
                          <a:prstGeom prst="rect">
                            <a:avLst/>
                          </a:prstGeom>
                        </pic:spPr>
                      </pic:pic>
                    </a:graphicData>
                  </a:graphic>
                </wp:inline>
              </w:drawing>
            </w:r>
          </w:p>
          <w:p>
            <w:pPr>
              <w:pStyle w:val="28"/>
              <w:spacing w:line="360" w:lineRule="auto"/>
              <w:jc w:val="center"/>
              <w:rPr>
                <w:rFonts w:hint="eastAsia"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 xml:space="preserve">图1-14   </w:t>
            </w:r>
            <w:r>
              <w:rPr>
                <w:rFonts w:hint="eastAsia" w:ascii="Times New Roman" w:hAnsi="Times New Roman" w:eastAsia="宋体" w:cs="Times New Roman"/>
                <w:b/>
                <w:bCs/>
                <w:color w:val="auto"/>
                <w:kern w:val="2"/>
                <w:sz w:val="24"/>
                <w:szCs w:val="24"/>
                <w:highlight w:val="none"/>
                <w:lang w:val="en-US" w:eastAsia="zh-CN" w:bidi="ar-SA"/>
              </w:rPr>
              <w:t xml:space="preserve"> 地表水土流失及荒漠化</w:t>
            </w:r>
          </w:p>
          <w:p>
            <w:pPr>
              <w:pStyle w:val="4"/>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⑸生态系统崩溃</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项目区属于草原生态系统，植物以草本植物为主，有的草原上有少量的灌木丛，由于降雨稀少，乔木非常少见，生态系统的结构脆弱，功能单一。生态环境状况属于“差”级别。</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治理区</w:t>
            </w:r>
            <w:r>
              <w:rPr>
                <w:rFonts w:hint="eastAsia" w:ascii="Times New Roman" w:hAnsi="Times New Roman" w:eastAsia="宋体" w:cs="Times New Roman"/>
                <w:b w:val="0"/>
                <w:kern w:val="2"/>
                <w:sz w:val="24"/>
                <w:szCs w:val="24"/>
                <w:highlight w:val="none"/>
                <w:lang w:val="en-US" w:eastAsia="zh-CN" w:bidi="ar-SA"/>
              </w:rPr>
              <w:fldChar w:fldCharType="begin"/>
            </w:r>
            <w:r>
              <w:rPr>
                <w:rFonts w:hint="eastAsia" w:ascii="Times New Roman" w:hAnsi="Times New Roman" w:eastAsia="宋体" w:cs="Times New Roman"/>
                <w:b w:val="0"/>
                <w:kern w:val="2"/>
                <w:sz w:val="24"/>
                <w:szCs w:val="24"/>
                <w:highlight w:val="none"/>
                <w:lang w:val="en-US" w:eastAsia="zh-CN" w:bidi="ar-SA"/>
              </w:rPr>
              <w:instrText xml:space="preserve"> HYPERLINK "https://baike.so.com/doc/5894449-6107336.html" \t "https://baike.so.com/doc/_blank" </w:instrText>
            </w:r>
            <w:r>
              <w:rPr>
                <w:rFonts w:hint="eastAsia" w:ascii="Times New Roman" w:hAnsi="Times New Roman" w:eastAsia="宋体" w:cs="Times New Roman"/>
                <w:b w:val="0"/>
                <w:kern w:val="2"/>
                <w:sz w:val="24"/>
                <w:szCs w:val="24"/>
                <w:highlight w:val="none"/>
                <w:lang w:val="en-US" w:eastAsia="zh-CN" w:bidi="ar-SA"/>
              </w:rPr>
              <w:fldChar w:fldCharType="separate"/>
            </w:r>
            <w:r>
              <w:rPr>
                <w:rFonts w:hint="eastAsia" w:ascii="Times New Roman" w:hAnsi="Times New Roman" w:eastAsia="宋体" w:cs="Times New Roman"/>
                <w:b w:val="0"/>
                <w:kern w:val="2"/>
                <w:sz w:val="24"/>
                <w:szCs w:val="24"/>
                <w:highlight w:val="none"/>
                <w:lang w:val="en-US" w:eastAsia="zh-CN" w:bidi="ar-SA"/>
              </w:rPr>
              <w:t>草原生态系统</w:t>
            </w:r>
            <w:r>
              <w:rPr>
                <w:rFonts w:hint="eastAsia" w:ascii="Times New Roman" w:hAnsi="Times New Roman" w:eastAsia="宋体" w:cs="Times New Roman"/>
                <w:b w:val="0"/>
                <w:kern w:val="2"/>
                <w:sz w:val="24"/>
                <w:szCs w:val="24"/>
                <w:highlight w:val="none"/>
                <w:lang w:val="en-US" w:eastAsia="zh-CN" w:bidi="ar-SA"/>
              </w:rPr>
              <w:fldChar w:fldCharType="end"/>
            </w:r>
            <w:r>
              <w:rPr>
                <w:rFonts w:hint="eastAsia" w:ascii="Times New Roman" w:hAnsi="Times New Roman" w:eastAsia="宋体" w:cs="Times New Roman"/>
                <w:b w:val="0"/>
                <w:kern w:val="2"/>
                <w:sz w:val="24"/>
                <w:szCs w:val="24"/>
                <w:highlight w:val="none"/>
                <w:lang w:val="en-US" w:eastAsia="zh-CN" w:bidi="ar-SA"/>
              </w:rPr>
              <w:t>的消费者主要是适宜于奔跑的大型草食动物，如山羊。小型种类如草兔、蝗虫的数量很多。</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治理区采矿活动生态系统受损的主要因素，使得区域生态结构和景观同时受损。采矿活动已将生态系统空间</w:t>
            </w:r>
            <w:r>
              <w:rPr>
                <w:rFonts w:hint="eastAsia" w:ascii="Times New Roman" w:hAnsi="Times New Roman" w:eastAsia="宋体" w:cs="Times New Roman"/>
                <w:b w:val="0"/>
                <w:kern w:val="2"/>
                <w:sz w:val="24"/>
                <w:szCs w:val="24"/>
                <w:highlight w:val="none"/>
                <w:lang w:val="en-US" w:eastAsia="zh-CN" w:bidi="ar-SA"/>
              </w:rPr>
              <w:fldChar w:fldCharType="begin"/>
            </w:r>
            <w:r>
              <w:rPr>
                <w:rFonts w:hint="eastAsia" w:ascii="Times New Roman" w:hAnsi="Times New Roman" w:eastAsia="宋体" w:cs="Times New Roman"/>
                <w:b w:val="0"/>
                <w:kern w:val="2"/>
                <w:sz w:val="24"/>
                <w:szCs w:val="24"/>
                <w:highlight w:val="none"/>
                <w:lang w:val="en-US" w:eastAsia="zh-CN" w:bidi="ar-SA"/>
              </w:rPr>
              <w:instrText xml:space="preserve"> HYPERLINK "https://baike.so.com/doc/1020511-1079341.html" \t "https://baike.so.com/doc/_blank" </w:instrText>
            </w:r>
            <w:r>
              <w:rPr>
                <w:rFonts w:hint="eastAsia" w:ascii="Times New Roman" w:hAnsi="Times New Roman" w:eastAsia="宋体" w:cs="Times New Roman"/>
                <w:b w:val="0"/>
                <w:kern w:val="2"/>
                <w:sz w:val="24"/>
                <w:szCs w:val="24"/>
                <w:highlight w:val="none"/>
                <w:lang w:val="en-US" w:eastAsia="zh-CN" w:bidi="ar-SA"/>
              </w:rPr>
              <w:fldChar w:fldCharType="separate"/>
            </w:r>
            <w:r>
              <w:rPr>
                <w:rFonts w:hint="eastAsia" w:ascii="Times New Roman" w:hAnsi="Times New Roman" w:eastAsia="宋体" w:cs="Times New Roman"/>
                <w:b w:val="0"/>
                <w:kern w:val="2"/>
                <w:sz w:val="24"/>
                <w:szCs w:val="24"/>
                <w:highlight w:val="none"/>
                <w:lang w:val="en-US" w:eastAsia="zh-CN" w:bidi="ar-SA"/>
              </w:rPr>
              <w:t>垂直结构</w:t>
            </w:r>
            <w:r>
              <w:rPr>
                <w:rFonts w:hint="eastAsia" w:ascii="Times New Roman" w:hAnsi="Times New Roman" w:eastAsia="宋体" w:cs="Times New Roman"/>
                <w:b w:val="0"/>
                <w:kern w:val="2"/>
                <w:sz w:val="24"/>
                <w:szCs w:val="24"/>
                <w:highlight w:val="none"/>
                <w:lang w:val="en-US" w:eastAsia="zh-CN" w:bidi="ar-SA"/>
              </w:rPr>
              <w:fldChar w:fldCharType="end"/>
            </w:r>
            <w:r>
              <w:rPr>
                <w:rFonts w:hint="eastAsia" w:ascii="Times New Roman" w:hAnsi="Times New Roman" w:eastAsia="宋体" w:cs="Times New Roman"/>
                <w:b w:val="0"/>
                <w:kern w:val="2"/>
                <w:sz w:val="24"/>
                <w:szCs w:val="24"/>
                <w:highlight w:val="none"/>
                <w:lang w:val="en-US" w:eastAsia="zh-CN" w:bidi="ar-SA"/>
              </w:rPr>
              <w:t>的</w:t>
            </w:r>
            <w:r>
              <w:rPr>
                <w:rFonts w:hint="eastAsia" w:ascii="Times New Roman" w:hAnsi="Times New Roman" w:eastAsia="宋体" w:cs="Times New Roman"/>
                <w:b w:val="0"/>
                <w:kern w:val="2"/>
                <w:sz w:val="24"/>
                <w:szCs w:val="24"/>
                <w:highlight w:val="none"/>
                <w:lang w:val="en-US" w:eastAsia="zh-CN" w:bidi="ar-SA"/>
              </w:rPr>
              <w:fldChar w:fldCharType="begin"/>
            </w:r>
            <w:r>
              <w:rPr>
                <w:rFonts w:hint="eastAsia" w:ascii="Times New Roman" w:hAnsi="Times New Roman" w:eastAsia="宋体" w:cs="Times New Roman"/>
                <w:b w:val="0"/>
                <w:kern w:val="2"/>
                <w:sz w:val="24"/>
                <w:szCs w:val="24"/>
                <w:highlight w:val="none"/>
                <w:lang w:val="en-US" w:eastAsia="zh-CN" w:bidi="ar-SA"/>
              </w:rPr>
              <w:instrText xml:space="preserve"> HYPERLINK "https://baike.so.com/doc/2612655-2758684.html" \t "https://baike.so.com/doc/_blank" </w:instrText>
            </w:r>
            <w:r>
              <w:rPr>
                <w:rFonts w:hint="eastAsia" w:ascii="Times New Roman" w:hAnsi="Times New Roman" w:eastAsia="宋体" w:cs="Times New Roman"/>
                <w:b w:val="0"/>
                <w:kern w:val="2"/>
                <w:sz w:val="24"/>
                <w:szCs w:val="24"/>
                <w:highlight w:val="none"/>
                <w:lang w:val="en-US" w:eastAsia="zh-CN" w:bidi="ar-SA"/>
              </w:rPr>
              <w:fldChar w:fldCharType="separate"/>
            </w:r>
            <w:r>
              <w:rPr>
                <w:rFonts w:hint="eastAsia" w:ascii="Times New Roman" w:hAnsi="Times New Roman" w:eastAsia="宋体" w:cs="Times New Roman"/>
                <w:b w:val="0"/>
                <w:kern w:val="2"/>
                <w:sz w:val="24"/>
                <w:szCs w:val="24"/>
                <w:highlight w:val="none"/>
                <w:lang w:val="en-US" w:eastAsia="zh-CN" w:bidi="ar-SA"/>
              </w:rPr>
              <w:t>草本层</w:t>
            </w:r>
            <w:r>
              <w:rPr>
                <w:rFonts w:hint="eastAsia" w:ascii="Times New Roman" w:hAnsi="Times New Roman" w:eastAsia="宋体" w:cs="Times New Roman"/>
                <w:b w:val="0"/>
                <w:kern w:val="2"/>
                <w:sz w:val="24"/>
                <w:szCs w:val="24"/>
                <w:highlight w:val="none"/>
                <w:lang w:val="en-US" w:eastAsia="zh-CN" w:bidi="ar-SA"/>
              </w:rPr>
              <w:fldChar w:fldCharType="end"/>
            </w:r>
            <w:r>
              <w:rPr>
                <w:rFonts w:hint="eastAsia" w:ascii="Times New Roman" w:hAnsi="Times New Roman" w:eastAsia="宋体" w:cs="Times New Roman"/>
                <w:b w:val="0"/>
                <w:kern w:val="2"/>
                <w:sz w:val="24"/>
                <w:szCs w:val="24"/>
                <w:highlight w:val="none"/>
                <w:lang w:val="en-US" w:eastAsia="zh-CN" w:bidi="ar-SA"/>
              </w:rPr>
              <w:t>、地面层和根层同时破坏，使得系统彻底损坏而不可逆，由于干扰程度及时间强度大，生态系统的生产者严重缺失，导致消费者数量减少，导致局部地区生态系统崩溃演变成荒漠化土地。</w:t>
            </w:r>
          </w:p>
          <w:p>
            <w:pPr>
              <w:adjustRightInd w:val="0"/>
              <w:spacing w:line="360" w:lineRule="auto"/>
              <w:ind w:firstLine="480"/>
              <w:rPr>
                <w:rFonts w:hint="default" w:ascii="Times New Roman" w:hAnsi="Times New Roman" w:eastAsia="黑体" w:cs="Times New Roman"/>
                <w:b w:val="0"/>
                <w:bCs w:val="0"/>
                <w:sz w:val="24"/>
                <w:lang w:val="en-US" w:eastAsia="zh-CN"/>
              </w:rPr>
            </w:pPr>
            <w:r>
              <w:rPr>
                <w:rFonts w:hint="eastAsia" w:ascii="Times New Roman" w:hAnsi="Times New Roman" w:eastAsia="黑体" w:cs="Times New Roman"/>
                <w:b w:val="0"/>
                <w:bCs w:val="0"/>
                <w:sz w:val="24"/>
                <w:lang w:val="en-US" w:eastAsia="zh-CN"/>
              </w:rPr>
              <w:t>3、整改措施</w:t>
            </w:r>
          </w:p>
          <w:p>
            <w:pPr>
              <w:adjustRightInd w:val="0"/>
              <w:spacing w:line="360" w:lineRule="auto"/>
              <w:ind w:firstLine="480" w:firstLineChars="200"/>
              <w:rPr>
                <w:rFonts w:hint="eastAsia"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对</w:t>
            </w:r>
            <w:r>
              <w:rPr>
                <w:rFonts w:hint="eastAsia" w:cs="Times New Roman"/>
                <w:b w:val="0"/>
                <w:bCs w:val="0"/>
                <w:color w:val="auto"/>
                <w:sz w:val="24"/>
                <w:szCs w:val="24"/>
                <w:highlight w:val="none"/>
                <w:lang w:val="en-US" w:eastAsia="zh-CN"/>
              </w:rPr>
              <w:t>煤炭</w:t>
            </w:r>
            <w:r>
              <w:rPr>
                <w:rFonts w:hint="eastAsia" w:ascii="Times New Roman" w:hAnsi="Times New Roman" w:eastAsia="宋体" w:cs="Times New Roman"/>
                <w:b w:val="0"/>
                <w:bCs w:val="0"/>
                <w:color w:val="auto"/>
                <w:sz w:val="24"/>
                <w:szCs w:val="24"/>
                <w:highlight w:val="none"/>
                <w:lang w:val="en-US" w:eastAsia="zh-CN"/>
              </w:rPr>
              <w:t>治理区采用</w:t>
            </w:r>
            <w:r>
              <w:rPr>
                <w:rFonts w:hint="eastAsia" w:ascii="Times New Roman" w:hAnsi="Times New Roman" w:eastAsia="宋体" w:cs="Times New Roman"/>
                <w:color w:val="auto"/>
                <w:kern w:val="2"/>
                <w:sz w:val="24"/>
                <w:szCs w:val="24"/>
                <w:highlight w:val="none"/>
                <w:lang w:val="en-US" w:eastAsia="zh-CN" w:bidi="ar"/>
              </w:rPr>
              <w:t>土方回填压实、土地平整</w:t>
            </w:r>
            <w:r>
              <w:rPr>
                <w:rFonts w:hint="eastAsia" w:cs="Times New Roman"/>
                <w:kern w:val="2"/>
                <w:sz w:val="24"/>
                <w:szCs w:val="24"/>
                <w:highlight w:val="none"/>
                <w:vertAlign w:val="baseline"/>
                <w:lang w:val="en-US" w:eastAsia="zh-CN" w:bidi="ar"/>
              </w:rPr>
              <w:t>、</w:t>
            </w:r>
            <w:r>
              <w:rPr>
                <w:rFonts w:hint="eastAsia" w:ascii="Times New Roman" w:hAnsi="Times New Roman" w:eastAsia="宋体" w:cs="Times New Roman"/>
                <w:color w:val="auto"/>
                <w:kern w:val="2"/>
                <w:sz w:val="24"/>
                <w:szCs w:val="24"/>
                <w:highlight w:val="none"/>
                <w:lang w:val="en-US" w:eastAsia="zh-CN" w:bidi="ar"/>
              </w:rPr>
              <w:t>土地翻耕、植被恢复</w:t>
            </w:r>
            <w:r>
              <w:rPr>
                <w:rFonts w:hint="eastAsia"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对</w:t>
            </w:r>
            <w:r>
              <w:rPr>
                <w:rFonts w:hint="eastAsia" w:cs="Times New Roman"/>
                <w:b w:val="0"/>
                <w:bCs w:val="0"/>
                <w:color w:val="auto"/>
                <w:sz w:val="24"/>
                <w:szCs w:val="24"/>
                <w:highlight w:val="none"/>
                <w:lang w:val="en-US" w:eastAsia="zh-CN"/>
              </w:rPr>
              <w:t>建筑用砂</w:t>
            </w:r>
            <w:r>
              <w:rPr>
                <w:rFonts w:hint="eastAsia" w:ascii="Times New Roman" w:hAnsi="Times New Roman" w:eastAsia="宋体" w:cs="Times New Roman"/>
                <w:b w:val="0"/>
                <w:bCs w:val="0"/>
                <w:color w:val="auto"/>
                <w:sz w:val="24"/>
                <w:szCs w:val="24"/>
                <w:highlight w:val="none"/>
                <w:lang w:val="en-US" w:eastAsia="zh-CN"/>
              </w:rPr>
              <w:t>治理区采用</w:t>
            </w:r>
            <w:r>
              <w:rPr>
                <w:rFonts w:hint="eastAsia" w:ascii="Times New Roman" w:hAnsi="Times New Roman" w:eastAsia="宋体" w:cs="Times New Roman"/>
                <w:color w:val="auto"/>
                <w:kern w:val="2"/>
                <w:sz w:val="24"/>
                <w:szCs w:val="24"/>
                <w:highlight w:val="none"/>
                <w:lang w:val="en-US" w:eastAsia="zh-CN" w:bidi="ar"/>
              </w:rPr>
              <w:t>土方回填压实、土地平整</w:t>
            </w:r>
            <w:r>
              <w:rPr>
                <w:rFonts w:hint="eastAsia" w:cs="Times New Roman"/>
                <w:kern w:val="2"/>
                <w:sz w:val="24"/>
                <w:szCs w:val="24"/>
                <w:highlight w:val="none"/>
                <w:vertAlign w:val="baseline"/>
                <w:lang w:val="en-US" w:eastAsia="zh-CN" w:bidi="ar"/>
              </w:rPr>
              <w:t>、</w:t>
            </w:r>
            <w:r>
              <w:rPr>
                <w:rFonts w:hint="eastAsia" w:ascii="Times New Roman" w:hAnsi="Times New Roman" w:eastAsia="宋体" w:cs="Times New Roman"/>
                <w:color w:val="auto"/>
                <w:kern w:val="2"/>
                <w:sz w:val="24"/>
                <w:szCs w:val="24"/>
                <w:highlight w:val="none"/>
                <w:lang w:val="en-US" w:eastAsia="zh-CN" w:bidi="ar"/>
              </w:rPr>
              <w:t>土地翻耕、土地翻耕培肥、植被恢复</w:t>
            </w:r>
            <w:r>
              <w:rPr>
                <w:rFonts w:hint="eastAsia" w:cs="Times New Roman"/>
                <w:color w:val="auto"/>
                <w:kern w:val="2"/>
                <w:sz w:val="24"/>
                <w:szCs w:val="24"/>
                <w:highlight w:val="none"/>
                <w:lang w:val="en-US" w:eastAsia="zh-CN" w:bidi="ar"/>
              </w:rPr>
              <w:t>。</w:t>
            </w:r>
          </w:p>
          <w:p>
            <w:pPr>
              <w:keepNext w:val="0"/>
              <w:keepLines w:val="0"/>
              <w:widowControl/>
              <w:numPr>
                <w:ilvl w:val="-1"/>
                <w:numId w:val="0"/>
              </w:numPr>
              <w:suppressLineNumbers w:val="0"/>
              <w:adjustRightInd w:val="0"/>
              <w:spacing w:line="360" w:lineRule="auto"/>
              <w:ind w:firstLine="480" w:firstLineChars="200"/>
              <w:jc w:val="left"/>
              <w:rPr>
                <w:rFonts w:hint="eastAsia"/>
                <w:sz w:val="24"/>
                <w:highlight w:val="none"/>
                <w:lang w:val="en-US" w:eastAsia="zh-CN"/>
              </w:rPr>
            </w:pPr>
            <w:r>
              <w:rPr>
                <w:rFonts w:hint="eastAsia"/>
                <w:sz w:val="24"/>
                <w:highlight w:val="none"/>
                <w:lang w:val="en-US" w:eastAsia="zh-CN"/>
              </w:rPr>
              <w:t>⑴煤炭治理区</w:t>
            </w:r>
          </w:p>
          <w:p>
            <w:pPr>
              <w:keepNext w:val="0"/>
              <w:keepLines w:val="0"/>
              <w:widowControl/>
              <w:numPr>
                <w:ilvl w:val="-1"/>
                <w:numId w:val="0"/>
              </w:numPr>
              <w:suppressLineNumbers w:val="0"/>
              <w:adjustRightInd w:val="0"/>
              <w:spacing w:line="360" w:lineRule="auto"/>
              <w:ind w:firstLine="480" w:firstLineChars="200"/>
              <w:jc w:val="left"/>
              <w:rPr>
                <w:rFonts w:hint="eastAsia" w:ascii="Times New Roman" w:hAnsi="Times New Roman" w:eastAsia="宋体" w:cs="Times New Roman"/>
                <w:kern w:val="2"/>
                <w:sz w:val="24"/>
                <w:szCs w:val="24"/>
                <w:highlight w:val="none"/>
                <w:lang w:val="en-US" w:eastAsia="zh-CN" w:bidi="ar"/>
              </w:rPr>
            </w:pPr>
            <w:r>
              <w:rPr>
                <w:rFonts w:hint="eastAsia"/>
                <w:sz w:val="24"/>
                <w:highlight w:val="none"/>
                <w:lang w:val="en-US" w:eastAsia="zh-CN"/>
              </w:rPr>
              <w:t>①</w:t>
            </w:r>
            <w:r>
              <w:rPr>
                <w:rFonts w:hint="eastAsia" w:ascii="Times New Roman" w:hAnsi="Times New Roman" w:eastAsia="宋体" w:cs="Times New Roman"/>
                <w:kern w:val="2"/>
                <w:sz w:val="24"/>
                <w:szCs w:val="24"/>
                <w:highlight w:val="none"/>
                <w:lang w:val="en-US" w:eastAsia="zh-CN" w:bidi="ar"/>
              </w:rPr>
              <w:t>土方回填压实</w:t>
            </w:r>
          </w:p>
          <w:p>
            <w:pPr>
              <w:widowControl/>
              <w:adjustRightInd w:val="0"/>
              <w:spacing w:line="360" w:lineRule="auto"/>
              <w:ind w:firstLine="480" w:firstLineChars="200"/>
              <w:rPr>
                <w:rFonts w:hint="eastAsia" w:ascii="Times New Roman" w:hAnsi="Times New Roman" w:eastAsia="宋体" w:cs="Times New Roman"/>
                <w:kern w:val="2"/>
                <w:sz w:val="24"/>
                <w:szCs w:val="24"/>
                <w:highlight w:val="none"/>
                <w:lang w:val="en-US" w:eastAsia="zh-CN" w:bidi="ar"/>
              </w:rPr>
            </w:pPr>
            <w:r>
              <w:rPr>
                <w:rFonts w:ascii="Times New Roman" w:hAnsi="Times New Roman" w:eastAsia="宋体" w:cs="Times New Roman"/>
                <w:color w:val="auto"/>
                <w:kern w:val="2"/>
                <w:sz w:val="24"/>
                <w:szCs w:val="24"/>
                <w:highlight w:val="none"/>
                <w:lang w:val="en-US" w:eastAsia="zh-CN" w:bidi="ar"/>
              </w:rPr>
              <w:t>主要将渣堆回填至尾坑，将高陡边坡进行削坡。不稳定边坡削坡地段，削坡坡度达到</w:t>
            </w:r>
            <w:r>
              <w:rPr>
                <w:rFonts w:hint="default" w:ascii="Times New Roman" w:hAnsi="Times New Roman" w:eastAsia="宋体" w:cs="Times New Roman"/>
                <w:color w:val="auto"/>
                <w:kern w:val="2"/>
                <w:sz w:val="24"/>
                <w:szCs w:val="24"/>
                <w:highlight w:val="none"/>
                <w:lang w:val="en-US" w:eastAsia="zh-CN" w:bidi="ar"/>
              </w:rPr>
              <w:t>20</w:t>
            </w:r>
            <w:r>
              <w:rPr>
                <w:rFonts w:ascii="Times New Roman" w:hAnsi="Times New Roman" w:eastAsia="宋体" w:cs="Times New Roman"/>
                <w:color w:val="auto"/>
                <w:kern w:val="2"/>
                <w:sz w:val="24"/>
                <w:szCs w:val="24"/>
                <w:highlight w:val="none"/>
                <w:lang w:val="en-US" w:eastAsia="zh-CN" w:bidi="ar"/>
              </w:rPr>
              <w:t>°，削坡过程中将细颗粒的黄土覆盖至各单元，以达到植被生长的要求</w:t>
            </w:r>
            <w:r>
              <w:rPr>
                <w:rFonts w:hint="eastAsia" w:cs="Times New Roman"/>
                <w:kern w:val="2"/>
                <w:sz w:val="24"/>
                <w:szCs w:val="24"/>
                <w:highlight w:val="none"/>
                <w:lang w:val="en-US" w:eastAsia="zh-CN" w:bidi="ar"/>
              </w:rPr>
              <w:t>。</w:t>
            </w:r>
            <w:r>
              <w:rPr>
                <w:rFonts w:hint="eastAsia"/>
                <w:sz w:val="24"/>
                <w:highlight w:val="none"/>
                <w:lang w:val="en-US" w:eastAsia="zh-CN"/>
              </w:rPr>
              <w:t>治理区总挖方量368766.65m</w:t>
            </w:r>
            <w:r>
              <w:rPr>
                <w:rFonts w:hint="eastAsia"/>
                <w:sz w:val="24"/>
                <w:highlight w:val="none"/>
                <w:vertAlign w:val="superscript"/>
                <w:lang w:val="en-US" w:eastAsia="zh-CN"/>
              </w:rPr>
              <w:t>3</w:t>
            </w:r>
            <w:r>
              <w:rPr>
                <w:rFonts w:hint="eastAsia"/>
                <w:sz w:val="24"/>
                <w:highlight w:val="none"/>
                <w:lang w:val="en-US" w:eastAsia="zh-CN"/>
              </w:rPr>
              <w:t>，回填土方量368156.63m</w:t>
            </w:r>
            <w:r>
              <w:rPr>
                <w:rFonts w:hint="eastAsia"/>
                <w:sz w:val="24"/>
                <w:highlight w:val="none"/>
                <w:vertAlign w:val="superscript"/>
                <w:lang w:val="en-US" w:eastAsia="zh-CN"/>
              </w:rPr>
              <w:t>3</w:t>
            </w:r>
            <w:r>
              <w:rPr>
                <w:rFonts w:hint="eastAsia"/>
                <w:sz w:val="24"/>
                <w:highlight w:val="none"/>
                <w:lang w:val="en-US" w:eastAsia="zh-CN"/>
              </w:rPr>
              <w:t>，总削坡量为</w:t>
            </w:r>
            <w:r>
              <w:rPr>
                <w:rFonts w:hint="eastAsia" w:cs="Times New Roman"/>
                <w:bCs w:val="0"/>
                <w:i w:val="0"/>
                <w:kern w:val="2"/>
                <w:sz w:val="24"/>
                <w:szCs w:val="24"/>
                <w:highlight w:val="none"/>
                <w:u w:val="none"/>
                <w:lang w:val="en-US" w:eastAsia="zh-CN" w:bidi="ar"/>
              </w:rPr>
              <w:t>91062</w:t>
            </w:r>
            <w:r>
              <w:rPr>
                <w:rFonts w:hint="eastAsia"/>
                <w:sz w:val="24"/>
                <w:highlight w:val="none"/>
                <w:lang w:val="en-US" w:eastAsia="zh-CN"/>
              </w:rPr>
              <w:t>m</w:t>
            </w:r>
            <w:r>
              <w:rPr>
                <w:rFonts w:hint="eastAsia"/>
                <w:sz w:val="24"/>
                <w:highlight w:val="none"/>
                <w:vertAlign w:val="superscript"/>
                <w:lang w:val="en-US" w:eastAsia="zh-CN"/>
              </w:rPr>
              <w:t>3</w:t>
            </w:r>
            <w:r>
              <w:rPr>
                <w:rFonts w:hint="eastAsia"/>
                <w:sz w:val="24"/>
                <w:highlight w:val="none"/>
                <w:vertAlign w:val="baseline"/>
                <w:lang w:val="en-US" w:eastAsia="zh-CN"/>
              </w:rPr>
              <w:t>。</w:t>
            </w:r>
          </w:p>
          <w:p>
            <w:pPr>
              <w:adjustRightInd w:val="0"/>
              <w:spacing w:line="360" w:lineRule="auto"/>
              <w:ind w:firstLine="480" w:firstLineChars="200"/>
              <w:rPr>
                <w:rFonts w:hint="eastAsia"/>
                <w:sz w:val="24"/>
                <w:highlight w:val="none"/>
                <w:lang w:val="en-US" w:eastAsia="zh-CN"/>
              </w:rPr>
            </w:pPr>
            <w:r>
              <w:rPr>
                <w:rFonts w:hint="eastAsia"/>
                <w:sz w:val="24"/>
                <w:highlight w:val="none"/>
                <w:lang w:val="en-US" w:eastAsia="zh-CN"/>
              </w:rPr>
              <w:t>②土地平整</w:t>
            </w:r>
          </w:p>
          <w:p>
            <w:pPr>
              <w:widowControl/>
              <w:numPr>
                <w:ilvl w:val="0"/>
                <w:numId w:val="0"/>
              </w:numPr>
              <w:adjustRightInd w:val="0"/>
              <w:spacing w:line="360" w:lineRule="auto"/>
              <w:ind w:firstLine="480" w:firstLineChars="200"/>
              <w:jc w:val="left"/>
              <w:rPr>
                <w:rFonts w:hint="eastAsia"/>
                <w:sz w:val="24"/>
                <w:highlight w:val="none"/>
                <w:lang w:val="en-US" w:eastAsia="zh-CN"/>
              </w:rPr>
            </w:pPr>
            <w:r>
              <w:rPr>
                <w:rFonts w:hint="eastAsia" w:ascii="Times New Roman" w:hAnsi="Times New Roman" w:eastAsia="宋体" w:cs="Times New Roman"/>
                <w:kern w:val="2"/>
                <w:sz w:val="24"/>
                <w:szCs w:val="24"/>
                <w:highlight w:val="none"/>
                <w:lang w:val="en-US" w:eastAsia="zh-CN" w:bidi="ar"/>
              </w:rPr>
              <w:t>将回填后的土方</w:t>
            </w:r>
            <w:r>
              <w:rPr>
                <w:rFonts w:hint="eastAsia"/>
                <w:b w:val="0"/>
                <w:bCs w:val="0"/>
                <w:sz w:val="24"/>
                <w:highlight w:val="none"/>
                <w:lang w:val="en-US" w:eastAsia="zh-CN" w:bidi="ar"/>
              </w:rPr>
              <w:t>采用推土机推土平整</w:t>
            </w:r>
            <w:r>
              <w:rPr>
                <w:rFonts w:hint="eastAsia" w:ascii="Times New Roman" w:hAnsi="Times New Roman" w:eastAsia="宋体" w:cs="Times New Roman"/>
                <w:kern w:val="2"/>
                <w:sz w:val="24"/>
                <w:szCs w:val="24"/>
                <w:highlight w:val="none"/>
                <w:lang w:val="en-US" w:eastAsia="zh-CN" w:bidi="ar"/>
              </w:rPr>
              <w:t>，土地平整工程量为</w:t>
            </w:r>
            <w:r>
              <w:rPr>
                <w:rFonts w:hint="eastAsia"/>
                <w:sz w:val="24"/>
                <w:highlight w:val="none"/>
                <w:lang w:val="en-US" w:eastAsia="zh-CN"/>
              </w:rPr>
              <w:t>71310m</w:t>
            </w:r>
            <w:r>
              <w:rPr>
                <w:rFonts w:hint="eastAsia"/>
                <w:sz w:val="24"/>
                <w:highlight w:val="none"/>
                <w:vertAlign w:val="superscript"/>
                <w:lang w:val="en-US" w:eastAsia="zh-CN"/>
              </w:rPr>
              <w:t>3</w:t>
            </w:r>
            <w:r>
              <w:rPr>
                <w:rFonts w:hint="eastAsia" w:ascii="Times New Roman" w:hAnsi="Times New Roman" w:eastAsia="宋体" w:cs="Times New Roman"/>
                <w:kern w:val="2"/>
                <w:sz w:val="24"/>
                <w:szCs w:val="24"/>
                <w:highlight w:val="none"/>
                <w:lang w:val="en-US" w:eastAsia="zh-CN" w:bidi="ar"/>
              </w:rPr>
              <w:t>。土地平整时应将复垦为旱地区域进行重点平整，使其表土厚度大于0.50m。</w:t>
            </w:r>
          </w:p>
          <w:p>
            <w:pPr>
              <w:adjustRightInd w:val="0"/>
              <w:spacing w:line="360" w:lineRule="auto"/>
              <w:ind w:firstLine="480" w:firstLineChars="200"/>
              <w:rPr>
                <w:rFonts w:hint="default" w:ascii="Times New Roman" w:hAnsi="Times New Roman" w:cs="Times New Roman"/>
                <w:b w:val="0"/>
                <w:bCs w:val="0"/>
                <w:sz w:val="24"/>
                <w:highlight w:val="none"/>
                <w:lang w:val="en-US" w:eastAsia="zh-CN"/>
              </w:rPr>
            </w:pPr>
            <w:r>
              <w:rPr>
                <w:rFonts w:hint="eastAsia" w:ascii="Times New Roman" w:hAnsi="Times New Roman" w:cs="Times New Roman"/>
                <w:sz w:val="24"/>
                <w:highlight w:val="none"/>
                <w:lang w:val="en-US" w:eastAsia="zh-CN"/>
              </w:rPr>
              <w:t>③</w:t>
            </w:r>
            <w:r>
              <w:rPr>
                <w:rFonts w:hint="eastAsia" w:cs="Times New Roman"/>
                <w:b w:val="0"/>
                <w:bCs w:val="0"/>
                <w:sz w:val="24"/>
                <w:highlight w:val="none"/>
                <w:lang w:val="en-US" w:eastAsia="zh-CN"/>
              </w:rPr>
              <w:t>植被恢复</w:t>
            </w:r>
          </w:p>
          <w:p>
            <w:pPr>
              <w:keepNext w:val="0"/>
              <w:keepLines w:val="0"/>
              <w:widowControl/>
              <w:suppressLineNumbers w:val="0"/>
              <w:adjustRightInd w:val="0"/>
              <w:spacing w:line="360" w:lineRule="auto"/>
              <w:ind w:firstLine="480" w:firstLineChars="200"/>
              <w:jc w:val="left"/>
              <w:rPr>
                <w:rFonts w:hint="eastAsia"/>
                <w:sz w:val="24"/>
                <w:highlight w:val="none"/>
                <w:lang w:bidi="ar"/>
              </w:rPr>
            </w:pPr>
            <w:r>
              <w:rPr>
                <w:rFonts w:hint="eastAsia"/>
                <w:sz w:val="24"/>
                <w:highlight w:val="none"/>
                <w:lang w:val="en-US" w:eastAsia="zh-CN"/>
              </w:rPr>
              <w:t>煤炭治理区土方工程完工后，对整个治理区进行种植规划，</w:t>
            </w:r>
            <w:r>
              <w:rPr>
                <w:rFonts w:hint="eastAsia" w:ascii="Times New Roman" w:hAnsi="Times New Roman" w:eastAsia="宋体" w:cs="Times New Roman"/>
                <w:color w:val="auto"/>
                <w:kern w:val="2"/>
                <w:sz w:val="24"/>
                <w:szCs w:val="24"/>
                <w:highlight w:val="none"/>
                <w:lang w:val="en-US" w:eastAsia="zh-CN" w:bidi="ar"/>
              </w:rPr>
              <w:t>本次治理工程植被修复以种草为主。选择扁穗冰草、芨芨草、沙蒿，采用条播种草方式。带状条播，播种带幅15cm左右，采用简单机械开沟、撒种、复土、压实，边坡处条带应顺着边坡走向、垂直于边坡倾向，以促进蓄水保土。控制单位长度播种量，播种量为30kg/hm</w:t>
            </w:r>
            <w:r>
              <w:rPr>
                <w:rFonts w:hint="eastAsia" w:ascii="Times New Roman" w:hAnsi="Times New Roman" w:eastAsia="宋体" w:cs="Times New Roman"/>
                <w:color w:val="auto"/>
                <w:kern w:val="2"/>
                <w:sz w:val="24"/>
                <w:szCs w:val="24"/>
                <w:highlight w:val="none"/>
                <w:vertAlign w:val="superscript"/>
                <w:lang w:val="en-US" w:eastAsia="zh-CN" w:bidi="ar"/>
              </w:rPr>
              <w:t>2</w:t>
            </w:r>
            <w:r>
              <w:rPr>
                <w:rFonts w:hint="eastAsia" w:ascii="Times New Roman" w:hAnsi="Times New Roman" w:eastAsia="宋体" w:cs="Times New Roman"/>
                <w:color w:val="auto"/>
                <w:kern w:val="2"/>
                <w:sz w:val="24"/>
                <w:szCs w:val="24"/>
                <w:highlight w:val="none"/>
                <w:lang w:val="en-US" w:eastAsia="zh-CN" w:bidi="ar"/>
              </w:rPr>
              <w:t>，将扁穗冰草、芨芨草、沙蒿种子按1：1：1等比例混合条播方式进行种植。</w:t>
            </w:r>
            <w:r>
              <w:rPr>
                <w:rFonts w:hint="eastAsia"/>
                <w:sz w:val="24"/>
                <w:highlight w:val="none"/>
                <w:lang w:eastAsia="zh-CN" w:bidi="ar"/>
              </w:rPr>
              <w:t>种草</w:t>
            </w:r>
            <w:r>
              <w:rPr>
                <w:rFonts w:hint="eastAsia"/>
                <w:sz w:val="24"/>
                <w:highlight w:val="none"/>
                <w:lang w:bidi="ar"/>
              </w:rPr>
              <w:t>总面积</w:t>
            </w:r>
            <w:r>
              <w:rPr>
                <w:rFonts w:hint="eastAsia"/>
                <w:sz w:val="24"/>
                <w:highlight w:val="none"/>
                <w:lang w:val="en-US" w:eastAsia="zh-CN" w:bidi="ar"/>
              </w:rPr>
              <w:t>30.95</w:t>
            </w:r>
            <w:r>
              <w:rPr>
                <w:rFonts w:hint="eastAsia"/>
                <w:sz w:val="24"/>
                <w:highlight w:val="none"/>
                <w:lang w:bidi="ar"/>
              </w:rPr>
              <w:t>hm</w:t>
            </w:r>
            <w:r>
              <w:rPr>
                <w:rFonts w:hint="eastAsia"/>
                <w:sz w:val="24"/>
                <w:highlight w:val="none"/>
                <w:vertAlign w:val="superscript"/>
                <w:lang w:bidi="ar"/>
              </w:rPr>
              <w:t>2</w:t>
            </w:r>
            <w:r>
              <w:rPr>
                <w:rFonts w:hint="eastAsia"/>
                <w:sz w:val="24"/>
                <w:highlight w:val="none"/>
                <w:vertAlign w:val="baseline"/>
                <w:lang w:eastAsia="zh-CN" w:bidi="ar"/>
              </w:rPr>
              <w:t>。</w:t>
            </w:r>
          </w:p>
          <w:p>
            <w:pPr>
              <w:adjustRightInd w:val="0"/>
              <w:spacing w:line="360" w:lineRule="auto"/>
              <w:ind w:firstLine="480" w:firstLineChars="200"/>
              <w:rPr>
                <w:rFonts w:hint="eastAsia" w:ascii="Times New Roman" w:hAnsi="Times New Roman" w:cs="Times New Roman"/>
                <w:b w:val="0"/>
                <w:bCs w:val="0"/>
                <w:sz w:val="24"/>
                <w:highlight w:val="none"/>
                <w:lang w:val="en-US" w:eastAsia="zh-CN"/>
              </w:rPr>
            </w:pPr>
            <w:r>
              <w:rPr>
                <w:rFonts w:hint="eastAsia" w:ascii="Times New Roman" w:hAnsi="Times New Roman" w:cs="Times New Roman"/>
                <w:b w:val="0"/>
                <w:bCs w:val="0"/>
                <w:sz w:val="24"/>
                <w:highlight w:val="none"/>
                <w:lang w:val="en-US" w:eastAsia="zh-CN"/>
              </w:rPr>
              <w:t>④</w:t>
            </w:r>
            <w:r>
              <w:rPr>
                <w:rFonts w:hint="eastAsia" w:cs="Times New Roman"/>
                <w:sz w:val="24"/>
                <w:highlight w:val="none"/>
                <w:lang w:val="en-US" w:eastAsia="zh-CN"/>
              </w:rPr>
              <w:t>土地翻耕</w:t>
            </w:r>
          </w:p>
          <w:p>
            <w:pPr>
              <w:adjustRightInd w:val="0"/>
              <w:spacing w:line="360" w:lineRule="auto"/>
              <w:ind w:firstLine="480" w:firstLineChars="200"/>
              <w:rPr>
                <w:rFonts w:hint="eastAsia"/>
                <w:sz w:val="24"/>
                <w:highlight w:val="none"/>
                <w:lang w:val="en-US" w:eastAsia="zh-CN"/>
              </w:rPr>
            </w:pPr>
            <w:r>
              <w:rPr>
                <w:rFonts w:hint="eastAsia" w:ascii="Times New Roman" w:hAnsi="Times New Roman" w:eastAsia="宋体" w:cs="Times New Roman"/>
                <w:kern w:val="2"/>
                <w:sz w:val="24"/>
                <w:szCs w:val="24"/>
                <w:highlight w:val="none"/>
                <w:lang w:val="en-US" w:eastAsia="zh-CN" w:bidi="ar"/>
              </w:rPr>
              <w:t>用犁地机、旋耕机，对土壤进行松土，翻耕深度为20cm，翻耕面积</w:t>
            </w:r>
            <w:r>
              <w:rPr>
                <w:rFonts w:hint="eastAsia" w:cs="Times New Roman"/>
                <w:kern w:val="2"/>
                <w:sz w:val="24"/>
                <w:szCs w:val="24"/>
                <w:highlight w:val="none"/>
                <w:lang w:val="en-US" w:eastAsia="zh-CN" w:bidi="ar"/>
              </w:rPr>
              <w:t>29.72</w:t>
            </w:r>
            <w:r>
              <w:rPr>
                <w:rFonts w:hint="eastAsia" w:ascii="Times New Roman" w:hAnsi="Times New Roman" w:eastAsia="宋体" w:cs="Times New Roman"/>
                <w:kern w:val="2"/>
                <w:sz w:val="24"/>
                <w:szCs w:val="24"/>
                <w:highlight w:val="none"/>
                <w:lang w:val="en-US" w:eastAsia="zh-CN" w:bidi="ar"/>
              </w:rPr>
              <w:t>hm</w:t>
            </w:r>
            <w:r>
              <w:rPr>
                <w:rFonts w:hint="eastAsia" w:ascii="Times New Roman" w:hAnsi="Times New Roman" w:eastAsia="宋体" w:cs="Times New Roman"/>
                <w:kern w:val="2"/>
                <w:sz w:val="24"/>
                <w:szCs w:val="24"/>
                <w:highlight w:val="none"/>
                <w:vertAlign w:val="superscript"/>
                <w:lang w:val="en-US" w:eastAsia="zh-CN" w:bidi="ar"/>
              </w:rPr>
              <w:t>2</w:t>
            </w:r>
            <w:r>
              <w:rPr>
                <w:rFonts w:hint="eastAsia" w:cs="Times New Roman"/>
                <w:kern w:val="2"/>
                <w:sz w:val="24"/>
                <w:szCs w:val="24"/>
                <w:highlight w:val="none"/>
                <w:vertAlign w:val="baseline"/>
                <w:lang w:val="en-US" w:eastAsia="zh-CN" w:bidi="ar"/>
              </w:rPr>
              <w:t>。</w:t>
            </w:r>
          </w:p>
          <w:p>
            <w:pPr>
              <w:adjustRightInd w:val="0"/>
              <w:spacing w:line="360" w:lineRule="auto"/>
              <w:ind w:firstLine="480" w:firstLineChars="200"/>
              <w:rPr>
                <w:rFonts w:hint="default"/>
                <w:sz w:val="24"/>
                <w:highlight w:val="none"/>
                <w:lang w:val="en-US" w:eastAsia="zh-CN"/>
              </w:rPr>
            </w:pPr>
            <w:r>
              <w:rPr>
                <w:rFonts w:hint="eastAsia"/>
                <w:sz w:val="24"/>
                <w:highlight w:val="none"/>
                <w:lang w:val="en-US" w:eastAsia="zh-CN"/>
              </w:rPr>
              <w:t>⑵建筑用砂治理区</w:t>
            </w:r>
          </w:p>
          <w:p>
            <w:pPr>
              <w:keepNext w:val="0"/>
              <w:keepLines w:val="0"/>
              <w:widowControl/>
              <w:numPr>
                <w:ilvl w:val="-1"/>
                <w:numId w:val="0"/>
              </w:numPr>
              <w:suppressLineNumbers w:val="0"/>
              <w:adjustRightInd w:val="0"/>
              <w:spacing w:line="360" w:lineRule="auto"/>
              <w:ind w:firstLine="480" w:firstLineChars="200"/>
              <w:jc w:val="left"/>
              <w:rPr>
                <w:rFonts w:hint="eastAsia" w:ascii="Times New Roman" w:hAnsi="Times New Roman" w:eastAsia="宋体" w:cs="Times New Roman"/>
                <w:kern w:val="2"/>
                <w:sz w:val="24"/>
                <w:szCs w:val="24"/>
                <w:highlight w:val="none"/>
                <w:lang w:val="en-US" w:eastAsia="zh-CN" w:bidi="ar"/>
              </w:rPr>
            </w:pPr>
            <w:r>
              <w:rPr>
                <w:rFonts w:hint="eastAsia"/>
                <w:sz w:val="24"/>
                <w:highlight w:val="none"/>
                <w:lang w:val="en-US" w:eastAsia="zh-CN"/>
              </w:rPr>
              <w:t>①</w:t>
            </w:r>
            <w:r>
              <w:rPr>
                <w:rFonts w:hint="eastAsia" w:ascii="Times New Roman" w:hAnsi="Times New Roman" w:eastAsia="宋体" w:cs="Times New Roman"/>
                <w:kern w:val="2"/>
                <w:sz w:val="24"/>
                <w:szCs w:val="24"/>
                <w:highlight w:val="none"/>
                <w:lang w:val="en-US" w:eastAsia="zh-CN" w:bidi="ar"/>
              </w:rPr>
              <w:t>土方回填压实</w:t>
            </w:r>
          </w:p>
          <w:p>
            <w:pPr>
              <w:widowControl/>
              <w:numPr>
                <w:ilvl w:val="0"/>
                <w:numId w:val="0"/>
              </w:numPr>
              <w:adjustRightInd w:val="0"/>
              <w:spacing w:line="360" w:lineRule="auto"/>
              <w:ind w:firstLine="480" w:firstLineChars="200"/>
              <w:rPr>
                <w:rFonts w:hint="eastAsia"/>
                <w:sz w:val="24"/>
                <w:highlight w:val="none"/>
                <w:lang w:val="en-US" w:eastAsia="zh-CN"/>
              </w:rPr>
            </w:pPr>
            <w:r>
              <w:rPr>
                <w:rFonts w:ascii="Times New Roman" w:hAnsi="Times New Roman" w:eastAsia="宋体" w:cs="Times New Roman"/>
                <w:color w:val="auto"/>
                <w:kern w:val="2"/>
                <w:sz w:val="24"/>
                <w:szCs w:val="24"/>
                <w:highlight w:val="none"/>
                <w:lang w:val="en-US" w:eastAsia="zh-CN" w:bidi="ar"/>
              </w:rPr>
              <w:t>主要将渣堆回填至尾坑，将高陡边坡进行削坡。不稳定边坡削坡地段，削坡坡度达到</w:t>
            </w:r>
            <w:r>
              <w:rPr>
                <w:rFonts w:hint="default" w:ascii="Times New Roman" w:hAnsi="Times New Roman" w:eastAsia="宋体" w:cs="Times New Roman"/>
                <w:color w:val="auto"/>
                <w:kern w:val="2"/>
                <w:sz w:val="24"/>
                <w:szCs w:val="24"/>
                <w:highlight w:val="none"/>
                <w:lang w:val="en-US" w:eastAsia="zh-CN" w:bidi="ar"/>
              </w:rPr>
              <w:t>20</w:t>
            </w:r>
            <w:r>
              <w:rPr>
                <w:rFonts w:ascii="Times New Roman" w:hAnsi="Times New Roman" w:eastAsia="宋体" w:cs="Times New Roman"/>
                <w:color w:val="auto"/>
                <w:kern w:val="2"/>
                <w:sz w:val="24"/>
                <w:szCs w:val="24"/>
                <w:highlight w:val="none"/>
                <w:lang w:val="en-US" w:eastAsia="zh-CN" w:bidi="ar"/>
              </w:rPr>
              <w:t>°，削坡过程中将细颗粒的黄土覆盖至各单元，以达到植被生长的要求</w:t>
            </w:r>
            <w:r>
              <w:rPr>
                <w:rFonts w:hint="eastAsia" w:cs="Times New Roman"/>
                <w:kern w:val="2"/>
                <w:sz w:val="24"/>
                <w:szCs w:val="24"/>
                <w:highlight w:val="none"/>
                <w:lang w:val="en-US" w:eastAsia="zh-CN" w:bidi="ar"/>
              </w:rPr>
              <w:t>。</w:t>
            </w:r>
            <w:r>
              <w:rPr>
                <w:rFonts w:hint="eastAsia"/>
                <w:sz w:val="24"/>
                <w:highlight w:val="none"/>
                <w:lang w:val="en-US" w:eastAsia="zh-CN"/>
              </w:rPr>
              <w:t>治理区总挖方量282613.84m</w:t>
            </w:r>
            <w:r>
              <w:rPr>
                <w:rFonts w:hint="eastAsia"/>
                <w:sz w:val="24"/>
                <w:highlight w:val="none"/>
                <w:vertAlign w:val="superscript"/>
                <w:lang w:val="en-US" w:eastAsia="zh-CN"/>
              </w:rPr>
              <w:t>3</w:t>
            </w:r>
            <w:r>
              <w:rPr>
                <w:rFonts w:hint="eastAsia"/>
                <w:sz w:val="24"/>
                <w:highlight w:val="none"/>
                <w:lang w:val="en-US" w:eastAsia="zh-CN"/>
              </w:rPr>
              <w:t>，回填土方量282740.11m</w:t>
            </w:r>
            <w:r>
              <w:rPr>
                <w:rFonts w:hint="eastAsia"/>
                <w:sz w:val="24"/>
                <w:highlight w:val="none"/>
                <w:vertAlign w:val="superscript"/>
                <w:lang w:val="en-US" w:eastAsia="zh-CN"/>
              </w:rPr>
              <w:t>3</w:t>
            </w:r>
            <w:r>
              <w:rPr>
                <w:rFonts w:hint="eastAsia"/>
                <w:sz w:val="24"/>
                <w:highlight w:val="none"/>
                <w:lang w:val="en-US" w:eastAsia="zh-CN"/>
              </w:rPr>
              <w:t>，挖运回填运距均在500m以内</w:t>
            </w:r>
            <w:r>
              <w:rPr>
                <w:rFonts w:ascii="Times New Roman" w:hAnsi="Times New Roman" w:eastAsia="宋体" w:cs="Times New Roman"/>
                <w:color w:val="auto"/>
                <w:kern w:val="2"/>
                <w:sz w:val="24"/>
                <w:szCs w:val="24"/>
                <w:highlight w:val="none"/>
                <w:lang w:val="en-US" w:eastAsia="zh-CN" w:bidi="ar"/>
              </w:rPr>
              <w:t>。</w:t>
            </w:r>
          </w:p>
          <w:p>
            <w:pPr>
              <w:adjustRightInd w:val="0"/>
              <w:spacing w:line="360" w:lineRule="auto"/>
              <w:ind w:firstLine="480" w:firstLineChars="200"/>
              <w:rPr>
                <w:rFonts w:hint="eastAsia"/>
                <w:sz w:val="24"/>
                <w:highlight w:val="none"/>
                <w:lang w:val="en-US" w:eastAsia="zh-CN"/>
              </w:rPr>
            </w:pPr>
            <w:r>
              <w:rPr>
                <w:rFonts w:hint="eastAsia"/>
                <w:sz w:val="24"/>
                <w:highlight w:val="none"/>
                <w:lang w:val="en-US" w:eastAsia="zh-CN"/>
              </w:rPr>
              <w:t>②土地平整</w:t>
            </w:r>
          </w:p>
          <w:p>
            <w:pPr>
              <w:widowControl/>
              <w:numPr>
                <w:ilvl w:val="0"/>
                <w:numId w:val="0"/>
              </w:numPr>
              <w:adjustRightInd w:val="0"/>
              <w:spacing w:line="360" w:lineRule="auto"/>
              <w:ind w:firstLine="480" w:firstLineChars="200"/>
              <w:jc w:val="left"/>
              <w:rPr>
                <w:rFonts w:hint="eastAsia" w:ascii="Times New Roman" w:hAnsi="Times New Roman" w:eastAsia="宋体" w:cs="Times New Roman"/>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将回填后的土方</w:t>
            </w:r>
            <w:r>
              <w:rPr>
                <w:rFonts w:hint="eastAsia"/>
                <w:b w:val="0"/>
                <w:bCs w:val="0"/>
                <w:sz w:val="24"/>
                <w:highlight w:val="none"/>
                <w:lang w:val="en-US" w:eastAsia="zh-CN" w:bidi="ar"/>
              </w:rPr>
              <w:t>采用推土机推土平整</w:t>
            </w:r>
            <w:r>
              <w:rPr>
                <w:rFonts w:hint="eastAsia" w:ascii="Times New Roman" w:hAnsi="Times New Roman" w:eastAsia="宋体" w:cs="Times New Roman"/>
                <w:color w:val="auto"/>
                <w:kern w:val="2"/>
                <w:sz w:val="24"/>
                <w:szCs w:val="24"/>
                <w:highlight w:val="none"/>
                <w:lang w:val="en-US" w:eastAsia="zh-CN" w:bidi="ar"/>
              </w:rPr>
              <w:t>，土地平整工程量为</w:t>
            </w:r>
            <w:r>
              <w:rPr>
                <w:rFonts w:hint="eastAsia" w:cs="Times New Roman"/>
                <w:sz w:val="24"/>
                <w:highlight w:val="none"/>
                <w:lang w:val="en-US" w:eastAsia="zh-CN" w:bidi="ar"/>
              </w:rPr>
              <w:t>62460</w:t>
            </w:r>
            <w:r>
              <w:rPr>
                <w:rFonts w:hint="eastAsia" w:ascii="Times New Roman" w:hAnsi="Times New Roman" w:eastAsia="宋体" w:cs="Times New Roman"/>
                <w:sz w:val="24"/>
                <w:highlight w:val="none"/>
                <w:lang w:bidi="ar"/>
              </w:rPr>
              <w:t>m</w:t>
            </w:r>
            <w:r>
              <w:rPr>
                <w:rFonts w:hint="eastAsia" w:ascii="Times New Roman" w:hAnsi="Times New Roman" w:eastAsia="宋体" w:cs="Times New Roman"/>
                <w:sz w:val="24"/>
                <w:highlight w:val="none"/>
                <w:vertAlign w:val="superscript"/>
                <w:lang w:bidi="ar"/>
              </w:rPr>
              <w:t>3</w:t>
            </w:r>
            <w:r>
              <w:rPr>
                <w:rFonts w:hint="eastAsia" w:ascii="Times New Roman" w:hAnsi="Times New Roman" w:eastAsia="宋体" w:cs="Times New Roman"/>
                <w:color w:val="auto"/>
                <w:kern w:val="2"/>
                <w:sz w:val="24"/>
                <w:szCs w:val="24"/>
                <w:highlight w:val="none"/>
                <w:lang w:val="en-US" w:eastAsia="zh-CN" w:bidi="ar"/>
              </w:rPr>
              <w:t>。土地平整时应将复垦为旱地区域进行重点平整，使其表土厚度大于0.50m。</w:t>
            </w:r>
          </w:p>
          <w:p>
            <w:pPr>
              <w:adjustRightInd w:val="0"/>
              <w:spacing w:line="360" w:lineRule="auto"/>
              <w:ind w:firstLine="480" w:firstLineChars="200"/>
              <w:rPr>
                <w:rFonts w:hint="eastAsia" w:cs="Times New Roman"/>
                <w:b w:val="0"/>
                <w:bCs w:val="0"/>
                <w:sz w:val="24"/>
                <w:highlight w:val="none"/>
                <w:lang w:val="en-US" w:eastAsia="zh-CN"/>
              </w:rPr>
            </w:pPr>
            <w:r>
              <w:rPr>
                <w:rFonts w:hint="eastAsia" w:ascii="Times New Roman" w:hAnsi="Times New Roman" w:cs="Times New Roman"/>
                <w:sz w:val="24"/>
                <w:highlight w:val="none"/>
                <w:lang w:val="en-US" w:eastAsia="zh-CN"/>
              </w:rPr>
              <w:t>③</w:t>
            </w:r>
            <w:r>
              <w:rPr>
                <w:rFonts w:hint="eastAsia" w:cs="Times New Roman"/>
                <w:b w:val="0"/>
                <w:bCs w:val="0"/>
                <w:sz w:val="24"/>
                <w:highlight w:val="none"/>
                <w:lang w:val="en-US" w:eastAsia="zh-CN"/>
              </w:rPr>
              <w:t>植被恢复</w:t>
            </w:r>
          </w:p>
          <w:p>
            <w:pPr>
              <w:adjustRightInd w:val="0"/>
              <w:spacing w:line="360" w:lineRule="auto"/>
              <w:ind w:firstLine="480" w:firstLineChars="200"/>
              <w:rPr>
                <w:rFonts w:hint="eastAsia" w:eastAsia="宋体"/>
                <w:sz w:val="24"/>
                <w:highlight w:val="none"/>
                <w:vertAlign w:val="superscript"/>
                <w:lang w:eastAsia="zh-CN" w:bidi="ar"/>
              </w:rPr>
            </w:pPr>
            <w:r>
              <w:rPr>
                <w:rFonts w:hint="eastAsia"/>
                <w:sz w:val="24"/>
                <w:highlight w:val="none"/>
                <w:lang w:val="en-US" w:eastAsia="zh-CN"/>
              </w:rPr>
              <w:t>建筑用砂治理区土方工程完工后，对整个治理区进行种植规划，</w:t>
            </w:r>
            <w:r>
              <w:rPr>
                <w:rFonts w:hint="eastAsia" w:ascii="Times New Roman" w:hAnsi="Times New Roman" w:eastAsia="宋体" w:cs="Times New Roman"/>
                <w:kern w:val="2"/>
                <w:sz w:val="24"/>
                <w:szCs w:val="24"/>
                <w:highlight w:val="none"/>
                <w:lang w:val="en-US" w:eastAsia="zh-CN" w:bidi="ar"/>
              </w:rPr>
              <w:t>本次治理工程植被修复以种草为主。选择扁穗冰草、芨芨草、沙蒿，采用条播种草方式。带状条播，播种带幅15cm左右，采用简单机械开沟、撒种、复土、压实，边坡处条带应顺着边坡走向、垂直于边坡倾向，以促进蓄水保土。控制单位长度播种量，播种量为30kg/hm</w:t>
            </w:r>
            <w:r>
              <w:rPr>
                <w:rFonts w:hint="eastAsia" w:ascii="Times New Roman" w:hAnsi="Times New Roman" w:eastAsia="宋体" w:cs="Times New Roman"/>
                <w:kern w:val="2"/>
                <w:sz w:val="24"/>
                <w:szCs w:val="24"/>
                <w:highlight w:val="none"/>
                <w:vertAlign w:val="superscript"/>
                <w:lang w:val="en-US" w:eastAsia="zh-CN" w:bidi="ar"/>
              </w:rPr>
              <w:t>2</w:t>
            </w:r>
            <w:r>
              <w:rPr>
                <w:rFonts w:hint="eastAsia" w:ascii="Times New Roman" w:hAnsi="Times New Roman" w:eastAsia="宋体" w:cs="Times New Roman"/>
                <w:kern w:val="2"/>
                <w:sz w:val="24"/>
                <w:szCs w:val="24"/>
                <w:highlight w:val="none"/>
                <w:lang w:val="en-US" w:eastAsia="zh-CN" w:bidi="ar"/>
              </w:rPr>
              <w:t>，将扁穗冰草、芨芨草、沙蒿种子按1：1：1等比例混合条播方式进行种植。</w:t>
            </w:r>
            <w:r>
              <w:rPr>
                <w:rFonts w:hint="eastAsia"/>
                <w:sz w:val="24"/>
                <w:highlight w:val="none"/>
                <w:lang w:eastAsia="zh-CN" w:bidi="ar"/>
              </w:rPr>
              <w:t>种草</w:t>
            </w:r>
            <w:r>
              <w:rPr>
                <w:rFonts w:hint="eastAsia"/>
                <w:sz w:val="24"/>
                <w:highlight w:val="none"/>
                <w:lang w:bidi="ar"/>
              </w:rPr>
              <w:t>总面积</w:t>
            </w:r>
            <w:r>
              <w:rPr>
                <w:rFonts w:hint="eastAsia"/>
                <w:sz w:val="24"/>
                <w:highlight w:val="none"/>
                <w:lang w:val="en-US" w:eastAsia="zh-CN" w:bidi="ar"/>
              </w:rPr>
              <w:t>31.63</w:t>
            </w:r>
            <w:r>
              <w:rPr>
                <w:rFonts w:hint="eastAsia"/>
                <w:sz w:val="24"/>
                <w:highlight w:val="none"/>
                <w:lang w:bidi="ar"/>
              </w:rPr>
              <w:t>hm</w:t>
            </w:r>
            <w:r>
              <w:rPr>
                <w:rFonts w:hint="eastAsia"/>
                <w:sz w:val="24"/>
                <w:highlight w:val="none"/>
                <w:vertAlign w:val="superscript"/>
                <w:lang w:bidi="ar"/>
              </w:rPr>
              <w:t>2</w:t>
            </w:r>
            <w:r>
              <w:rPr>
                <w:rFonts w:hint="eastAsia"/>
                <w:sz w:val="24"/>
                <w:highlight w:val="none"/>
                <w:vertAlign w:val="baseline"/>
                <w:lang w:eastAsia="zh-CN" w:bidi="ar"/>
              </w:rPr>
              <w:t>。</w:t>
            </w:r>
          </w:p>
          <w:p>
            <w:pPr>
              <w:adjustRightInd w:val="0"/>
              <w:spacing w:line="360" w:lineRule="auto"/>
              <w:ind w:firstLine="480" w:firstLineChars="200"/>
              <w:rPr>
                <w:rFonts w:hint="eastAsia" w:ascii="Times New Roman" w:hAnsi="Times New Roman" w:cs="Times New Roman"/>
                <w:b w:val="0"/>
                <w:bCs w:val="0"/>
                <w:sz w:val="24"/>
                <w:highlight w:val="none"/>
                <w:lang w:val="en-US" w:eastAsia="zh-CN"/>
              </w:rPr>
            </w:pPr>
            <w:r>
              <w:rPr>
                <w:rFonts w:hint="eastAsia"/>
                <w:sz w:val="24"/>
                <w:highlight w:val="none"/>
                <w:lang w:val="en-US" w:eastAsia="zh-CN"/>
              </w:rPr>
              <w:t>④</w:t>
            </w:r>
            <w:r>
              <w:rPr>
                <w:rFonts w:hint="eastAsia" w:cs="Times New Roman"/>
                <w:sz w:val="24"/>
                <w:highlight w:val="none"/>
                <w:lang w:val="en-US" w:eastAsia="zh-CN"/>
              </w:rPr>
              <w:t>土地翻耕</w:t>
            </w:r>
          </w:p>
          <w:p>
            <w:pPr>
              <w:keepNext w:val="0"/>
              <w:keepLines w:val="0"/>
              <w:widowControl/>
              <w:suppressLineNumbers w:val="0"/>
              <w:adjustRightInd w:val="0"/>
              <w:spacing w:line="360" w:lineRule="auto"/>
              <w:ind w:firstLine="480" w:firstLineChars="200"/>
              <w:jc w:val="left"/>
              <w:rPr>
                <w:rFonts w:hint="eastAsia"/>
                <w:sz w:val="24"/>
                <w:highlight w:val="none"/>
              </w:rPr>
            </w:pPr>
            <w:r>
              <w:rPr>
                <w:rFonts w:hint="eastAsia" w:ascii="Times New Roman" w:hAnsi="Times New Roman" w:eastAsia="宋体" w:cs="Times New Roman"/>
                <w:color w:val="auto"/>
                <w:kern w:val="2"/>
                <w:sz w:val="24"/>
                <w:szCs w:val="24"/>
                <w:highlight w:val="none"/>
                <w:lang w:val="en-US" w:eastAsia="zh-CN" w:bidi="ar"/>
              </w:rPr>
              <w:t>该区黄土层较厚，本次设计不进行表土回覆，土地平整后仅进行土地翻耕，使损毁土地表面的土壤能达到耕作、种植的要求，用犁地机、旋耕机，对土壤进行松土，翻耕深度为20cm。对S</w:t>
            </w:r>
            <w:r>
              <w:rPr>
                <w:rFonts w:hint="eastAsia" w:cs="Times New Roman"/>
                <w:kern w:val="2"/>
                <w:sz w:val="24"/>
                <w:szCs w:val="24"/>
                <w:highlight w:val="none"/>
                <w:lang w:val="en-US" w:eastAsia="zh-CN" w:bidi="ar"/>
              </w:rPr>
              <w:t>1-</w:t>
            </w:r>
            <w:r>
              <w:rPr>
                <w:rFonts w:hint="eastAsia" w:ascii="Times New Roman" w:hAnsi="Times New Roman" w:eastAsia="宋体" w:cs="Times New Roman"/>
                <w:color w:val="auto"/>
                <w:kern w:val="2"/>
                <w:sz w:val="24"/>
                <w:szCs w:val="24"/>
                <w:highlight w:val="none"/>
                <w:lang w:val="en-US" w:eastAsia="zh-CN" w:bidi="ar"/>
              </w:rPr>
              <w:t>1区、S</w:t>
            </w:r>
            <w:r>
              <w:rPr>
                <w:rFonts w:hint="eastAsia" w:cs="Times New Roman"/>
                <w:kern w:val="2"/>
                <w:sz w:val="24"/>
                <w:szCs w:val="24"/>
                <w:highlight w:val="none"/>
                <w:lang w:val="en-US" w:eastAsia="zh-CN" w:bidi="ar"/>
              </w:rPr>
              <w:t>1-</w:t>
            </w:r>
            <w:r>
              <w:rPr>
                <w:rFonts w:hint="eastAsia" w:ascii="Times New Roman" w:hAnsi="Times New Roman" w:eastAsia="宋体" w:cs="Times New Roman"/>
                <w:color w:val="auto"/>
                <w:kern w:val="2"/>
                <w:sz w:val="24"/>
                <w:szCs w:val="24"/>
                <w:highlight w:val="none"/>
                <w:lang w:val="en-US" w:eastAsia="zh-CN" w:bidi="ar"/>
              </w:rPr>
              <w:t>3区、S</w:t>
            </w:r>
            <w:r>
              <w:rPr>
                <w:rFonts w:hint="eastAsia" w:cs="Times New Roman"/>
                <w:kern w:val="2"/>
                <w:sz w:val="24"/>
                <w:szCs w:val="24"/>
                <w:highlight w:val="none"/>
                <w:lang w:val="en-US" w:eastAsia="zh-CN" w:bidi="ar"/>
              </w:rPr>
              <w:t>1-</w:t>
            </w:r>
            <w:r>
              <w:rPr>
                <w:rFonts w:hint="eastAsia" w:ascii="Times New Roman" w:hAnsi="Times New Roman" w:eastAsia="宋体" w:cs="Times New Roman"/>
                <w:color w:val="auto"/>
                <w:kern w:val="2"/>
                <w:sz w:val="24"/>
                <w:szCs w:val="24"/>
                <w:highlight w:val="none"/>
                <w:lang w:val="en-US" w:eastAsia="zh-CN" w:bidi="ar"/>
              </w:rPr>
              <w:t>4区部分复垦为旱地的区域进行土地翻耕培肥。培肥区增施有机肥料，施肥标准220kg/亩。土地翻耕</w:t>
            </w:r>
            <w:r>
              <w:rPr>
                <w:rFonts w:hint="eastAsia" w:cs="Times New Roman"/>
                <w:kern w:val="2"/>
                <w:sz w:val="24"/>
                <w:szCs w:val="24"/>
                <w:highlight w:val="none"/>
                <w:lang w:val="en-US" w:eastAsia="zh-CN" w:bidi="ar"/>
              </w:rPr>
              <w:t>总</w:t>
            </w:r>
            <w:r>
              <w:rPr>
                <w:rFonts w:hint="eastAsia" w:ascii="Times New Roman" w:hAnsi="Times New Roman" w:eastAsia="宋体" w:cs="Times New Roman"/>
                <w:color w:val="auto"/>
                <w:kern w:val="2"/>
                <w:sz w:val="24"/>
                <w:szCs w:val="24"/>
                <w:highlight w:val="none"/>
                <w:lang w:val="en-US" w:eastAsia="zh-CN" w:bidi="ar"/>
              </w:rPr>
              <w:t>面积</w:t>
            </w:r>
            <w:r>
              <w:rPr>
                <w:rFonts w:hint="eastAsia" w:cs="Times New Roman"/>
                <w:kern w:val="2"/>
                <w:sz w:val="24"/>
                <w:szCs w:val="24"/>
                <w:highlight w:val="none"/>
                <w:lang w:val="en-US" w:eastAsia="zh-CN" w:bidi="ar"/>
              </w:rPr>
              <w:t>为29.72</w:t>
            </w:r>
            <w:r>
              <w:rPr>
                <w:rFonts w:hint="eastAsia" w:ascii="Times New Roman" w:hAnsi="Times New Roman" w:eastAsia="宋体" w:cs="Times New Roman"/>
                <w:kern w:val="2"/>
                <w:sz w:val="24"/>
                <w:szCs w:val="24"/>
                <w:highlight w:val="none"/>
                <w:lang w:val="en-US" w:eastAsia="zh-CN" w:bidi="ar"/>
              </w:rPr>
              <w:t>hm</w:t>
            </w:r>
            <w:r>
              <w:rPr>
                <w:rFonts w:hint="eastAsia" w:ascii="Times New Roman" w:hAnsi="Times New Roman" w:eastAsia="宋体" w:cs="Times New Roman"/>
                <w:kern w:val="2"/>
                <w:sz w:val="24"/>
                <w:szCs w:val="24"/>
                <w:highlight w:val="none"/>
                <w:vertAlign w:val="superscript"/>
                <w:lang w:val="en-US" w:eastAsia="zh-CN" w:bidi="ar"/>
              </w:rPr>
              <w:t>2</w:t>
            </w:r>
            <w:r>
              <w:rPr>
                <w:rFonts w:hint="eastAsia" w:ascii="Times New Roman" w:hAnsi="Times New Roman" w:eastAsia="宋体" w:cs="Times New Roman"/>
                <w:color w:val="auto"/>
                <w:kern w:val="2"/>
                <w:sz w:val="24"/>
                <w:szCs w:val="24"/>
                <w:highlight w:val="none"/>
                <w:lang w:val="en-US" w:eastAsia="zh-CN" w:bidi="ar"/>
              </w:rPr>
              <w:t>，土地翻耕培肥面积</w:t>
            </w:r>
            <w:r>
              <w:rPr>
                <w:rFonts w:hint="eastAsia" w:cs="Times New Roman"/>
                <w:kern w:val="2"/>
                <w:sz w:val="24"/>
                <w:szCs w:val="24"/>
                <w:highlight w:val="none"/>
                <w:lang w:val="en-US" w:eastAsia="zh-CN" w:bidi="ar"/>
              </w:rPr>
              <w:t>为</w:t>
            </w:r>
            <w:r>
              <w:rPr>
                <w:rFonts w:hint="eastAsia" w:ascii="Times New Roman" w:hAnsi="Times New Roman" w:eastAsia="宋体" w:cs="Times New Roman"/>
                <w:color w:val="auto"/>
                <w:kern w:val="2"/>
                <w:sz w:val="24"/>
                <w:szCs w:val="24"/>
                <w:highlight w:val="none"/>
                <w:lang w:val="en-US" w:eastAsia="zh-CN" w:bidi="ar"/>
              </w:rPr>
              <w:t>1.</w:t>
            </w:r>
            <w:r>
              <w:rPr>
                <w:rFonts w:hint="eastAsia" w:cs="Times New Roman"/>
                <w:kern w:val="2"/>
                <w:sz w:val="24"/>
                <w:szCs w:val="24"/>
                <w:highlight w:val="none"/>
                <w:lang w:val="en-US" w:eastAsia="zh-CN" w:bidi="ar"/>
              </w:rPr>
              <w:t>82</w:t>
            </w:r>
            <w:r>
              <w:rPr>
                <w:rFonts w:hint="eastAsia" w:ascii="Times New Roman" w:hAnsi="Times New Roman" w:eastAsia="宋体" w:cs="Times New Roman"/>
                <w:color w:val="auto"/>
                <w:kern w:val="2"/>
                <w:sz w:val="24"/>
                <w:szCs w:val="24"/>
                <w:highlight w:val="none"/>
                <w:lang w:val="en-US" w:eastAsia="zh-CN" w:bidi="ar"/>
              </w:rPr>
              <w:t>hm</w:t>
            </w:r>
            <w:r>
              <w:rPr>
                <w:rFonts w:hint="eastAsia" w:ascii="Times New Roman" w:hAnsi="Times New Roman" w:eastAsia="宋体" w:cs="Times New Roman"/>
                <w:color w:val="auto"/>
                <w:kern w:val="2"/>
                <w:sz w:val="24"/>
                <w:szCs w:val="24"/>
                <w:highlight w:val="none"/>
                <w:vertAlign w:val="superscript"/>
                <w:lang w:val="en-US" w:eastAsia="zh-CN" w:bidi="ar"/>
              </w:rPr>
              <w:t>2</w:t>
            </w:r>
            <w:r>
              <w:rPr>
                <w:rFonts w:hint="eastAsia" w:ascii="Times New Roman" w:hAnsi="Times New Roman" w:eastAsia="宋体" w:cs="Times New Roman"/>
                <w:color w:val="auto"/>
                <w:kern w:val="2"/>
                <w:sz w:val="24"/>
                <w:szCs w:val="24"/>
                <w:highlight w:val="none"/>
                <w:lang w:val="en-US" w:eastAsia="zh-CN" w:bidi="ar"/>
              </w:rPr>
              <w:t>。</w:t>
            </w:r>
          </w:p>
          <w:p>
            <w:pPr>
              <w:adjustRightInd w:val="0"/>
              <w:spacing w:line="360" w:lineRule="auto"/>
              <w:ind w:firstLine="480"/>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adjustRightInd w:val="0"/>
              <w:spacing w:line="240" w:lineRule="auto"/>
              <w:jc w:val="both"/>
              <w:rPr>
                <w:rFonts w:hint="eastAsia"/>
                <w:b/>
                <w:bCs/>
                <w:sz w:val="24"/>
              </w:rPr>
            </w:pPr>
          </w:p>
        </w:tc>
      </w:tr>
    </w:tbl>
    <w:p>
      <w:pPr>
        <w:pStyle w:val="15"/>
        <w:spacing w:line="240" w:lineRule="auto"/>
        <w:jc w:val="both"/>
        <w:outlineLvl w:val="0"/>
        <w:rPr>
          <w:rFonts w:ascii="黑体" w:hAnsi="黑体" w:eastAsia="黑体"/>
          <w:sz w:val="30"/>
          <w:szCs w:val="30"/>
        </w:rPr>
      </w:pPr>
      <w:r>
        <w:rPr>
          <w:rFonts w:hint="eastAsia" w:ascii="Times New Roman" w:hAnsi="Times New Roman" w:eastAsia="宋体" w:cs="Times New Roman"/>
          <w:b/>
          <w:bCs/>
          <w:sz w:val="32"/>
          <w:szCs w:val="32"/>
          <w:lang w:eastAsia="zh-CN"/>
        </w:rPr>
        <w:t>二、</w:t>
      </w:r>
      <w:r>
        <w:rPr>
          <w:rFonts w:hint="default" w:ascii="Times New Roman" w:hAnsi="Times New Roman" w:eastAsia="宋体" w:cs="Times New Roman"/>
          <w:b/>
          <w:bCs/>
          <w:sz w:val="32"/>
          <w:szCs w:val="32"/>
        </w:rPr>
        <w:t>建设项目所在地自然环境社会环境简况</w:t>
      </w:r>
    </w:p>
    <w:tbl>
      <w:tblPr>
        <w:tblStyle w:val="19"/>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28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286" w:type="dxa"/>
            <w:noWrap w:val="0"/>
            <w:vAlign w:val="top"/>
          </w:tcPr>
          <w:p>
            <w:pPr>
              <w:spacing w:line="360" w:lineRule="auto"/>
              <w:rPr>
                <w:b/>
                <w:bCs/>
                <w:sz w:val="24"/>
                <w:szCs w:val="24"/>
              </w:rPr>
            </w:pPr>
            <w:r>
              <w:rPr>
                <w:b/>
                <w:bCs/>
                <w:sz w:val="24"/>
                <w:szCs w:val="24"/>
              </w:rPr>
              <w:t>自然环境简况(地形、地貌、地质、气候、气象、水文、植被、生物多样性等)：</w:t>
            </w:r>
          </w:p>
          <w:p>
            <w:pPr>
              <w:adjustRightInd w:val="0"/>
              <w:spacing w:line="360" w:lineRule="auto"/>
              <w:ind w:firstLine="480"/>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1、地理位置</w:t>
            </w:r>
          </w:p>
          <w:p>
            <w:pPr>
              <w:spacing w:line="360" w:lineRule="auto"/>
              <w:ind w:firstLine="453"/>
              <w:rPr>
                <w:sz w:val="24"/>
                <w:szCs w:val="24"/>
              </w:rPr>
            </w:pPr>
            <w:r>
              <w:rPr>
                <w:sz w:val="24"/>
                <w:szCs w:val="24"/>
              </w:rPr>
              <w:t>红寺堡区位于宁夏中部干旱带的中心，地理坐标东经105°43′45″~106°42′50″，北纬37°28′08″~37°37′23″。北临吴忠市利通区和青铜峡市、灵武市，南至同心县，东至盐池县，西北与中宁县接壤。北距首府银川市127km，南距固原市220km，西距兰州市360km，地理位置优越，区位、交通优势明显。境内盐兴公路、福银高速、定武高速3条省道和黄同公路、滚新公路、恩红公路3条县道纵横交错，中太银铁路和滚红高速公路途经红寺堡城区。</w:t>
            </w:r>
          </w:p>
          <w:p>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left"/>
              <w:textAlignment w:val="auto"/>
              <w:rPr>
                <w:rFonts w:hint="default"/>
                <w:sz w:val="24"/>
                <w:szCs w:val="24"/>
                <w:lang w:eastAsia="zh-CN"/>
              </w:rPr>
            </w:pPr>
            <w:r>
              <w:rPr>
                <w:rFonts w:hint="eastAsia"/>
                <w:sz w:val="24"/>
                <w:szCs w:val="24"/>
                <w:lang w:eastAsia="zh-CN"/>
              </w:rPr>
              <w:t>煤炭</w:t>
            </w:r>
            <w:r>
              <w:rPr>
                <w:rFonts w:hint="default"/>
                <w:sz w:val="24"/>
                <w:szCs w:val="24"/>
                <w:lang w:eastAsia="zh-CN"/>
              </w:rPr>
              <w:t>治理区距红寺堡区市区</w:t>
            </w:r>
            <w:r>
              <w:rPr>
                <w:rFonts w:hint="eastAsia"/>
                <w:sz w:val="24"/>
                <w:szCs w:val="24"/>
                <w:lang w:val="en-US" w:eastAsia="zh-CN"/>
              </w:rPr>
              <w:t>3.9</w:t>
            </w:r>
            <w:r>
              <w:rPr>
                <w:rFonts w:hint="default"/>
                <w:sz w:val="24"/>
                <w:szCs w:val="24"/>
                <w:lang w:eastAsia="zh-CN"/>
              </w:rPr>
              <w:t>km，地理坐标为10</w:t>
            </w:r>
            <w:r>
              <w:rPr>
                <w:rFonts w:hint="eastAsia"/>
                <w:sz w:val="24"/>
                <w:szCs w:val="24"/>
                <w:lang w:val="en-US" w:eastAsia="zh-CN"/>
              </w:rPr>
              <w:t>5</w:t>
            </w:r>
            <w:r>
              <w:rPr>
                <w:rFonts w:hint="default"/>
                <w:sz w:val="24"/>
                <w:szCs w:val="24"/>
                <w:lang w:eastAsia="zh-CN"/>
              </w:rPr>
              <w:t>°</w:t>
            </w:r>
            <w:r>
              <w:rPr>
                <w:rFonts w:hint="eastAsia"/>
                <w:sz w:val="24"/>
                <w:szCs w:val="24"/>
                <w:lang w:val="en-US" w:eastAsia="zh-CN"/>
              </w:rPr>
              <w:t>54</w:t>
            </w:r>
            <w:r>
              <w:rPr>
                <w:rFonts w:hint="default"/>
                <w:sz w:val="24"/>
                <w:szCs w:val="24"/>
                <w:lang w:eastAsia="zh-CN"/>
              </w:rPr>
              <w:t>′</w:t>
            </w:r>
            <w:r>
              <w:rPr>
                <w:rFonts w:hint="eastAsia"/>
                <w:sz w:val="24"/>
                <w:szCs w:val="24"/>
                <w:lang w:val="en-US" w:eastAsia="zh-CN"/>
              </w:rPr>
              <w:t>54.4</w:t>
            </w:r>
            <w:r>
              <w:rPr>
                <w:rFonts w:hint="default"/>
                <w:sz w:val="24"/>
                <w:szCs w:val="24"/>
                <w:lang w:eastAsia="zh-CN"/>
              </w:rPr>
              <w:t>″-10</w:t>
            </w:r>
            <w:r>
              <w:rPr>
                <w:rFonts w:hint="eastAsia"/>
                <w:sz w:val="24"/>
                <w:szCs w:val="24"/>
                <w:lang w:val="en-US" w:eastAsia="zh-CN"/>
              </w:rPr>
              <w:t>5</w:t>
            </w:r>
            <w:r>
              <w:rPr>
                <w:rFonts w:hint="default"/>
                <w:sz w:val="24"/>
                <w:szCs w:val="24"/>
                <w:lang w:eastAsia="zh-CN"/>
              </w:rPr>
              <w:t>°</w:t>
            </w:r>
            <w:r>
              <w:rPr>
                <w:rFonts w:hint="eastAsia"/>
                <w:sz w:val="24"/>
                <w:szCs w:val="24"/>
                <w:lang w:val="en-US" w:eastAsia="zh-CN"/>
              </w:rPr>
              <w:t>56</w:t>
            </w:r>
            <w:r>
              <w:rPr>
                <w:rFonts w:hint="default"/>
                <w:sz w:val="24"/>
                <w:szCs w:val="24"/>
                <w:lang w:eastAsia="zh-CN"/>
              </w:rPr>
              <w:t>′</w:t>
            </w:r>
            <w:r>
              <w:rPr>
                <w:rFonts w:hint="eastAsia"/>
                <w:sz w:val="24"/>
                <w:szCs w:val="24"/>
                <w:lang w:val="en-US" w:eastAsia="zh-CN"/>
              </w:rPr>
              <w:t>5.24</w:t>
            </w:r>
            <w:r>
              <w:rPr>
                <w:rFonts w:hint="default"/>
                <w:sz w:val="24"/>
                <w:szCs w:val="24"/>
                <w:lang w:eastAsia="zh-CN"/>
              </w:rPr>
              <w:t>″，北纬37°</w:t>
            </w:r>
            <w:r>
              <w:rPr>
                <w:rFonts w:hint="eastAsia"/>
                <w:sz w:val="24"/>
                <w:szCs w:val="24"/>
                <w:lang w:val="en-US" w:eastAsia="zh-CN"/>
              </w:rPr>
              <w:t>13</w:t>
            </w:r>
            <w:r>
              <w:rPr>
                <w:rFonts w:hint="default"/>
                <w:sz w:val="24"/>
                <w:szCs w:val="24"/>
                <w:lang w:eastAsia="zh-CN"/>
              </w:rPr>
              <w:t>′</w:t>
            </w:r>
            <w:r>
              <w:rPr>
                <w:rFonts w:hint="eastAsia"/>
                <w:sz w:val="24"/>
                <w:szCs w:val="24"/>
                <w:lang w:val="en-US" w:eastAsia="zh-CN"/>
              </w:rPr>
              <w:t>29</w:t>
            </w:r>
            <w:r>
              <w:rPr>
                <w:rFonts w:hint="default"/>
                <w:sz w:val="24"/>
                <w:szCs w:val="24"/>
                <w:lang w:eastAsia="zh-CN"/>
              </w:rPr>
              <w:t>″-37°</w:t>
            </w:r>
            <w:r>
              <w:rPr>
                <w:rFonts w:hint="eastAsia"/>
                <w:sz w:val="24"/>
                <w:szCs w:val="24"/>
                <w:lang w:val="en-US" w:eastAsia="zh-CN"/>
              </w:rPr>
              <w:t>13</w:t>
            </w:r>
            <w:r>
              <w:rPr>
                <w:rFonts w:hint="default"/>
                <w:sz w:val="24"/>
                <w:szCs w:val="24"/>
                <w:lang w:eastAsia="zh-CN"/>
              </w:rPr>
              <w:t>′5</w:t>
            </w:r>
            <w:r>
              <w:rPr>
                <w:rFonts w:hint="eastAsia"/>
                <w:sz w:val="24"/>
                <w:szCs w:val="24"/>
                <w:lang w:val="en-US" w:eastAsia="zh-CN"/>
              </w:rPr>
              <w:t>2.1</w:t>
            </w:r>
            <w:r>
              <w:rPr>
                <w:rFonts w:hint="default"/>
                <w:sz w:val="24"/>
                <w:szCs w:val="24"/>
                <w:lang w:eastAsia="zh-CN"/>
              </w:rPr>
              <w:t>″，治理区区面积为</w:t>
            </w:r>
            <w:r>
              <w:rPr>
                <w:rFonts w:hint="eastAsia"/>
                <w:sz w:val="24"/>
                <w:szCs w:val="24"/>
                <w:lang w:val="en-US" w:eastAsia="zh-CN"/>
              </w:rPr>
              <w:t>40.33</w:t>
            </w:r>
            <w:r>
              <w:rPr>
                <w:rFonts w:hint="default"/>
                <w:sz w:val="24"/>
                <w:szCs w:val="24"/>
                <w:lang w:eastAsia="zh-CN"/>
              </w:rPr>
              <w:t>km</w:t>
            </w:r>
            <w:r>
              <w:rPr>
                <w:rFonts w:hint="default"/>
                <w:sz w:val="24"/>
                <w:szCs w:val="24"/>
                <w:vertAlign w:val="superscript"/>
                <w:lang w:eastAsia="zh-CN"/>
              </w:rPr>
              <w:t>2</w:t>
            </w:r>
            <w:r>
              <w:rPr>
                <w:rFonts w:hint="default"/>
                <w:sz w:val="24"/>
                <w:szCs w:val="24"/>
                <w:lang w:eastAsia="zh-CN"/>
              </w:rPr>
              <w:t>。</w:t>
            </w:r>
            <w:r>
              <w:rPr>
                <w:rFonts w:hint="eastAsia"/>
                <w:sz w:val="24"/>
                <w:szCs w:val="24"/>
                <w:lang w:eastAsia="zh-CN"/>
              </w:rPr>
              <w:t>同土公路</w:t>
            </w:r>
            <w:r>
              <w:rPr>
                <w:rFonts w:hint="default"/>
                <w:sz w:val="24"/>
                <w:szCs w:val="24"/>
                <w:lang w:eastAsia="zh-CN"/>
              </w:rPr>
              <w:t>自治理区</w:t>
            </w:r>
            <w:r>
              <w:rPr>
                <w:rFonts w:hint="eastAsia"/>
                <w:sz w:val="24"/>
                <w:szCs w:val="24"/>
                <w:lang w:eastAsia="zh-CN"/>
              </w:rPr>
              <w:t>北</w:t>
            </w:r>
            <w:r>
              <w:rPr>
                <w:rFonts w:hint="default"/>
                <w:sz w:val="24"/>
                <w:szCs w:val="24"/>
                <w:lang w:eastAsia="zh-CN"/>
              </w:rPr>
              <w:t>侧穿过。</w:t>
            </w:r>
          </w:p>
          <w:p>
            <w:pPr>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jc w:val="left"/>
              <w:textAlignment w:val="auto"/>
              <w:rPr>
                <w:rFonts w:hint="default"/>
                <w:sz w:val="24"/>
                <w:szCs w:val="24"/>
                <w:lang w:eastAsia="zh-CN"/>
              </w:rPr>
            </w:pPr>
            <w:r>
              <w:rPr>
                <w:rFonts w:hint="eastAsia"/>
                <w:sz w:val="24"/>
                <w:szCs w:val="24"/>
                <w:lang w:eastAsia="zh-CN"/>
              </w:rPr>
              <w:t>建筑用砂</w:t>
            </w:r>
            <w:r>
              <w:rPr>
                <w:rFonts w:hint="default"/>
                <w:sz w:val="24"/>
                <w:szCs w:val="24"/>
                <w:lang w:eastAsia="zh-CN"/>
              </w:rPr>
              <w:t>治理区距红寺堡区市区</w:t>
            </w:r>
            <w:r>
              <w:rPr>
                <w:rFonts w:hint="eastAsia"/>
                <w:sz w:val="24"/>
                <w:szCs w:val="24"/>
                <w:lang w:val="en-US" w:eastAsia="zh-CN"/>
              </w:rPr>
              <w:t>21.3</w:t>
            </w:r>
            <w:r>
              <w:rPr>
                <w:rFonts w:hint="default"/>
                <w:sz w:val="24"/>
                <w:szCs w:val="24"/>
                <w:lang w:eastAsia="zh-CN"/>
              </w:rPr>
              <w:t>km，地理坐标为东经10</w:t>
            </w:r>
            <w:r>
              <w:rPr>
                <w:rFonts w:hint="eastAsia"/>
                <w:sz w:val="24"/>
                <w:szCs w:val="24"/>
                <w:lang w:val="en-US" w:eastAsia="zh-CN"/>
              </w:rPr>
              <w:t>5</w:t>
            </w:r>
            <w:r>
              <w:rPr>
                <w:rFonts w:hint="default"/>
                <w:sz w:val="24"/>
                <w:szCs w:val="24"/>
                <w:lang w:eastAsia="zh-CN"/>
              </w:rPr>
              <w:t>°</w:t>
            </w:r>
            <w:r>
              <w:rPr>
                <w:rFonts w:hint="eastAsia"/>
                <w:sz w:val="24"/>
                <w:szCs w:val="24"/>
                <w:lang w:val="en-US" w:eastAsia="zh-CN"/>
              </w:rPr>
              <w:t>59</w:t>
            </w:r>
            <w:r>
              <w:rPr>
                <w:rFonts w:hint="default"/>
                <w:sz w:val="24"/>
                <w:szCs w:val="24"/>
                <w:lang w:eastAsia="zh-CN"/>
              </w:rPr>
              <w:t>′</w:t>
            </w:r>
            <w:r>
              <w:rPr>
                <w:rFonts w:hint="eastAsia"/>
                <w:sz w:val="24"/>
                <w:szCs w:val="24"/>
                <w:lang w:val="en-US" w:eastAsia="zh-CN"/>
              </w:rPr>
              <w:t>30.7</w:t>
            </w:r>
            <w:r>
              <w:rPr>
                <w:rFonts w:hint="default"/>
                <w:sz w:val="24"/>
                <w:szCs w:val="24"/>
                <w:lang w:eastAsia="zh-CN"/>
              </w:rPr>
              <w:t>″-10</w:t>
            </w:r>
            <w:r>
              <w:rPr>
                <w:rFonts w:hint="eastAsia"/>
                <w:sz w:val="24"/>
                <w:szCs w:val="24"/>
                <w:lang w:val="en-US" w:eastAsia="zh-CN"/>
              </w:rPr>
              <w:t>6</w:t>
            </w:r>
            <w:r>
              <w:rPr>
                <w:rFonts w:hint="default"/>
                <w:sz w:val="24"/>
                <w:szCs w:val="24"/>
                <w:lang w:eastAsia="zh-CN"/>
              </w:rPr>
              <w:t>°</w:t>
            </w:r>
            <w:r>
              <w:rPr>
                <w:rFonts w:hint="eastAsia"/>
                <w:sz w:val="24"/>
                <w:szCs w:val="24"/>
                <w:lang w:val="en-US" w:eastAsia="zh-CN"/>
              </w:rPr>
              <w:t>0</w:t>
            </w:r>
            <w:r>
              <w:rPr>
                <w:rFonts w:hint="default"/>
                <w:sz w:val="24"/>
                <w:szCs w:val="24"/>
                <w:lang w:eastAsia="zh-CN"/>
              </w:rPr>
              <w:t>′</w:t>
            </w:r>
            <w:r>
              <w:rPr>
                <w:rFonts w:hint="eastAsia"/>
                <w:sz w:val="24"/>
                <w:szCs w:val="24"/>
                <w:lang w:val="en-US" w:eastAsia="zh-CN"/>
              </w:rPr>
              <w:t>23.5</w:t>
            </w:r>
            <w:r>
              <w:rPr>
                <w:rFonts w:hint="default"/>
                <w:sz w:val="24"/>
                <w:szCs w:val="24"/>
                <w:lang w:eastAsia="zh-CN"/>
              </w:rPr>
              <w:t>″，北纬37°2</w:t>
            </w:r>
            <w:r>
              <w:rPr>
                <w:rFonts w:hint="eastAsia"/>
                <w:sz w:val="24"/>
                <w:szCs w:val="24"/>
                <w:lang w:val="en-US" w:eastAsia="zh-CN"/>
              </w:rPr>
              <w:t>6</w:t>
            </w:r>
            <w:r>
              <w:rPr>
                <w:rFonts w:hint="default"/>
                <w:sz w:val="24"/>
                <w:szCs w:val="24"/>
                <w:lang w:eastAsia="zh-CN"/>
              </w:rPr>
              <w:t>′</w:t>
            </w:r>
            <w:r>
              <w:rPr>
                <w:rFonts w:hint="eastAsia"/>
                <w:sz w:val="24"/>
                <w:szCs w:val="24"/>
                <w:lang w:val="en-US" w:eastAsia="zh-CN"/>
              </w:rPr>
              <w:t>52.2</w:t>
            </w:r>
            <w:r>
              <w:rPr>
                <w:rFonts w:hint="default"/>
                <w:sz w:val="24"/>
                <w:szCs w:val="24"/>
                <w:lang w:eastAsia="zh-CN"/>
              </w:rPr>
              <w:t>″-37°</w:t>
            </w:r>
            <w:r>
              <w:rPr>
                <w:rFonts w:hint="eastAsia"/>
                <w:sz w:val="24"/>
                <w:szCs w:val="24"/>
                <w:lang w:val="en-US" w:eastAsia="zh-CN"/>
              </w:rPr>
              <w:t>27</w:t>
            </w:r>
            <w:r>
              <w:rPr>
                <w:rFonts w:hint="default"/>
                <w:sz w:val="24"/>
                <w:szCs w:val="24"/>
                <w:lang w:eastAsia="zh-CN"/>
              </w:rPr>
              <w:t>′</w:t>
            </w:r>
            <w:r>
              <w:rPr>
                <w:rFonts w:hint="eastAsia"/>
                <w:sz w:val="24"/>
                <w:szCs w:val="24"/>
                <w:lang w:val="en-US" w:eastAsia="zh-CN"/>
              </w:rPr>
              <w:t>36.8</w:t>
            </w:r>
            <w:r>
              <w:rPr>
                <w:rFonts w:hint="default"/>
                <w:sz w:val="24"/>
                <w:szCs w:val="24"/>
                <w:lang w:eastAsia="zh-CN"/>
              </w:rPr>
              <w:t>″，治理区面积为</w:t>
            </w:r>
            <w:r>
              <w:rPr>
                <w:rFonts w:hint="eastAsia"/>
                <w:sz w:val="24"/>
                <w:szCs w:val="24"/>
                <w:lang w:val="en-US" w:eastAsia="zh-CN"/>
              </w:rPr>
              <w:t>34.1</w:t>
            </w:r>
            <w:r>
              <w:rPr>
                <w:rFonts w:hint="default"/>
                <w:sz w:val="24"/>
                <w:szCs w:val="24"/>
                <w:lang w:eastAsia="zh-CN"/>
              </w:rPr>
              <w:t>hm</w:t>
            </w:r>
            <w:r>
              <w:rPr>
                <w:rFonts w:hint="default"/>
                <w:sz w:val="24"/>
                <w:szCs w:val="24"/>
                <w:vertAlign w:val="superscript"/>
                <w:lang w:eastAsia="zh-CN"/>
              </w:rPr>
              <w:t>2</w:t>
            </w:r>
            <w:r>
              <w:rPr>
                <w:rFonts w:hint="default"/>
                <w:sz w:val="24"/>
                <w:szCs w:val="24"/>
                <w:lang w:eastAsia="zh-CN"/>
              </w:rPr>
              <w:t>。</w:t>
            </w:r>
            <w:r>
              <w:rPr>
                <w:rFonts w:hint="eastAsia" w:ascii="Times New Roman" w:hAnsi="Times New Roman" w:cs="Times New Roman"/>
                <w:sz w:val="24"/>
                <w:szCs w:val="24"/>
                <w:lang w:eastAsia="zh-CN"/>
              </w:rPr>
              <w:t>建筑用砂一号治理区位于京藏高速与定武高速交叉处以南1千米、皮条沟内，由</w:t>
            </w:r>
            <w:r>
              <w:rPr>
                <w:rFonts w:hint="eastAsia" w:ascii="Times New Roman" w:hAnsi="Times New Roman" w:cs="Times New Roman"/>
                <w:sz w:val="24"/>
                <w:szCs w:val="24"/>
                <w:lang w:val="en-US" w:eastAsia="zh-CN"/>
              </w:rPr>
              <w:t>5</w:t>
            </w:r>
            <w:r>
              <w:rPr>
                <w:rFonts w:hint="eastAsia" w:ascii="Times New Roman" w:hAnsi="Times New Roman" w:cs="Times New Roman"/>
                <w:sz w:val="24"/>
                <w:szCs w:val="24"/>
                <w:lang w:eastAsia="zh-CN"/>
              </w:rPr>
              <w:t>个历史遗留的采坑组成（由南向北分别命名为S1-1</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S1-5）。</w:t>
            </w:r>
          </w:p>
          <w:p>
            <w:pPr>
              <w:adjustRightInd w:val="0"/>
              <w:spacing w:line="360" w:lineRule="auto"/>
              <w:ind w:firstLine="480"/>
              <w:rPr>
                <w:rFonts w:hint="default"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2、地形、地貌、地质</w:t>
            </w:r>
          </w:p>
          <w:p>
            <w:pPr>
              <w:adjustRightInd/>
              <w:snapToGrid/>
              <w:spacing w:line="360" w:lineRule="auto"/>
              <w:ind w:firstLine="480"/>
              <w:rPr>
                <w:sz w:val="24"/>
                <w:szCs w:val="24"/>
              </w:rPr>
            </w:pPr>
            <w:r>
              <w:rPr>
                <w:sz w:val="24"/>
                <w:szCs w:val="24"/>
              </w:rPr>
              <w:t>吴忠市东西长而南北窄，地势南高北低，北为银川平原，南为青铜峡平原和丘陵山地。川区平均海拔1100m，山区海拔在1300~1900m。全市地貌为黄土高原，鄂尔多斯台地、黄河冲积平原和山地。最高点好汉疙瘩位于中南部的大罗山，为2624m。西北部为冲积平原，黄河自西南向东北，经卫宁灌区，过青铜峡入银川灌区。东南部为黄土高原的一部分，冲沟发育，梁、峁、残塬、沟壑相间，地面支离破碎。东北部为鄂尔多斯高原和毛乌素沙漠边缘，丘陵低缓。</w:t>
            </w:r>
          </w:p>
          <w:p>
            <w:pPr>
              <w:spacing w:line="360" w:lineRule="auto"/>
              <w:ind w:firstLine="480"/>
              <w:rPr>
                <w:sz w:val="24"/>
                <w:szCs w:val="24"/>
              </w:rPr>
            </w:pPr>
            <w:r>
              <w:rPr>
                <w:sz w:val="24"/>
                <w:szCs w:val="24"/>
              </w:rPr>
              <w:t>红寺堡区属扬黄灌区，位于烟筒山、大罗山、牛首山三山之间，为山间盆地。地势南高北底，南部红寺堡和韦州一带，海拔一般为1300</w:t>
            </w:r>
            <w:r>
              <w:rPr>
                <w:rFonts w:hint="default"/>
                <w:sz w:val="24"/>
                <w:szCs w:val="24"/>
              </w:rPr>
              <w:t>~</w:t>
            </w:r>
            <w:r>
              <w:rPr>
                <w:sz w:val="24"/>
                <w:szCs w:val="24"/>
              </w:rPr>
              <w:t>1400m，北部孙家滩及臭马子井一带，海拔一般为1230m</w:t>
            </w:r>
            <w:r>
              <w:rPr>
                <w:rFonts w:hint="default"/>
                <w:sz w:val="24"/>
                <w:szCs w:val="24"/>
              </w:rPr>
              <w:t>~</w:t>
            </w:r>
            <w:r>
              <w:rPr>
                <w:sz w:val="24"/>
                <w:szCs w:val="24"/>
              </w:rPr>
              <w:t>1260m，南北海拔相差70m</w:t>
            </w:r>
            <w:r>
              <w:rPr>
                <w:rFonts w:hint="default"/>
                <w:sz w:val="24"/>
                <w:szCs w:val="24"/>
              </w:rPr>
              <w:t>~</w:t>
            </w:r>
            <w:r>
              <w:rPr>
                <w:sz w:val="24"/>
                <w:szCs w:val="24"/>
              </w:rPr>
              <w:t>140m，全区属山间丘陵地貌区，主要由缓坡丘陵、洪积扇、风沙地、洪积平原及苦水河、甜水河的河谷平原构成。</w:t>
            </w:r>
          </w:p>
          <w:p>
            <w:pPr>
              <w:adjustRightInd w:val="0"/>
              <w:spacing w:line="360" w:lineRule="auto"/>
              <w:ind w:firstLine="480"/>
              <w:rPr>
                <w:rFonts w:hint="eastAsia"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3、工程地质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sz w:val="24"/>
                <w:szCs w:val="24"/>
                <w:lang w:val="en-US" w:eastAsia="zh-CN"/>
              </w:rPr>
            </w:pPr>
            <w:r>
              <w:rPr>
                <w:rFonts w:hint="eastAsia"/>
                <w:sz w:val="24"/>
                <w:szCs w:val="24"/>
              </w:rPr>
              <w:t>项目区的地层比较简单，地表出露均为第四系上更新统，下伏古近系红柳沟组，现由老至新分叙如下：</w:t>
            </w:r>
          </w:p>
          <w:p>
            <w:pPr>
              <w:adjustRightInd w:val="0"/>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红柳沟发源于红寺堡小罗山，沿红寺堡灌区的中部由东南流向西北，经中宁鸣沙乡入黄河，全长103.5千米，平均比降4.16‰，汇流面积1064平方公里。</w:t>
            </w:r>
            <w:r>
              <w:rPr>
                <w:rFonts w:hint="eastAsia" w:ascii="Times New Roman" w:hAnsi="Times New Roman" w:eastAsia="宋体" w:cs="Times New Roman"/>
                <w:kern w:val="2"/>
                <w:sz w:val="24"/>
                <w:szCs w:val="24"/>
                <w:lang w:val="en-US" w:eastAsia="zh-CN" w:bidi="ar-SA"/>
              </w:rPr>
              <w:t>在建筑用砂治理区</w:t>
            </w:r>
            <w:r>
              <w:rPr>
                <w:rFonts w:hint="eastAsia" w:ascii="Times New Roman" w:hAnsi="Times New Roman" w:eastAsia="宋体" w:cs="Times New Roman"/>
                <w:kern w:val="2"/>
                <w:sz w:val="24"/>
                <w:lang w:eastAsia="zh-CN"/>
              </w:rPr>
              <w:t>东南</w:t>
            </w:r>
            <w:r>
              <w:rPr>
                <w:rFonts w:hint="eastAsia" w:ascii="Times New Roman" w:hAnsi="Times New Roman" w:eastAsia="宋体" w:cs="Times New Roman"/>
                <w:kern w:val="2"/>
                <w:sz w:val="24"/>
              </w:rPr>
              <w:t>侧</w:t>
            </w:r>
            <w:r>
              <w:rPr>
                <w:rFonts w:hint="eastAsia" w:ascii="Times New Roman" w:hAnsi="Times New Roman" w:eastAsia="宋体" w:cs="Times New Roman"/>
                <w:kern w:val="2"/>
                <w:sz w:val="24"/>
                <w:lang w:val="en-US" w:eastAsia="zh-CN"/>
              </w:rPr>
              <w:t>2</w:t>
            </w:r>
            <w:r>
              <w:rPr>
                <w:rFonts w:hint="eastAsia" w:ascii="Times New Roman" w:hAnsi="Times New Roman" w:eastAsia="宋体" w:cs="Times New Roman"/>
                <w:kern w:val="2"/>
                <w:sz w:val="24"/>
              </w:rPr>
              <w:t>km</w:t>
            </w:r>
            <w:r>
              <w:rPr>
                <w:rFonts w:hint="eastAsia" w:ascii="Times New Roman" w:hAnsi="Times New Roman" w:eastAsia="宋体" w:cs="Times New Roman"/>
                <w:kern w:val="2"/>
                <w:sz w:val="24"/>
                <w:szCs w:val="24"/>
                <w:lang w:val="en-US" w:eastAsia="zh-CN" w:bidi="ar-SA"/>
              </w:rPr>
              <w:t>，为一套桔红、桔黄色粘质砂土、粘土（泥岩）夹灰白色长石石英砂岩、砂砾岩透镜体，向上粘质砂土、粘土（泥岩）渐增，偶夹浅灰色泥灰岩，厚度变化大，可从百米到上千米。多被风积砂、冲洪积粘砂土、砂砾石层覆盖。</w:t>
            </w:r>
          </w:p>
          <w:p>
            <w:pPr>
              <w:adjustRightInd w:val="0"/>
              <w:spacing w:line="360" w:lineRule="auto"/>
              <w:ind w:firstLine="480"/>
              <w:rPr>
                <w:rFonts w:hint="eastAsia"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4、气候、气象</w:t>
            </w:r>
          </w:p>
          <w:p>
            <w:pPr>
              <w:spacing w:line="360" w:lineRule="auto"/>
              <w:ind w:firstLine="480" w:firstLineChars="200"/>
              <w:rPr>
                <w:sz w:val="24"/>
                <w:szCs w:val="24"/>
              </w:rPr>
            </w:pPr>
            <w:r>
              <w:rPr>
                <w:sz w:val="24"/>
                <w:szCs w:val="24"/>
              </w:rPr>
              <w:t>项目区具有明显的大陆性气候特征，属中温带干旱气候区。其特点可概括为：光照充足、干旱少雨、蒸发强烈、冬寒长、夏热短，昼夜温差大，光能资源丰富，大风、沙暴、干旱、霜冻等灾害性天气较多。根据《红寺堡开发区志》，该区域1991~2011年气象数据如下：</w:t>
            </w:r>
          </w:p>
          <w:p>
            <w:pPr>
              <w:spacing w:line="360" w:lineRule="auto"/>
              <w:ind w:firstLine="480" w:firstLineChars="200"/>
              <w:rPr>
                <w:sz w:val="24"/>
                <w:szCs w:val="24"/>
              </w:rPr>
            </w:pPr>
            <w:r>
              <w:rPr>
                <w:sz w:val="24"/>
                <w:szCs w:val="24"/>
              </w:rPr>
              <w:t>年平均气温         3.5℃             极端最低气温        -27.1℃</w:t>
            </w:r>
          </w:p>
          <w:p>
            <w:pPr>
              <w:spacing w:line="360" w:lineRule="auto"/>
              <w:ind w:firstLine="480" w:firstLineChars="200"/>
              <w:rPr>
                <w:sz w:val="24"/>
                <w:szCs w:val="24"/>
              </w:rPr>
            </w:pPr>
            <w:r>
              <w:rPr>
                <w:sz w:val="24"/>
                <w:szCs w:val="24"/>
              </w:rPr>
              <w:t>极端最高气温       37.9℃            年平均地温          11.3℃</w:t>
            </w:r>
          </w:p>
          <w:p>
            <w:pPr>
              <w:spacing w:line="360" w:lineRule="auto"/>
              <w:ind w:firstLine="480" w:firstLineChars="200"/>
              <w:rPr>
                <w:sz w:val="24"/>
                <w:szCs w:val="24"/>
              </w:rPr>
            </w:pPr>
            <w:r>
              <w:rPr>
                <w:sz w:val="24"/>
                <w:szCs w:val="24"/>
              </w:rPr>
              <w:t xml:space="preserve">平均无霜期       140～170d         </w:t>
            </w:r>
            <w:r>
              <w:rPr>
                <w:rFonts w:hint="eastAsia"/>
                <w:sz w:val="24"/>
                <w:szCs w:val="24"/>
                <w:lang w:val="en-US" w:eastAsia="zh-CN"/>
              </w:rPr>
              <w:t xml:space="preserve"> </w:t>
            </w:r>
            <w:r>
              <w:rPr>
                <w:sz w:val="24"/>
                <w:szCs w:val="24"/>
              </w:rPr>
              <w:t>年太阳总辐射        148.9kcal/m</w:t>
            </w:r>
            <w:r>
              <w:rPr>
                <w:sz w:val="24"/>
                <w:szCs w:val="24"/>
                <w:vertAlign w:val="superscript"/>
              </w:rPr>
              <w:t>2</w:t>
            </w:r>
          </w:p>
          <w:p>
            <w:pPr>
              <w:spacing w:line="360" w:lineRule="auto"/>
              <w:ind w:firstLine="480" w:firstLineChars="200"/>
              <w:rPr>
                <w:sz w:val="24"/>
                <w:szCs w:val="24"/>
              </w:rPr>
            </w:pPr>
            <w:r>
              <w:rPr>
                <w:sz w:val="24"/>
                <w:szCs w:val="24"/>
              </w:rPr>
              <w:t>年日照时数        3036.4h            主导风向           西北风</w:t>
            </w:r>
          </w:p>
          <w:p>
            <w:pPr>
              <w:spacing w:line="360" w:lineRule="auto"/>
              <w:ind w:firstLine="480" w:firstLineChars="200"/>
              <w:rPr>
                <w:sz w:val="24"/>
                <w:szCs w:val="24"/>
              </w:rPr>
            </w:pPr>
            <w:r>
              <w:rPr>
                <w:sz w:val="24"/>
                <w:szCs w:val="24"/>
              </w:rPr>
              <w:t>平均大风天数        55d              最大风速            21m/s</w:t>
            </w:r>
          </w:p>
          <w:p>
            <w:pPr>
              <w:spacing w:line="360" w:lineRule="auto"/>
              <w:ind w:firstLine="480" w:firstLineChars="200"/>
              <w:rPr>
                <w:sz w:val="24"/>
                <w:szCs w:val="24"/>
              </w:rPr>
            </w:pPr>
            <w:r>
              <w:rPr>
                <w:sz w:val="24"/>
                <w:szCs w:val="24"/>
              </w:rPr>
              <w:t>年平均空气相对湿度  52%             年均降水量          277mm</w:t>
            </w:r>
          </w:p>
          <w:p>
            <w:pPr>
              <w:adjustRightInd w:val="0"/>
              <w:snapToGrid w:val="0"/>
              <w:spacing w:line="360" w:lineRule="auto"/>
              <w:ind w:firstLine="480" w:firstLineChars="200"/>
              <w:rPr>
                <w:rFonts w:hint="default"/>
                <w:sz w:val="24"/>
                <w:szCs w:val="24"/>
                <w:lang w:eastAsia="zh-CN"/>
              </w:rPr>
            </w:pPr>
            <w:r>
              <w:rPr>
                <w:sz w:val="24"/>
                <w:szCs w:val="24"/>
              </w:rPr>
              <w:t>年均蒸发量        2050mm            干燥度               3.5</w:t>
            </w:r>
          </w:p>
          <w:p>
            <w:pPr>
              <w:adjustRightInd w:val="0"/>
              <w:spacing w:line="360" w:lineRule="auto"/>
              <w:ind w:firstLine="480"/>
              <w:rPr>
                <w:rFonts w:hint="default"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4、水文资源</w:t>
            </w:r>
          </w:p>
          <w:p>
            <w:pPr>
              <w:autoSpaceDE w:val="0"/>
              <w:autoSpaceDN w:val="0"/>
              <w:adjustRightInd w:val="0"/>
              <w:spacing w:line="360" w:lineRule="auto"/>
              <w:ind w:firstLine="480" w:firstLineChars="200"/>
              <w:jc w:val="left"/>
              <w:rPr>
                <w:rFonts w:hint="default"/>
                <w:sz w:val="24"/>
                <w:szCs w:val="24"/>
                <w:lang w:val="en-US" w:eastAsia="zh-CN"/>
              </w:rPr>
            </w:pPr>
            <w:r>
              <w:rPr>
                <w:rFonts w:hint="default"/>
                <w:sz w:val="24"/>
                <w:szCs w:val="24"/>
                <w:lang w:eastAsia="zh-CN"/>
              </w:rPr>
              <w:t>⑴</w:t>
            </w:r>
            <w:r>
              <w:rPr>
                <w:rFonts w:hint="default"/>
                <w:sz w:val="24"/>
                <w:szCs w:val="24"/>
                <w:lang w:val="en-US" w:eastAsia="zh-CN"/>
              </w:rPr>
              <w:t>地表水</w:t>
            </w:r>
          </w:p>
          <w:p>
            <w:pPr>
              <w:autoSpaceDE w:val="0"/>
              <w:autoSpaceDN w:val="0"/>
              <w:adjustRightInd w:val="0"/>
              <w:spacing w:line="360" w:lineRule="auto"/>
              <w:ind w:firstLine="480" w:firstLineChars="200"/>
              <w:jc w:val="left"/>
              <w:rPr>
                <w:rFonts w:hint="eastAsia"/>
                <w:sz w:val="24"/>
                <w:szCs w:val="24"/>
                <w:lang w:val="en-US" w:eastAsia="zh-CN"/>
              </w:rPr>
            </w:pPr>
            <w:r>
              <w:rPr>
                <w:rFonts w:hint="eastAsia"/>
                <w:sz w:val="24"/>
                <w:szCs w:val="24"/>
                <w:lang w:val="en-US" w:eastAsia="zh-CN"/>
              </w:rPr>
              <w:t>红寺堡的地表水体主要有降水形成的山洪和某些较深沟道由地下水出露形成的沟水。灌区开发后引起的黄河水是后期进入灌区的地表水。山洪是瞬间即过的地表水，现尚无观测资料。沟水和黄河水自1999年以来进行了定位监测。</w:t>
            </w:r>
          </w:p>
          <w:p>
            <w:pPr>
              <w:autoSpaceDE w:val="0"/>
              <w:autoSpaceDN w:val="0"/>
              <w:adjustRightInd w:val="0"/>
              <w:spacing w:line="360" w:lineRule="auto"/>
              <w:ind w:firstLine="480" w:firstLineChars="200"/>
              <w:jc w:val="left"/>
              <w:rPr>
                <w:rFonts w:hint="eastAsia"/>
                <w:sz w:val="24"/>
                <w:szCs w:val="24"/>
                <w:lang w:val="en-US" w:eastAsia="zh-CN"/>
              </w:rPr>
            </w:pPr>
            <w:r>
              <w:rPr>
                <w:rFonts w:hint="eastAsia"/>
                <w:sz w:val="24"/>
                <w:szCs w:val="24"/>
                <w:lang w:val="en-US" w:eastAsia="zh-CN"/>
              </w:rPr>
              <w:t>①沟水</w:t>
            </w:r>
          </w:p>
          <w:p>
            <w:pPr>
              <w:autoSpaceDE w:val="0"/>
              <w:autoSpaceDN w:val="0"/>
              <w:adjustRightInd w:val="0"/>
              <w:spacing w:line="360" w:lineRule="auto"/>
              <w:ind w:firstLine="480" w:firstLineChars="200"/>
              <w:jc w:val="left"/>
              <w:rPr>
                <w:rFonts w:hint="default"/>
                <w:sz w:val="24"/>
                <w:szCs w:val="24"/>
                <w:lang w:val="en-US" w:eastAsia="zh-CN"/>
              </w:rPr>
            </w:pPr>
            <w:r>
              <w:rPr>
                <w:rFonts w:hint="eastAsia"/>
                <w:sz w:val="24"/>
                <w:szCs w:val="24"/>
                <w:lang w:val="en-US" w:eastAsia="zh-CN"/>
              </w:rPr>
              <w:t>主要有红柳沟、甜水河及苦水河均为山洪形成的沟道，平时有流水。酸碱度（pH值）、全盐含量、氟化物含量都偏高，既不能饮用，也不可做灌溉，但其沟系发育完整、稳定，可为灌区排水提供有利条件。</w:t>
            </w:r>
          </w:p>
          <w:p>
            <w:pPr>
              <w:autoSpaceDE w:val="0"/>
              <w:autoSpaceDN w:val="0"/>
              <w:adjustRightInd w:val="0"/>
              <w:spacing w:line="360" w:lineRule="auto"/>
              <w:ind w:firstLine="480" w:firstLineChars="200"/>
              <w:jc w:val="left"/>
              <w:rPr>
                <w:rFonts w:hint="default"/>
                <w:sz w:val="24"/>
                <w:szCs w:val="24"/>
                <w:lang w:val="en-US" w:eastAsia="zh-CN"/>
              </w:rPr>
            </w:pPr>
            <w:r>
              <w:rPr>
                <w:rFonts w:hint="eastAsia"/>
                <w:sz w:val="24"/>
                <w:szCs w:val="24"/>
                <w:lang w:val="en-US" w:eastAsia="zh-CN"/>
              </w:rPr>
              <w:t>②渠道（黄河）水：按照批准的初步设计，红寺堡灌区从黄河饮水25m</w:t>
            </w:r>
            <w:r>
              <w:rPr>
                <w:rFonts w:hint="eastAsia"/>
                <w:sz w:val="24"/>
                <w:szCs w:val="24"/>
                <w:vertAlign w:val="superscript"/>
                <w:lang w:val="en-US" w:eastAsia="zh-CN"/>
              </w:rPr>
              <w:t>3</w:t>
            </w:r>
            <w:r>
              <w:rPr>
                <w:rFonts w:hint="eastAsia"/>
                <w:sz w:val="24"/>
                <w:szCs w:val="24"/>
                <w:lang w:val="en-US" w:eastAsia="zh-CN"/>
              </w:rPr>
              <w:t>/s。年饮水量约为3亿m</w:t>
            </w:r>
            <w:r>
              <w:rPr>
                <w:rFonts w:hint="eastAsia"/>
                <w:sz w:val="24"/>
                <w:szCs w:val="24"/>
                <w:vertAlign w:val="superscript"/>
                <w:lang w:val="en-US" w:eastAsia="zh-CN"/>
              </w:rPr>
              <w:t>3</w:t>
            </w:r>
            <w:r>
              <w:rPr>
                <w:rFonts w:hint="eastAsia"/>
                <w:sz w:val="24"/>
                <w:szCs w:val="24"/>
                <w:lang w:val="en-US" w:eastAsia="zh-CN"/>
              </w:rPr>
              <w:t>。干渠水的pH值为8.3，全盐含量为0.37g/L，适宜灌溉。但其非离子氨超标，用窖储方式使非离子氨降解后可以饮用。渠道水主要是引黄河水，用于灌溉，属于季节性渠水。</w:t>
            </w:r>
          </w:p>
          <w:p>
            <w:pPr>
              <w:autoSpaceDE w:val="0"/>
              <w:autoSpaceDN w:val="0"/>
              <w:adjustRightInd w:val="0"/>
              <w:spacing w:line="360" w:lineRule="auto"/>
              <w:ind w:firstLine="480" w:firstLineChars="200"/>
              <w:rPr>
                <w:kern w:val="0"/>
                <w:sz w:val="24"/>
              </w:rPr>
            </w:pPr>
            <w:r>
              <w:rPr>
                <w:rFonts w:hint="eastAsia"/>
                <w:kern w:val="0"/>
                <w:sz w:val="24"/>
              </w:rPr>
              <w:t>⑵地下水</w:t>
            </w:r>
          </w:p>
          <w:p>
            <w:pPr>
              <w:autoSpaceDE w:val="0"/>
              <w:autoSpaceDN w:val="0"/>
              <w:adjustRightInd w:val="0"/>
              <w:spacing w:line="360" w:lineRule="auto"/>
              <w:ind w:firstLine="480" w:firstLineChars="200"/>
              <w:rPr>
                <w:kern w:val="0"/>
                <w:sz w:val="24"/>
              </w:rPr>
            </w:pPr>
            <w:r>
              <w:rPr>
                <w:rFonts w:hint="eastAsia"/>
                <w:kern w:val="0"/>
                <w:sz w:val="24"/>
              </w:rPr>
              <w:t>根据区域的地形地貌和地层岩性，划分为松散层第四纪孔隙水以及基岩裂隙水和孔隙水含水层</w:t>
            </w:r>
          </w:p>
          <w:p>
            <w:pPr>
              <w:autoSpaceDE w:val="0"/>
              <w:autoSpaceDN w:val="0"/>
              <w:adjustRightInd w:val="0"/>
              <w:spacing w:line="360" w:lineRule="auto"/>
              <w:ind w:firstLine="480" w:firstLineChars="200"/>
              <w:rPr>
                <w:kern w:val="0"/>
                <w:sz w:val="24"/>
              </w:rPr>
            </w:pPr>
            <w:r>
              <w:rPr>
                <w:rFonts w:hint="eastAsia"/>
                <w:kern w:val="0"/>
                <w:sz w:val="24"/>
              </w:rPr>
              <w:t>①松散层第四纪孔隙水</w:t>
            </w:r>
          </w:p>
          <w:p>
            <w:pPr>
              <w:autoSpaceDE w:val="0"/>
              <w:autoSpaceDN w:val="0"/>
              <w:adjustRightInd w:val="0"/>
              <w:spacing w:line="360" w:lineRule="auto"/>
              <w:ind w:firstLine="480" w:firstLineChars="200"/>
              <w:rPr>
                <w:kern w:val="0"/>
                <w:sz w:val="24"/>
              </w:rPr>
            </w:pPr>
            <w:r>
              <w:rPr>
                <w:rFonts w:hint="eastAsia"/>
                <w:kern w:val="0"/>
                <w:sz w:val="24"/>
              </w:rPr>
              <w:t>a</w:t>
            </w:r>
            <w:r>
              <w:rPr>
                <w:kern w:val="0"/>
                <w:sz w:val="24"/>
              </w:rPr>
              <w:t>.</w:t>
            </w:r>
            <w:r>
              <w:rPr>
                <w:rFonts w:hint="eastAsia"/>
                <w:kern w:val="0"/>
                <w:sz w:val="24"/>
              </w:rPr>
              <w:t>烟筒山洪积扇区</w:t>
            </w:r>
          </w:p>
          <w:p>
            <w:pPr>
              <w:autoSpaceDE w:val="0"/>
              <w:autoSpaceDN w:val="0"/>
              <w:adjustRightInd w:val="0"/>
              <w:spacing w:line="360" w:lineRule="auto"/>
              <w:ind w:firstLine="480" w:firstLineChars="200"/>
              <w:rPr>
                <w:kern w:val="0"/>
                <w:sz w:val="24"/>
              </w:rPr>
            </w:pPr>
            <w:r>
              <w:rPr>
                <w:rFonts w:hint="eastAsia"/>
                <w:kern w:val="0"/>
                <w:sz w:val="24"/>
              </w:rPr>
              <w:t>分布于烟筒山北及东北麓的洪积扇上，区域地下水埋深扇顶40m，扇底20~30m，含水层主要为萨拉乌苏组中的碎石、角砾、及砂土层和分布于山洪沟当中的碎石、角砾、砂土层。山洪沟地下水位埋深2.0~4.6m，含水层厚度0.64~2.86m，出水量7~13m</w:t>
            </w:r>
            <w:r>
              <w:rPr>
                <w:rFonts w:hint="eastAsia"/>
                <w:kern w:val="0"/>
                <w:sz w:val="24"/>
                <w:vertAlign w:val="superscript"/>
              </w:rPr>
              <w:t>3</w:t>
            </w:r>
            <w:r>
              <w:rPr>
                <w:rFonts w:hint="eastAsia"/>
                <w:kern w:val="0"/>
                <w:sz w:val="24"/>
              </w:rPr>
              <w:t>/d。靠近山前部分(沟上游)矿化度0.09~0.63g/L，靠近扇底(沟下游)水质变坏，矿化度1.43~5.50g/L，此区涌水量很小，无开采价值。</w:t>
            </w:r>
          </w:p>
          <w:p>
            <w:pPr>
              <w:autoSpaceDE w:val="0"/>
              <w:autoSpaceDN w:val="0"/>
              <w:adjustRightInd w:val="0"/>
              <w:spacing w:line="360" w:lineRule="auto"/>
              <w:ind w:firstLine="480" w:firstLineChars="200"/>
              <w:rPr>
                <w:kern w:val="0"/>
                <w:sz w:val="24"/>
              </w:rPr>
            </w:pPr>
            <w:r>
              <w:rPr>
                <w:rFonts w:hint="eastAsia"/>
                <w:kern w:val="0"/>
                <w:sz w:val="24"/>
              </w:rPr>
              <w:t>b</w:t>
            </w:r>
            <w:r>
              <w:rPr>
                <w:kern w:val="0"/>
                <w:sz w:val="24"/>
              </w:rPr>
              <w:t>.</w:t>
            </w:r>
            <w:r>
              <w:rPr>
                <w:rFonts w:hint="eastAsia"/>
                <w:kern w:val="0"/>
                <w:sz w:val="24"/>
              </w:rPr>
              <w:t>红寺堡盆地</w:t>
            </w:r>
          </w:p>
          <w:p>
            <w:pPr>
              <w:autoSpaceDE w:val="0"/>
              <w:autoSpaceDN w:val="0"/>
              <w:adjustRightInd w:val="0"/>
              <w:spacing w:line="360" w:lineRule="auto"/>
              <w:ind w:firstLine="480" w:firstLineChars="200"/>
              <w:rPr>
                <w:kern w:val="0"/>
                <w:sz w:val="24"/>
              </w:rPr>
            </w:pPr>
            <w:r>
              <w:rPr>
                <w:rFonts w:hint="eastAsia"/>
                <w:kern w:val="0"/>
                <w:sz w:val="24"/>
              </w:rPr>
              <w:t>潜水埋深10~15m，局部埋深1.7~2.8m，潜水含水层主要为盆地地下部的砾石层及砂壤土层。该区地下水主要靠罗山、烟筒山基岩裂隙水、山前洪积扇潜水及大气降水补给，地下潜水以水平排泄为主。</w:t>
            </w:r>
          </w:p>
          <w:p>
            <w:pPr>
              <w:autoSpaceDE w:val="0"/>
              <w:autoSpaceDN w:val="0"/>
              <w:adjustRightInd w:val="0"/>
              <w:spacing w:line="360" w:lineRule="auto"/>
              <w:ind w:firstLine="480" w:firstLineChars="200"/>
              <w:rPr>
                <w:kern w:val="0"/>
                <w:sz w:val="24"/>
              </w:rPr>
            </w:pPr>
            <w:r>
              <w:rPr>
                <w:rFonts w:hint="eastAsia"/>
                <w:kern w:val="0"/>
                <w:sz w:val="24"/>
              </w:rPr>
              <w:t>c</w:t>
            </w:r>
            <w:r>
              <w:rPr>
                <w:kern w:val="0"/>
                <w:sz w:val="24"/>
              </w:rPr>
              <w:t>.</w:t>
            </w:r>
            <w:r>
              <w:rPr>
                <w:rFonts w:hint="eastAsia"/>
                <w:kern w:val="0"/>
                <w:sz w:val="24"/>
              </w:rPr>
              <w:t>大罗山洪积扇区</w:t>
            </w:r>
          </w:p>
          <w:p>
            <w:pPr>
              <w:autoSpaceDE w:val="0"/>
              <w:autoSpaceDN w:val="0"/>
              <w:adjustRightInd w:val="0"/>
              <w:spacing w:line="360" w:lineRule="auto"/>
              <w:ind w:firstLine="480" w:firstLineChars="200"/>
              <w:rPr>
                <w:kern w:val="0"/>
                <w:sz w:val="24"/>
              </w:rPr>
            </w:pPr>
            <w:r>
              <w:rPr>
                <w:rFonts w:hint="eastAsia"/>
                <w:kern w:val="0"/>
                <w:sz w:val="24"/>
              </w:rPr>
              <w:t>主要分布于大罗山西、北、东三个方向的洪积扇上，此区地下水主要靠大罗山基岩裂隙水及大气降雨补给，水位埋深西部9~15m，北部上部9~15m，东部一般大于15m。东、西部洪积扇含水层透水性较弱，北部洪积扇为强富水区，含水层厚度10~40m，地下水埋深小于20m，单井出水量50~100m</w:t>
            </w:r>
            <w:r>
              <w:rPr>
                <w:rFonts w:hint="eastAsia"/>
                <w:kern w:val="0"/>
                <w:sz w:val="24"/>
                <w:vertAlign w:val="superscript"/>
              </w:rPr>
              <w:t>3</w:t>
            </w:r>
            <w:r>
              <w:rPr>
                <w:rFonts w:hint="eastAsia"/>
                <w:kern w:val="0"/>
                <w:sz w:val="24"/>
              </w:rPr>
              <w:t>/d，矿化度0.8~4.0g/L。</w:t>
            </w:r>
          </w:p>
          <w:p>
            <w:pPr>
              <w:autoSpaceDE w:val="0"/>
              <w:autoSpaceDN w:val="0"/>
              <w:adjustRightInd w:val="0"/>
              <w:spacing w:line="360" w:lineRule="auto"/>
              <w:ind w:firstLine="480" w:firstLineChars="200"/>
              <w:rPr>
                <w:kern w:val="0"/>
                <w:sz w:val="24"/>
              </w:rPr>
            </w:pPr>
            <w:r>
              <w:rPr>
                <w:rFonts w:hint="eastAsia"/>
                <w:kern w:val="0"/>
                <w:sz w:val="24"/>
              </w:rPr>
              <w:t>②基岩裂隙水和孔隙水含水层</w:t>
            </w:r>
          </w:p>
          <w:p>
            <w:pPr>
              <w:autoSpaceDE w:val="0"/>
              <w:autoSpaceDN w:val="0"/>
              <w:adjustRightInd w:val="0"/>
              <w:spacing w:line="360" w:lineRule="auto"/>
              <w:ind w:firstLine="480" w:firstLineChars="200"/>
              <w:rPr>
                <w:kern w:val="0"/>
                <w:sz w:val="24"/>
              </w:rPr>
            </w:pPr>
            <w:r>
              <w:rPr>
                <w:rFonts w:hint="eastAsia"/>
                <w:kern w:val="0"/>
                <w:sz w:val="24"/>
              </w:rPr>
              <w:t>主要分布在滚泉红岩丘陵区，含水层以泥质岩类为主，砂岩、砾岩分布较少，含水层含水较弱，水质不佳，含水层厚度10~40m，出水量20~60m</w:t>
            </w:r>
            <w:r>
              <w:rPr>
                <w:rFonts w:hint="eastAsia"/>
                <w:kern w:val="0"/>
                <w:sz w:val="24"/>
                <w:vertAlign w:val="superscript"/>
              </w:rPr>
              <w:t>3</w:t>
            </w:r>
            <w:r>
              <w:rPr>
                <w:rFonts w:hint="eastAsia"/>
                <w:kern w:val="0"/>
                <w:sz w:val="24"/>
              </w:rPr>
              <w:t>/d，矿化度3~13g/L，水质较差，无开采利用价值。</w:t>
            </w:r>
          </w:p>
          <w:p>
            <w:pPr>
              <w:adjustRightInd w:val="0"/>
              <w:spacing w:line="360" w:lineRule="auto"/>
              <w:ind w:firstLine="480"/>
              <w:rPr>
                <w:rFonts w:hint="default"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5、土壤与植被</w:t>
            </w:r>
          </w:p>
          <w:p>
            <w:pPr>
              <w:autoSpaceDE w:val="0"/>
              <w:autoSpaceDN w:val="0"/>
              <w:adjustRightInd w:val="0"/>
              <w:spacing w:line="360" w:lineRule="auto"/>
              <w:ind w:firstLine="480" w:firstLineChars="200"/>
              <w:jc w:val="left"/>
              <w:rPr>
                <w:rFonts w:hint="default"/>
                <w:sz w:val="24"/>
                <w:szCs w:val="24"/>
              </w:rPr>
            </w:pPr>
            <w:r>
              <w:rPr>
                <w:rFonts w:hint="default"/>
                <w:sz w:val="24"/>
                <w:szCs w:val="24"/>
              </w:rPr>
              <w:t>红寺堡区土层深厚，由灰钙土、新积土、风沙土和盐土4个类型组成，以灰钙土为主，面积103.65万亩，占土壤总面积82%；其次是风沙土，面积14.18 万亩，占11.3%；新积土面积7.88万亩，占6.2%；盐土面积较小，仅占0.5%。土壤养分状况是低氮、贫磷、富钾、有机质缺乏，多数小于10g/kg，平均为6g/kg。从土壤结构来看，土壤团粒结构较少，质地差，大部分为易遭风蚀，结构松散的中沙土和粗沙土。从土壤剖面来看，表土层较薄，有机质含量少，据资料，在15~30cm的表土层中，有机质含量仅为0.6%，土壤容重1.27t/m</w:t>
            </w:r>
            <w:r>
              <w:rPr>
                <w:rFonts w:hint="default"/>
                <w:sz w:val="24"/>
                <w:szCs w:val="24"/>
                <w:vertAlign w:val="superscript"/>
              </w:rPr>
              <w:t>3</w:t>
            </w:r>
            <w:r>
              <w:rPr>
                <w:rFonts w:hint="default"/>
                <w:sz w:val="24"/>
                <w:szCs w:val="24"/>
              </w:rPr>
              <w:t>。</w:t>
            </w:r>
          </w:p>
          <w:p>
            <w:pPr>
              <w:adjustRightInd w:val="0"/>
              <w:spacing w:line="360" w:lineRule="auto"/>
              <w:ind w:firstLine="480"/>
              <w:rPr>
                <w:rFonts w:hint="eastAsia"/>
                <w:sz w:val="24"/>
                <w:szCs w:val="24"/>
                <w:lang w:val="en-US" w:eastAsia="zh-CN"/>
              </w:rPr>
            </w:pPr>
            <w:r>
              <w:rPr>
                <w:sz w:val="24"/>
                <w:szCs w:val="24"/>
              </w:rPr>
              <w:t>红寺堡区植被类型为荒漠草原植被，主要有针茅、红砂、骆驼蓬、蒿属等，伴有锦鸡儿、芨芨草、虎尾草及冰草等，天然植被覆盖率40%左右，生物种类较少，项目区内无国家保护的</w:t>
            </w:r>
            <w:r>
              <w:rPr>
                <w:rFonts w:hint="eastAsia"/>
                <w:sz w:val="24"/>
                <w:szCs w:val="24"/>
                <w:lang w:val="en-US" w:eastAsia="zh-CN"/>
              </w:rPr>
              <w:t>珍稀濒危生物物种。</w:t>
            </w:r>
          </w:p>
          <w:p>
            <w:pPr>
              <w:adjustRightInd w:val="0"/>
              <w:spacing w:line="360" w:lineRule="auto"/>
              <w:ind w:firstLine="480"/>
              <w:rPr>
                <w:rFonts w:hint="default"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6、地震</w:t>
            </w:r>
          </w:p>
          <w:p>
            <w:pPr>
              <w:autoSpaceDE w:val="0"/>
              <w:autoSpaceDN w:val="0"/>
              <w:adjustRightInd w:val="0"/>
              <w:spacing w:line="360" w:lineRule="auto"/>
              <w:ind w:firstLine="480" w:firstLineChars="200"/>
              <w:jc w:val="left"/>
              <w:rPr>
                <w:rFonts w:hint="eastAsia" w:eastAsia="宋体"/>
                <w:sz w:val="24"/>
                <w:szCs w:val="24"/>
                <w:lang w:eastAsia="zh-CN"/>
              </w:rPr>
            </w:pPr>
            <w:r>
              <w:rPr>
                <w:sz w:val="24"/>
                <w:szCs w:val="24"/>
              </w:rPr>
              <w:t>根据国家地震局颁发的《中国地震动反应谱特征周期区划图》（GB18306-2015B1）及《中国地震动峰值加速度区划图》（GB18306-2015A1），本项目所处地区地震烈度为Ⅷ度，地震动峰值加速度在0.3g，地震动反应谱特征周期0.35s</w:t>
            </w:r>
            <w:r>
              <w:rPr>
                <w:rFonts w:hint="eastAsia"/>
                <w:sz w:val="24"/>
                <w:szCs w:val="24"/>
                <w:lang w:eastAsia="zh-CN"/>
              </w:rPr>
              <w:t>。</w:t>
            </w:r>
          </w:p>
          <w:p>
            <w:pPr>
              <w:autoSpaceDE w:val="0"/>
              <w:autoSpaceDN w:val="0"/>
              <w:adjustRightInd w:val="0"/>
              <w:spacing w:line="360" w:lineRule="auto"/>
              <w:ind w:firstLine="480" w:firstLineChars="200"/>
              <w:jc w:val="left"/>
              <w:rPr>
                <w:sz w:val="24"/>
                <w:szCs w:val="24"/>
              </w:rPr>
            </w:pPr>
          </w:p>
          <w:p>
            <w:pPr>
              <w:autoSpaceDE w:val="0"/>
              <w:autoSpaceDN w:val="0"/>
              <w:adjustRightInd w:val="0"/>
              <w:spacing w:line="360" w:lineRule="auto"/>
              <w:ind w:firstLine="480" w:firstLineChars="200"/>
              <w:jc w:val="left"/>
              <w:rPr>
                <w:sz w:val="24"/>
                <w:szCs w:val="24"/>
              </w:rPr>
            </w:pPr>
          </w:p>
          <w:p>
            <w:pPr>
              <w:autoSpaceDE w:val="0"/>
              <w:autoSpaceDN w:val="0"/>
              <w:adjustRightInd w:val="0"/>
              <w:spacing w:line="360" w:lineRule="auto"/>
              <w:ind w:firstLine="480" w:firstLineChars="200"/>
              <w:jc w:val="left"/>
              <w:rPr>
                <w:sz w:val="24"/>
                <w:szCs w:val="24"/>
              </w:rPr>
            </w:pPr>
          </w:p>
          <w:p>
            <w:pPr>
              <w:autoSpaceDE w:val="0"/>
              <w:autoSpaceDN w:val="0"/>
              <w:adjustRightInd w:val="0"/>
              <w:spacing w:line="360" w:lineRule="auto"/>
              <w:ind w:firstLine="480" w:firstLineChars="200"/>
              <w:jc w:val="left"/>
              <w:rPr>
                <w:sz w:val="24"/>
                <w:szCs w:val="24"/>
              </w:rPr>
            </w:pPr>
          </w:p>
          <w:p>
            <w:pPr>
              <w:autoSpaceDE w:val="0"/>
              <w:autoSpaceDN w:val="0"/>
              <w:adjustRightInd w:val="0"/>
              <w:spacing w:line="360" w:lineRule="auto"/>
              <w:ind w:firstLine="480" w:firstLineChars="200"/>
              <w:jc w:val="left"/>
              <w:rPr>
                <w:sz w:val="24"/>
                <w:szCs w:val="24"/>
              </w:rPr>
            </w:pPr>
          </w:p>
          <w:p>
            <w:pPr>
              <w:autoSpaceDE w:val="0"/>
              <w:autoSpaceDN w:val="0"/>
              <w:adjustRightInd w:val="0"/>
              <w:spacing w:line="360" w:lineRule="auto"/>
              <w:ind w:firstLine="0" w:firstLineChars="0"/>
              <w:jc w:val="left"/>
              <w:rPr>
                <w:rFonts w:hint="eastAsia"/>
                <w:sz w:val="24"/>
                <w:szCs w:val="24"/>
                <w:lang w:eastAsia="zh-CN"/>
              </w:rPr>
            </w:pPr>
          </w:p>
          <w:p>
            <w:pPr>
              <w:autoSpaceDE w:val="0"/>
              <w:autoSpaceDN w:val="0"/>
              <w:adjustRightInd w:val="0"/>
              <w:spacing w:line="360" w:lineRule="auto"/>
              <w:ind w:firstLine="0" w:firstLineChars="0"/>
              <w:jc w:val="left"/>
              <w:rPr>
                <w:rFonts w:hint="eastAsia"/>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rPr>
                <w:rFonts w:hint="eastAsia"/>
                <w:color w:val="auto"/>
                <w:sz w:val="24"/>
                <w:szCs w:val="24"/>
                <w:lang w:eastAsia="zh-CN"/>
              </w:rPr>
            </w:pPr>
          </w:p>
          <w:p>
            <w:pPr>
              <w:pStyle w:val="2"/>
              <w:ind w:left="0" w:leftChars="0" w:firstLine="0" w:firstLineChars="0"/>
              <w:rPr>
                <w:rFonts w:hint="eastAsia"/>
                <w:color w:val="auto"/>
                <w:sz w:val="24"/>
                <w:szCs w:val="24"/>
                <w:lang w:eastAsia="zh-CN"/>
              </w:rPr>
            </w:pPr>
          </w:p>
          <w:p>
            <w:pPr>
              <w:pStyle w:val="2"/>
              <w:ind w:left="0" w:leftChars="0" w:firstLine="0" w:firstLineChars="0"/>
              <w:rPr>
                <w:rFonts w:hint="eastAsia"/>
                <w:color w:val="auto"/>
                <w:sz w:val="24"/>
                <w:szCs w:val="24"/>
                <w:lang w:val="en-US" w:eastAsia="zh-CN"/>
              </w:rPr>
            </w:pPr>
          </w:p>
        </w:tc>
      </w:tr>
    </w:tbl>
    <w:p>
      <w:pPr>
        <w:pStyle w:val="15"/>
        <w:spacing w:line="240" w:lineRule="auto"/>
        <w:jc w:val="both"/>
        <w:outlineLvl w:val="0"/>
        <w:rPr>
          <w:rFonts w:ascii="黑体" w:hAnsi="黑体" w:eastAsia="黑体"/>
          <w:sz w:val="30"/>
          <w:szCs w:val="30"/>
        </w:rPr>
      </w:pPr>
      <w:r>
        <w:rPr>
          <w:rFonts w:hint="eastAsia" w:ascii="Times New Roman" w:hAnsi="Times New Roman" w:eastAsia="宋体" w:cs="Times New Roman"/>
          <w:b/>
          <w:bCs/>
          <w:sz w:val="32"/>
          <w:szCs w:val="32"/>
          <w:lang w:eastAsia="zh-CN"/>
        </w:rPr>
        <w:t>三、</w:t>
      </w:r>
      <w:r>
        <w:rPr>
          <w:rFonts w:hint="default" w:ascii="Times New Roman" w:hAnsi="Times New Roman" w:eastAsia="宋体" w:cs="Times New Roman"/>
          <w:b/>
          <w:bCs/>
          <w:sz w:val="32"/>
          <w:szCs w:val="32"/>
        </w:rPr>
        <w:t>环境质量状况</w:t>
      </w:r>
    </w:p>
    <w:tbl>
      <w:tblPr>
        <w:tblStyle w:val="19"/>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28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9286" w:type="dxa"/>
            <w:noWrap w:val="0"/>
            <w:vAlign w:val="top"/>
          </w:tcPr>
          <w:p>
            <w:pPr>
              <w:pStyle w:val="8"/>
              <w:spacing w:after="0" w:line="360" w:lineRule="auto"/>
              <w:rPr>
                <w:rFonts w:ascii="Times New Roman" w:hAnsi="Times New Roman"/>
                <w:b/>
                <w:sz w:val="24"/>
                <w:szCs w:val="24"/>
              </w:rPr>
            </w:pPr>
            <w:r>
              <w:rPr>
                <w:rFonts w:ascii="Times New Roman" w:hAnsi="Times New Roman"/>
                <w:b/>
                <w:sz w:val="24"/>
                <w:szCs w:val="24"/>
              </w:rPr>
              <w:t>建设项目所在地区域环境质量现状及主要环境问题(环境空气、地面水、地下水、声环境、生态环境等)</w:t>
            </w:r>
          </w:p>
          <w:p>
            <w:pPr>
              <w:adjustRightInd w:val="0"/>
              <w:spacing w:line="360" w:lineRule="auto"/>
              <w:ind w:firstLine="480"/>
              <w:rPr>
                <w:rFonts w:hint="eastAsia"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1、环境空气质量现状</w:t>
            </w:r>
          </w:p>
          <w:p>
            <w:pPr>
              <w:adjustRightInd w:val="0"/>
              <w:snapToGrid w:val="0"/>
              <w:spacing w:line="360" w:lineRule="auto"/>
              <w:ind w:firstLine="480" w:firstLineChars="200"/>
              <w:jc w:val="left"/>
              <w:rPr>
                <w:rFonts w:hint="eastAsia" w:ascii="Times New Roman" w:hAnsi="Times New Roman" w:eastAsia="宋体"/>
                <w:sz w:val="24"/>
                <w:lang w:eastAsia="zh-CN"/>
              </w:rPr>
            </w:pPr>
            <w:r>
              <w:rPr>
                <w:rFonts w:ascii="Times New Roman" w:hAnsi="Times New Roman"/>
                <w:sz w:val="24"/>
              </w:rPr>
              <w:t>⑴</w:t>
            </w:r>
            <w:r>
              <w:rPr>
                <w:rFonts w:hint="eastAsia"/>
                <w:sz w:val="24"/>
                <w:lang w:eastAsia="zh-CN"/>
              </w:rPr>
              <w:t>达标区判定</w:t>
            </w:r>
          </w:p>
          <w:p>
            <w:pPr>
              <w:spacing w:line="360" w:lineRule="auto"/>
              <w:ind w:firstLine="480" w:firstLineChars="200"/>
              <w:rPr>
                <w:sz w:val="24"/>
              </w:rPr>
            </w:pPr>
            <w:r>
              <w:rPr>
                <w:rFonts w:hint="eastAsia"/>
                <w:sz w:val="24"/>
              </w:rPr>
              <w:t>根据《环境影响评价技术导则 大气环境》(HJ2.2-2018)中要求“6</w:t>
            </w:r>
            <w:r>
              <w:rPr>
                <w:sz w:val="24"/>
              </w:rPr>
              <w:t>.2.1.1</w:t>
            </w:r>
            <w:r>
              <w:rPr>
                <w:rFonts w:hint="eastAsia"/>
                <w:sz w:val="24"/>
              </w:rPr>
              <w:t>项目所在区域达标判定，优先采用国家或地方生态环境主管部门公开发布的评价基准年环境，质量公告或环境质量报告中的数据或结论。”</w:t>
            </w:r>
          </w:p>
          <w:p>
            <w:pPr>
              <w:spacing w:line="360" w:lineRule="auto"/>
              <w:ind w:firstLine="480" w:firstLineChars="200"/>
              <w:rPr>
                <w:sz w:val="24"/>
              </w:rPr>
            </w:pPr>
            <w:r>
              <w:rPr>
                <w:rFonts w:hint="eastAsia"/>
                <w:sz w:val="24"/>
              </w:rPr>
              <w:t>项目位于吴忠市红寺堡区，根据《</w:t>
            </w:r>
            <w:r>
              <w:rPr>
                <w:sz w:val="24"/>
              </w:rPr>
              <w:t>2019年宁夏生态环境状况公报</w:t>
            </w:r>
            <w:r>
              <w:rPr>
                <w:rFonts w:hint="eastAsia"/>
                <w:sz w:val="24"/>
              </w:rPr>
              <w:t>》公布的红寺堡区2</w:t>
            </w:r>
            <w:r>
              <w:rPr>
                <w:sz w:val="24"/>
              </w:rPr>
              <w:t>01</w:t>
            </w:r>
            <w:r>
              <w:rPr>
                <w:rFonts w:hint="eastAsia"/>
                <w:sz w:val="24"/>
              </w:rPr>
              <w:t>9年环境质量数据进行评价。红寺堡区环境空气质量状况见表</w:t>
            </w:r>
            <w:r>
              <w:rPr>
                <w:sz w:val="24"/>
              </w:rPr>
              <w:t>3-1</w:t>
            </w:r>
            <w:r>
              <w:rPr>
                <w:rFonts w:hint="eastAsia"/>
                <w:sz w:val="24"/>
              </w:rPr>
              <w:t>。</w:t>
            </w:r>
          </w:p>
          <w:p>
            <w:pPr>
              <w:spacing w:line="360" w:lineRule="auto"/>
              <w:jc w:val="center"/>
              <w:rPr>
                <w:rFonts w:eastAsia="黑体"/>
                <w:bCs/>
                <w:sz w:val="24"/>
                <w:szCs w:val="22"/>
              </w:rPr>
            </w:pPr>
            <w:r>
              <w:rPr>
                <w:rFonts w:eastAsia="黑体"/>
                <w:bCs/>
                <w:sz w:val="24"/>
                <w:szCs w:val="22"/>
              </w:rPr>
              <w:t>表3-1    区域空气质量现状评价表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81"/>
              <w:gridCol w:w="2844"/>
              <w:gridCol w:w="1423"/>
              <w:gridCol w:w="1423"/>
              <w:gridCol w:w="1156"/>
              <w:gridCol w:w="12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1" w:type="pct"/>
                  <w:tcBorders>
                    <w:tl2br w:val="nil"/>
                    <w:tr2bl w:val="nil"/>
                  </w:tcBorders>
                  <w:shd w:val="clear" w:color="auto" w:fill="auto"/>
                  <w:vAlign w:val="center"/>
                </w:tcPr>
                <w:p>
                  <w:pPr>
                    <w:adjustRightInd w:val="0"/>
                    <w:spacing w:line="240" w:lineRule="exact"/>
                    <w:jc w:val="center"/>
                    <w:rPr>
                      <w:b/>
                      <w:szCs w:val="21"/>
                    </w:rPr>
                  </w:pPr>
                  <w:r>
                    <w:rPr>
                      <w:rFonts w:hint="eastAsia"/>
                      <w:b/>
                      <w:szCs w:val="21"/>
                    </w:rPr>
                    <w:t>污染物</w:t>
                  </w:r>
                </w:p>
              </w:tc>
              <w:tc>
                <w:tcPr>
                  <w:tcW w:w="1567" w:type="pct"/>
                  <w:tcBorders>
                    <w:tl2br w:val="nil"/>
                    <w:tr2bl w:val="nil"/>
                  </w:tcBorders>
                  <w:shd w:val="clear" w:color="auto" w:fill="auto"/>
                  <w:vAlign w:val="center"/>
                </w:tcPr>
                <w:p>
                  <w:pPr>
                    <w:adjustRightInd w:val="0"/>
                    <w:spacing w:line="240" w:lineRule="exact"/>
                    <w:jc w:val="center"/>
                    <w:rPr>
                      <w:b/>
                      <w:szCs w:val="21"/>
                    </w:rPr>
                  </w:pPr>
                  <w:r>
                    <w:rPr>
                      <w:rFonts w:hint="eastAsia"/>
                      <w:b/>
                      <w:szCs w:val="21"/>
                    </w:rPr>
                    <w:t>年评价指标</w:t>
                  </w:r>
                </w:p>
              </w:tc>
              <w:tc>
                <w:tcPr>
                  <w:tcW w:w="784" w:type="pct"/>
                  <w:tcBorders>
                    <w:tl2br w:val="nil"/>
                    <w:tr2bl w:val="nil"/>
                  </w:tcBorders>
                  <w:shd w:val="clear" w:color="auto" w:fill="auto"/>
                  <w:vAlign w:val="center"/>
                </w:tcPr>
                <w:p>
                  <w:pPr>
                    <w:adjustRightInd w:val="0"/>
                    <w:spacing w:line="240" w:lineRule="exact"/>
                    <w:jc w:val="center"/>
                    <w:rPr>
                      <w:b/>
                      <w:szCs w:val="21"/>
                    </w:rPr>
                  </w:pPr>
                  <w:r>
                    <w:rPr>
                      <w:rFonts w:hint="eastAsia"/>
                      <w:b/>
                      <w:szCs w:val="21"/>
                    </w:rPr>
                    <w:t>现</w:t>
                  </w:r>
                  <w:r>
                    <w:rPr>
                      <w:b/>
                      <w:szCs w:val="21"/>
                    </w:rPr>
                    <w:t>状</w:t>
                  </w:r>
                  <w:r>
                    <w:rPr>
                      <w:rFonts w:hint="eastAsia"/>
                      <w:b/>
                      <w:szCs w:val="21"/>
                    </w:rPr>
                    <w:t>值</w:t>
                  </w:r>
                  <w:r>
                    <w:rPr>
                      <w:b/>
                      <w:szCs w:val="21"/>
                    </w:rPr>
                    <w:t>(μg/m</w:t>
                  </w:r>
                  <w:r>
                    <w:rPr>
                      <w:b/>
                      <w:szCs w:val="21"/>
                      <w:vertAlign w:val="superscript"/>
                    </w:rPr>
                    <w:t>3</w:t>
                  </w:r>
                  <w:r>
                    <w:rPr>
                      <w:b/>
                      <w:szCs w:val="21"/>
                    </w:rPr>
                    <w:t>)</w:t>
                  </w:r>
                </w:p>
              </w:tc>
              <w:tc>
                <w:tcPr>
                  <w:tcW w:w="784" w:type="pct"/>
                  <w:tcBorders>
                    <w:tl2br w:val="nil"/>
                    <w:tr2bl w:val="nil"/>
                  </w:tcBorders>
                  <w:shd w:val="clear" w:color="auto" w:fill="auto"/>
                  <w:vAlign w:val="center"/>
                </w:tcPr>
                <w:p>
                  <w:pPr>
                    <w:adjustRightInd w:val="0"/>
                    <w:spacing w:line="240" w:lineRule="exact"/>
                    <w:jc w:val="center"/>
                    <w:rPr>
                      <w:b/>
                      <w:szCs w:val="21"/>
                    </w:rPr>
                  </w:pPr>
                  <w:r>
                    <w:rPr>
                      <w:rFonts w:hint="eastAsia"/>
                      <w:b/>
                      <w:szCs w:val="21"/>
                    </w:rPr>
                    <w:t>标准值</w:t>
                  </w:r>
                  <w:r>
                    <w:rPr>
                      <w:b/>
                      <w:szCs w:val="21"/>
                    </w:rPr>
                    <w:t>(μg/m</w:t>
                  </w:r>
                  <w:r>
                    <w:rPr>
                      <w:b/>
                      <w:szCs w:val="21"/>
                      <w:vertAlign w:val="superscript"/>
                    </w:rPr>
                    <w:t>3</w:t>
                  </w:r>
                  <w:r>
                    <w:rPr>
                      <w:b/>
                      <w:szCs w:val="21"/>
                    </w:rPr>
                    <w:t>)</w:t>
                  </w:r>
                </w:p>
              </w:tc>
              <w:tc>
                <w:tcPr>
                  <w:tcW w:w="637" w:type="pct"/>
                  <w:tcBorders>
                    <w:tl2br w:val="nil"/>
                    <w:tr2bl w:val="nil"/>
                  </w:tcBorders>
                  <w:shd w:val="clear" w:color="auto" w:fill="auto"/>
                  <w:vAlign w:val="center"/>
                </w:tcPr>
                <w:p>
                  <w:pPr>
                    <w:adjustRightInd w:val="0"/>
                    <w:spacing w:line="240" w:lineRule="exact"/>
                    <w:jc w:val="center"/>
                    <w:rPr>
                      <w:b/>
                      <w:szCs w:val="21"/>
                    </w:rPr>
                  </w:pPr>
                  <w:r>
                    <w:rPr>
                      <w:rFonts w:hint="eastAsia"/>
                      <w:b/>
                      <w:szCs w:val="21"/>
                    </w:rPr>
                    <w:t>占标率(</w:t>
                  </w:r>
                  <w:r>
                    <w:rPr>
                      <w:b/>
                      <w:szCs w:val="21"/>
                    </w:rPr>
                    <w:t>%)</w:t>
                  </w:r>
                </w:p>
              </w:tc>
              <w:tc>
                <w:tcPr>
                  <w:tcW w:w="685" w:type="pct"/>
                  <w:tcBorders>
                    <w:tl2br w:val="nil"/>
                    <w:tr2bl w:val="nil"/>
                  </w:tcBorders>
                  <w:shd w:val="clear" w:color="auto" w:fill="auto"/>
                  <w:vAlign w:val="center"/>
                </w:tcPr>
                <w:p>
                  <w:pPr>
                    <w:adjustRightInd w:val="0"/>
                    <w:spacing w:line="240" w:lineRule="exact"/>
                    <w:jc w:val="center"/>
                    <w:rPr>
                      <w:b/>
                      <w:szCs w:val="21"/>
                    </w:rPr>
                  </w:pPr>
                  <w:r>
                    <w:rPr>
                      <w:rFonts w:hint="eastAsia"/>
                      <w:b/>
                      <w:szCs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1" w:type="pct"/>
                  <w:tcBorders>
                    <w:tl2br w:val="nil"/>
                    <w:tr2bl w:val="nil"/>
                  </w:tcBorders>
                  <w:shd w:val="clear" w:color="auto" w:fill="auto"/>
                  <w:vAlign w:val="center"/>
                </w:tcPr>
                <w:p>
                  <w:pPr>
                    <w:adjustRightInd w:val="0"/>
                    <w:spacing w:line="240" w:lineRule="exact"/>
                    <w:jc w:val="center"/>
                    <w:rPr>
                      <w:szCs w:val="21"/>
                    </w:rPr>
                  </w:pPr>
                  <w:r>
                    <w:rPr>
                      <w:rFonts w:hint="eastAsia"/>
                      <w:szCs w:val="21"/>
                    </w:rPr>
                    <w:t>P</w:t>
                  </w:r>
                  <w:r>
                    <w:rPr>
                      <w:szCs w:val="21"/>
                    </w:rPr>
                    <w:t>M</w:t>
                  </w:r>
                  <w:r>
                    <w:rPr>
                      <w:szCs w:val="21"/>
                      <w:vertAlign w:val="subscript"/>
                    </w:rPr>
                    <w:t>10</w:t>
                  </w:r>
                </w:p>
              </w:tc>
              <w:tc>
                <w:tcPr>
                  <w:tcW w:w="1567" w:type="pct"/>
                  <w:tcBorders>
                    <w:tl2br w:val="nil"/>
                    <w:tr2bl w:val="nil"/>
                  </w:tcBorders>
                  <w:shd w:val="clear" w:color="auto" w:fill="auto"/>
                  <w:vAlign w:val="center"/>
                </w:tcPr>
                <w:p>
                  <w:pPr>
                    <w:adjustRightInd w:val="0"/>
                    <w:spacing w:line="240" w:lineRule="exact"/>
                    <w:jc w:val="center"/>
                    <w:rPr>
                      <w:szCs w:val="21"/>
                    </w:rPr>
                  </w:pPr>
                  <w:r>
                    <w:rPr>
                      <w:rFonts w:hint="eastAsia"/>
                      <w:szCs w:val="21"/>
                    </w:rPr>
                    <w:t>年平均质量浓度</w:t>
                  </w:r>
                </w:p>
              </w:tc>
              <w:tc>
                <w:tcPr>
                  <w:tcW w:w="784" w:type="pct"/>
                  <w:tcBorders>
                    <w:tl2br w:val="nil"/>
                    <w:tr2bl w:val="nil"/>
                  </w:tcBorders>
                  <w:shd w:val="clear" w:color="auto" w:fill="auto"/>
                  <w:vAlign w:val="center"/>
                </w:tcPr>
                <w:p>
                  <w:pPr>
                    <w:adjustRightInd w:val="0"/>
                    <w:spacing w:line="240" w:lineRule="exact"/>
                    <w:jc w:val="center"/>
                    <w:rPr>
                      <w:szCs w:val="21"/>
                    </w:rPr>
                  </w:pPr>
                  <w:r>
                    <w:rPr>
                      <w:rFonts w:hint="eastAsia"/>
                      <w:szCs w:val="21"/>
                    </w:rPr>
                    <w:t>58</w:t>
                  </w:r>
                </w:p>
              </w:tc>
              <w:tc>
                <w:tcPr>
                  <w:tcW w:w="784" w:type="pct"/>
                  <w:tcBorders>
                    <w:tl2br w:val="nil"/>
                    <w:tr2bl w:val="nil"/>
                  </w:tcBorders>
                  <w:shd w:val="clear" w:color="auto" w:fill="auto"/>
                  <w:vAlign w:val="center"/>
                </w:tcPr>
                <w:p>
                  <w:pPr>
                    <w:adjustRightInd w:val="0"/>
                    <w:spacing w:line="240" w:lineRule="exact"/>
                    <w:jc w:val="center"/>
                    <w:rPr>
                      <w:szCs w:val="21"/>
                    </w:rPr>
                  </w:pPr>
                  <w:r>
                    <w:rPr>
                      <w:rFonts w:hint="eastAsia"/>
                      <w:szCs w:val="21"/>
                    </w:rPr>
                    <w:t>7</w:t>
                  </w:r>
                  <w:r>
                    <w:rPr>
                      <w:szCs w:val="21"/>
                    </w:rPr>
                    <w:t>0</w:t>
                  </w:r>
                </w:p>
              </w:tc>
              <w:tc>
                <w:tcPr>
                  <w:tcW w:w="637" w:type="pct"/>
                  <w:tcBorders>
                    <w:tl2br w:val="nil"/>
                    <w:tr2bl w:val="nil"/>
                  </w:tcBorders>
                  <w:shd w:val="clear" w:color="auto" w:fill="auto"/>
                  <w:vAlign w:val="center"/>
                </w:tcPr>
                <w:p>
                  <w:pPr>
                    <w:adjustRightInd w:val="0"/>
                    <w:spacing w:line="240" w:lineRule="exact"/>
                    <w:jc w:val="center"/>
                    <w:rPr>
                      <w:szCs w:val="21"/>
                    </w:rPr>
                  </w:pPr>
                  <w:r>
                    <w:rPr>
                      <w:rFonts w:hint="eastAsia"/>
                      <w:szCs w:val="21"/>
                    </w:rPr>
                    <w:t>82.86</w:t>
                  </w:r>
                </w:p>
              </w:tc>
              <w:tc>
                <w:tcPr>
                  <w:tcW w:w="685" w:type="pct"/>
                  <w:tcBorders>
                    <w:tl2br w:val="nil"/>
                    <w:tr2bl w:val="nil"/>
                  </w:tcBorders>
                  <w:shd w:val="clear" w:color="auto" w:fill="auto"/>
                  <w:vAlign w:val="center"/>
                </w:tcPr>
                <w:p>
                  <w:pPr>
                    <w:adjustRightInd w:val="0"/>
                    <w:spacing w:line="240" w:lineRule="exact"/>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1" w:type="pct"/>
                  <w:tcBorders>
                    <w:tl2br w:val="nil"/>
                    <w:tr2bl w:val="nil"/>
                  </w:tcBorders>
                  <w:shd w:val="clear" w:color="auto" w:fill="auto"/>
                  <w:vAlign w:val="center"/>
                </w:tcPr>
                <w:p>
                  <w:pPr>
                    <w:adjustRightInd w:val="0"/>
                    <w:spacing w:line="240" w:lineRule="exact"/>
                    <w:jc w:val="center"/>
                    <w:rPr>
                      <w:szCs w:val="21"/>
                    </w:rPr>
                  </w:pPr>
                  <w:r>
                    <w:rPr>
                      <w:rFonts w:hint="eastAsia"/>
                      <w:szCs w:val="21"/>
                    </w:rPr>
                    <w:t>P</w:t>
                  </w:r>
                  <w:r>
                    <w:rPr>
                      <w:szCs w:val="21"/>
                    </w:rPr>
                    <w:t>M</w:t>
                  </w:r>
                  <w:r>
                    <w:rPr>
                      <w:szCs w:val="21"/>
                      <w:vertAlign w:val="subscript"/>
                    </w:rPr>
                    <w:t>2.5</w:t>
                  </w:r>
                </w:p>
              </w:tc>
              <w:tc>
                <w:tcPr>
                  <w:tcW w:w="1567" w:type="pct"/>
                  <w:tcBorders>
                    <w:tl2br w:val="nil"/>
                    <w:tr2bl w:val="nil"/>
                  </w:tcBorders>
                  <w:shd w:val="clear" w:color="auto" w:fill="auto"/>
                  <w:vAlign w:val="center"/>
                </w:tcPr>
                <w:p>
                  <w:pPr>
                    <w:adjustRightInd w:val="0"/>
                    <w:spacing w:line="240" w:lineRule="exact"/>
                    <w:jc w:val="center"/>
                    <w:rPr>
                      <w:szCs w:val="21"/>
                    </w:rPr>
                  </w:pPr>
                  <w:r>
                    <w:rPr>
                      <w:rFonts w:hint="eastAsia"/>
                      <w:szCs w:val="21"/>
                    </w:rPr>
                    <w:t>年平均质量浓度</w:t>
                  </w:r>
                </w:p>
              </w:tc>
              <w:tc>
                <w:tcPr>
                  <w:tcW w:w="784" w:type="pct"/>
                  <w:tcBorders>
                    <w:tl2br w:val="nil"/>
                    <w:tr2bl w:val="nil"/>
                  </w:tcBorders>
                  <w:shd w:val="clear" w:color="auto" w:fill="auto"/>
                  <w:vAlign w:val="center"/>
                </w:tcPr>
                <w:p>
                  <w:pPr>
                    <w:adjustRightInd w:val="0"/>
                    <w:spacing w:line="240" w:lineRule="exact"/>
                    <w:jc w:val="center"/>
                    <w:rPr>
                      <w:szCs w:val="21"/>
                    </w:rPr>
                  </w:pPr>
                  <w:r>
                    <w:rPr>
                      <w:rFonts w:hint="eastAsia"/>
                      <w:szCs w:val="21"/>
                    </w:rPr>
                    <w:t>24</w:t>
                  </w:r>
                </w:p>
              </w:tc>
              <w:tc>
                <w:tcPr>
                  <w:tcW w:w="784" w:type="pct"/>
                  <w:tcBorders>
                    <w:tl2br w:val="nil"/>
                    <w:tr2bl w:val="nil"/>
                  </w:tcBorders>
                  <w:shd w:val="clear" w:color="auto" w:fill="auto"/>
                  <w:vAlign w:val="center"/>
                </w:tcPr>
                <w:p>
                  <w:pPr>
                    <w:adjustRightInd w:val="0"/>
                    <w:spacing w:line="240" w:lineRule="exact"/>
                    <w:jc w:val="center"/>
                    <w:rPr>
                      <w:szCs w:val="21"/>
                    </w:rPr>
                  </w:pPr>
                  <w:r>
                    <w:rPr>
                      <w:rFonts w:hint="eastAsia"/>
                      <w:szCs w:val="21"/>
                    </w:rPr>
                    <w:t>3</w:t>
                  </w:r>
                  <w:r>
                    <w:rPr>
                      <w:szCs w:val="21"/>
                    </w:rPr>
                    <w:t>5</w:t>
                  </w:r>
                </w:p>
              </w:tc>
              <w:tc>
                <w:tcPr>
                  <w:tcW w:w="637" w:type="pct"/>
                  <w:tcBorders>
                    <w:tl2br w:val="nil"/>
                    <w:tr2bl w:val="nil"/>
                  </w:tcBorders>
                  <w:shd w:val="clear" w:color="auto" w:fill="auto"/>
                  <w:vAlign w:val="center"/>
                </w:tcPr>
                <w:p>
                  <w:pPr>
                    <w:adjustRightInd w:val="0"/>
                    <w:spacing w:line="240" w:lineRule="exact"/>
                    <w:jc w:val="center"/>
                    <w:rPr>
                      <w:szCs w:val="21"/>
                    </w:rPr>
                  </w:pPr>
                  <w:r>
                    <w:rPr>
                      <w:rFonts w:hint="eastAsia"/>
                      <w:szCs w:val="21"/>
                    </w:rPr>
                    <w:t>68.57</w:t>
                  </w:r>
                </w:p>
              </w:tc>
              <w:tc>
                <w:tcPr>
                  <w:tcW w:w="685" w:type="pct"/>
                  <w:tcBorders>
                    <w:tl2br w:val="nil"/>
                    <w:tr2bl w:val="nil"/>
                  </w:tcBorders>
                  <w:shd w:val="clear" w:color="auto" w:fill="auto"/>
                  <w:vAlign w:val="center"/>
                </w:tcPr>
                <w:p>
                  <w:pPr>
                    <w:adjustRightInd w:val="0"/>
                    <w:spacing w:line="240" w:lineRule="exact"/>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1" w:type="pct"/>
                  <w:tcBorders>
                    <w:tl2br w:val="nil"/>
                    <w:tr2bl w:val="nil"/>
                  </w:tcBorders>
                  <w:shd w:val="clear" w:color="auto" w:fill="auto"/>
                  <w:vAlign w:val="center"/>
                </w:tcPr>
                <w:p>
                  <w:pPr>
                    <w:adjustRightInd w:val="0"/>
                    <w:spacing w:line="240" w:lineRule="exact"/>
                    <w:jc w:val="center"/>
                    <w:rPr>
                      <w:szCs w:val="21"/>
                    </w:rPr>
                  </w:pPr>
                  <w:r>
                    <w:rPr>
                      <w:rFonts w:hint="eastAsia"/>
                      <w:szCs w:val="21"/>
                    </w:rPr>
                    <w:t>S</w:t>
                  </w:r>
                  <w:r>
                    <w:rPr>
                      <w:szCs w:val="21"/>
                    </w:rPr>
                    <w:t>O</w:t>
                  </w:r>
                  <w:r>
                    <w:rPr>
                      <w:szCs w:val="21"/>
                      <w:vertAlign w:val="subscript"/>
                    </w:rPr>
                    <w:t>2</w:t>
                  </w:r>
                </w:p>
              </w:tc>
              <w:tc>
                <w:tcPr>
                  <w:tcW w:w="1567" w:type="pct"/>
                  <w:tcBorders>
                    <w:tl2br w:val="nil"/>
                    <w:tr2bl w:val="nil"/>
                  </w:tcBorders>
                  <w:shd w:val="clear" w:color="auto" w:fill="auto"/>
                  <w:vAlign w:val="center"/>
                </w:tcPr>
                <w:p>
                  <w:pPr>
                    <w:adjustRightInd w:val="0"/>
                    <w:spacing w:line="240" w:lineRule="exact"/>
                    <w:jc w:val="center"/>
                    <w:rPr>
                      <w:szCs w:val="21"/>
                    </w:rPr>
                  </w:pPr>
                  <w:r>
                    <w:rPr>
                      <w:rFonts w:hint="eastAsia"/>
                      <w:szCs w:val="21"/>
                    </w:rPr>
                    <w:t>年平均质量浓度</w:t>
                  </w:r>
                </w:p>
              </w:tc>
              <w:tc>
                <w:tcPr>
                  <w:tcW w:w="784" w:type="pct"/>
                  <w:tcBorders>
                    <w:tl2br w:val="nil"/>
                    <w:tr2bl w:val="nil"/>
                  </w:tcBorders>
                  <w:shd w:val="clear" w:color="auto" w:fill="auto"/>
                  <w:vAlign w:val="center"/>
                </w:tcPr>
                <w:p>
                  <w:pPr>
                    <w:adjustRightInd w:val="0"/>
                    <w:spacing w:line="240" w:lineRule="exact"/>
                    <w:jc w:val="center"/>
                    <w:rPr>
                      <w:szCs w:val="21"/>
                    </w:rPr>
                  </w:pPr>
                  <w:r>
                    <w:rPr>
                      <w:rFonts w:hint="eastAsia"/>
                      <w:szCs w:val="21"/>
                    </w:rPr>
                    <w:t>9</w:t>
                  </w:r>
                </w:p>
              </w:tc>
              <w:tc>
                <w:tcPr>
                  <w:tcW w:w="784" w:type="pct"/>
                  <w:tcBorders>
                    <w:tl2br w:val="nil"/>
                    <w:tr2bl w:val="nil"/>
                  </w:tcBorders>
                  <w:shd w:val="clear" w:color="auto" w:fill="auto"/>
                  <w:vAlign w:val="center"/>
                </w:tcPr>
                <w:p>
                  <w:pPr>
                    <w:adjustRightInd w:val="0"/>
                    <w:spacing w:line="240" w:lineRule="exact"/>
                    <w:jc w:val="center"/>
                    <w:rPr>
                      <w:szCs w:val="21"/>
                    </w:rPr>
                  </w:pPr>
                  <w:r>
                    <w:rPr>
                      <w:rFonts w:hint="eastAsia"/>
                      <w:szCs w:val="21"/>
                    </w:rPr>
                    <w:t>6</w:t>
                  </w:r>
                  <w:r>
                    <w:rPr>
                      <w:szCs w:val="21"/>
                    </w:rPr>
                    <w:t>0</w:t>
                  </w:r>
                </w:p>
              </w:tc>
              <w:tc>
                <w:tcPr>
                  <w:tcW w:w="637" w:type="pct"/>
                  <w:tcBorders>
                    <w:tl2br w:val="nil"/>
                    <w:tr2bl w:val="nil"/>
                  </w:tcBorders>
                  <w:shd w:val="clear" w:color="auto" w:fill="auto"/>
                  <w:vAlign w:val="center"/>
                </w:tcPr>
                <w:p>
                  <w:pPr>
                    <w:adjustRightInd w:val="0"/>
                    <w:spacing w:line="240" w:lineRule="exact"/>
                    <w:jc w:val="center"/>
                    <w:rPr>
                      <w:szCs w:val="21"/>
                    </w:rPr>
                  </w:pPr>
                  <w:r>
                    <w:rPr>
                      <w:rFonts w:hint="eastAsia"/>
                      <w:szCs w:val="21"/>
                    </w:rPr>
                    <w:t>15</w:t>
                  </w:r>
                </w:p>
              </w:tc>
              <w:tc>
                <w:tcPr>
                  <w:tcW w:w="685" w:type="pct"/>
                  <w:tcBorders>
                    <w:tl2br w:val="nil"/>
                    <w:tr2bl w:val="nil"/>
                  </w:tcBorders>
                  <w:shd w:val="clear" w:color="auto" w:fill="auto"/>
                  <w:vAlign w:val="center"/>
                </w:tcPr>
                <w:p>
                  <w:pPr>
                    <w:adjustRightInd w:val="0"/>
                    <w:spacing w:line="240" w:lineRule="exact"/>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1" w:type="pct"/>
                  <w:tcBorders>
                    <w:tl2br w:val="nil"/>
                    <w:tr2bl w:val="nil"/>
                  </w:tcBorders>
                  <w:shd w:val="clear" w:color="auto" w:fill="auto"/>
                  <w:vAlign w:val="center"/>
                </w:tcPr>
                <w:p>
                  <w:pPr>
                    <w:adjustRightInd w:val="0"/>
                    <w:spacing w:line="240" w:lineRule="exact"/>
                    <w:jc w:val="center"/>
                    <w:rPr>
                      <w:szCs w:val="21"/>
                    </w:rPr>
                  </w:pPr>
                  <w:r>
                    <w:rPr>
                      <w:rFonts w:hint="eastAsia"/>
                      <w:szCs w:val="21"/>
                    </w:rPr>
                    <w:t>N</w:t>
                  </w:r>
                  <w:r>
                    <w:rPr>
                      <w:szCs w:val="21"/>
                    </w:rPr>
                    <w:t>O</w:t>
                  </w:r>
                  <w:r>
                    <w:rPr>
                      <w:szCs w:val="21"/>
                      <w:vertAlign w:val="subscript"/>
                    </w:rPr>
                    <w:t>2</w:t>
                  </w:r>
                </w:p>
              </w:tc>
              <w:tc>
                <w:tcPr>
                  <w:tcW w:w="1567" w:type="pct"/>
                  <w:tcBorders>
                    <w:tl2br w:val="nil"/>
                    <w:tr2bl w:val="nil"/>
                  </w:tcBorders>
                  <w:shd w:val="clear" w:color="auto" w:fill="auto"/>
                  <w:vAlign w:val="center"/>
                </w:tcPr>
                <w:p>
                  <w:pPr>
                    <w:adjustRightInd w:val="0"/>
                    <w:spacing w:line="240" w:lineRule="exact"/>
                    <w:jc w:val="center"/>
                    <w:rPr>
                      <w:szCs w:val="21"/>
                    </w:rPr>
                  </w:pPr>
                  <w:r>
                    <w:rPr>
                      <w:rFonts w:hint="eastAsia"/>
                      <w:szCs w:val="21"/>
                    </w:rPr>
                    <w:t>年平均质量浓度</w:t>
                  </w:r>
                </w:p>
              </w:tc>
              <w:tc>
                <w:tcPr>
                  <w:tcW w:w="784" w:type="pct"/>
                  <w:tcBorders>
                    <w:tl2br w:val="nil"/>
                    <w:tr2bl w:val="nil"/>
                  </w:tcBorders>
                  <w:shd w:val="clear" w:color="auto" w:fill="auto"/>
                  <w:vAlign w:val="center"/>
                </w:tcPr>
                <w:p>
                  <w:pPr>
                    <w:adjustRightInd w:val="0"/>
                    <w:spacing w:line="240" w:lineRule="exact"/>
                    <w:jc w:val="center"/>
                    <w:rPr>
                      <w:szCs w:val="21"/>
                    </w:rPr>
                  </w:pPr>
                  <w:r>
                    <w:rPr>
                      <w:rFonts w:hint="eastAsia"/>
                      <w:szCs w:val="21"/>
                    </w:rPr>
                    <w:t>16</w:t>
                  </w:r>
                </w:p>
              </w:tc>
              <w:tc>
                <w:tcPr>
                  <w:tcW w:w="784" w:type="pct"/>
                  <w:tcBorders>
                    <w:tl2br w:val="nil"/>
                    <w:tr2bl w:val="nil"/>
                  </w:tcBorders>
                  <w:shd w:val="clear" w:color="auto" w:fill="auto"/>
                  <w:vAlign w:val="center"/>
                </w:tcPr>
                <w:p>
                  <w:pPr>
                    <w:adjustRightInd w:val="0"/>
                    <w:spacing w:line="240" w:lineRule="exact"/>
                    <w:jc w:val="center"/>
                    <w:rPr>
                      <w:szCs w:val="21"/>
                    </w:rPr>
                  </w:pPr>
                  <w:r>
                    <w:rPr>
                      <w:rFonts w:hint="eastAsia"/>
                      <w:szCs w:val="21"/>
                    </w:rPr>
                    <w:t>4</w:t>
                  </w:r>
                  <w:r>
                    <w:rPr>
                      <w:szCs w:val="21"/>
                    </w:rPr>
                    <w:t>0</w:t>
                  </w:r>
                </w:p>
              </w:tc>
              <w:tc>
                <w:tcPr>
                  <w:tcW w:w="637" w:type="pct"/>
                  <w:tcBorders>
                    <w:tl2br w:val="nil"/>
                    <w:tr2bl w:val="nil"/>
                  </w:tcBorders>
                  <w:shd w:val="clear" w:color="auto" w:fill="auto"/>
                  <w:vAlign w:val="center"/>
                </w:tcPr>
                <w:p>
                  <w:pPr>
                    <w:adjustRightInd w:val="0"/>
                    <w:spacing w:line="240" w:lineRule="exact"/>
                    <w:jc w:val="center"/>
                    <w:rPr>
                      <w:szCs w:val="21"/>
                    </w:rPr>
                  </w:pPr>
                  <w:r>
                    <w:rPr>
                      <w:rFonts w:hint="eastAsia"/>
                      <w:szCs w:val="21"/>
                    </w:rPr>
                    <w:t>40</w:t>
                  </w:r>
                </w:p>
              </w:tc>
              <w:tc>
                <w:tcPr>
                  <w:tcW w:w="685" w:type="pct"/>
                  <w:tcBorders>
                    <w:tl2br w:val="nil"/>
                    <w:tr2bl w:val="nil"/>
                  </w:tcBorders>
                  <w:shd w:val="clear" w:color="auto" w:fill="auto"/>
                  <w:vAlign w:val="center"/>
                </w:tcPr>
                <w:p>
                  <w:pPr>
                    <w:adjustRightInd w:val="0"/>
                    <w:spacing w:line="240" w:lineRule="exact"/>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1" w:type="pct"/>
                  <w:tcBorders>
                    <w:bottom w:val="single" w:color="auto" w:sz="6" w:space="0"/>
                    <w:tl2br w:val="nil"/>
                    <w:tr2bl w:val="nil"/>
                  </w:tcBorders>
                  <w:shd w:val="clear" w:color="auto" w:fill="auto"/>
                  <w:vAlign w:val="center"/>
                </w:tcPr>
                <w:p>
                  <w:pPr>
                    <w:adjustRightInd w:val="0"/>
                    <w:spacing w:line="240" w:lineRule="exact"/>
                    <w:jc w:val="center"/>
                    <w:rPr>
                      <w:szCs w:val="21"/>
                    </w:rPr>
                  </w:pPr>
                  <w:r>
                    <w:rPr>
                      <w:rFonts w:hint="eastAsia"/>
                      <w:szCs w:val="21"/>
                    </w:rPr>
                    <w:t>C</w:t>
                  </w:r>
                  <w:r>
                    <w:rPr>
                      <w:szCs w:val="21"/>
                    </w:rPr>
                    <w:t>O</w:t>
                  </w:r>
                </w:p>
              </w:tc>
              <w:tc>
                <w:tcPr>
                  <w:tcW w:w="1567" w:type="pct"/>
                  <w:tcBorders>
                    <w:bottom w:val="single" w:color="auto" w:sz="6" w:space="0"/>
                    <w:tl2br w:val="nil"/>
                    <w:tr2bl w:val="nil"/>
                  </w:tcBorders>
                  <w:shd w:val="clear" w:color="auto" w:fill="auto"/>
                  <w:vAlign w:val="center"/>
                </w:tcPr>
                <w:p>
                  <w:pPr>
                    <w:adjustRightInd w:val="0"/>
                    <w:spacing w:line="240" w:lineRule="exact"/>
                    <w:jc w:val="center"/>
                    <w:rPr>
                      <w:szCs w:val="21"/>
                    </w:rPr>
                  </w:pPr>
                  <w:r>
                    <w:rPr>
                      <w:rFonts w:hint="eastAsia"/>
                      <w:szCs w:val="21"/>
                    </w:rPr>
                    <w:t>日平均第</w:t>
                  </w:r>
                  <w:r>
                    <w:rPr>
                      <w:szCs w:val="21"/>
                    </w:rPr>
                    <w:t>95百分位</w:t>
                  </w:r>
                  <w:r>
                    <w:rPr>
                      <w:rFonts w:hint="eastAsia"/>
                      <w:szCs w:val="21"/>
                    </w:rPr>
                    <w:t>数</w:t>
                  </w:r>
                </w:p>
              </w:tc>
              <w:tc>
                <w:tcPr>
                  <w:tcW w:w="784" w:type="pct"/>
                  <w:tcBorders>
                    <w:bottom w:val="single" w:color="auto" w:sz="6" w:space="0"/>
                    <w:tl2br w:val="nil"/>
                    <w:tr2bl w:val="nil"/>
                  </w:tcBorders>
                  <w:shd w:val="clear" w:color="auto" w:fill="auto"/>
                  <w:vAlign w:val="center"/>
                </w:tcPr>
                <w:p>
                  <w:pPr>
                    <w:adjustRightInd w:val="0"/>
                    <w:spacing w:line="240" w:lineRule="exact"/>
                    <w:jc w:val="center"/>
                    <w:rPr>
                      <w:szCs w:val="21"/>
                    </w:rPr>
                  </w:pPr>
                  <w:r>
                    <w:rPr>
                      <w:szCs w:val="21"/>
                    </w:rPr>
                    <w:t>1.</w:t>
                  </w:r>
                  <w:r>
                    <w:rPr>
                      <w:rFonts w:hint="eastAsia"/>
                      <w:szCs w:val="21"/>
                    </w:rPr>
                    <w:t>2</w:t>
                  </w:r>
                  <w:r>
                    <w:rPr>
                      <w:szCs w:val="21"/>
                    </w:rPr>
                    <w:t>mg/m</w:t>
                  </w:r>
                  <w:r>
                    <w:rPr>
                      <w:szCs w:val="21"/>
                      <w:vertAlign w:val="superscript"/>
                    </w:rPr>
                    <w:t>3</w:t>
                  </w:r>
                </w:p>
              </w:tc>
              <w:tc>
                <w:tcPr>
                  <w:tcW w:w="784" w:type="pct"/>
                  <w:tcBorders>
                    <w:bottom w:val="single" w:color="auto" w:sz="6" w:space="0"/>
                    <w:tl2br w:val="nil"/>
                    <w:tr2bl w:val="nil"/>
                  </w:tcBorders>
                  <w:shd w:val="clear" w:color="auto" w:fill="auto"/>
                  <w:vAlign w:val="center"/>
                </w:tcPr>
                <w:p>
                  <w:pPr>
                    <w:adjustRightInd w:val="0"/>
                    <w:spacing w:line="240" w:lineRule="exact"/>
                    <w:jc w:val="center"/>
                    <w:rPr>
                      <w:szCs w:val="21"/>
                    </w:rPr>
                  </w:pPr>
                  <w:r>
                    <w:rPr>
                      <w:rFonts w:hint="eastAsia"/>
                      <w:szCs w:val="21"/>
                    </w:rPr>
                    <w:t>4</w:t>
                  </w:r>
                  <w:r>
                    <w:rPr>
                      <w:szCs w:val="21"/>
                    </w:rPr>
                    <w:t>mg/m</w:t>
                  </w:r>
                  <w:r>
                    <w:rPr>
                      <w:szCs w:val="21"/>
                      <w:vertAlign w:val="superscript"/>
                    </w:rPr>
                    <w:t>3</w:t>
                  </w:r>
                </w:p>
              </w:tc>
              <w:tc>
                <w:tcPr>
                  <w:tcW w:w="637" w:type="pct"/>
                  <w:tcBorders>
                    <w:bottom w:val="single" w:color="auto" w:sz="6" w:space="0"/>
                    <w:tl2br w:val="nil"/>
                    <w:tr2bl w:val="nil"/>
                  </w:tcBorders>
                  <w:shd w:val="clear" w:color="auto" w:fill="auto"/>
                  <w:vAlign w:val="center"/>
                </w:tcPr>
                <w:p>
                  <w:pPr>
                    <w:adjustRightInd w:val="0"/>
                    <w:spacing w:line="240" w:lineRule="exact"/>
                    <w:jc w:val="center"/>
                    <w:rPr>
                      <w:szCs w:val="21"/>
                    </w:rPr>
                  </w:pPr>
                  <w:r>
                    <w:rPr>
                      <w:rFonts w:hint="eastAsia"/>
                      <w:szCs w:val="21"/>
                    </w:rPr>
                    <w:t>30</w:t>
                  </w:r>
                </w:p>
              </w:tc>
              <w:tc>
                <w:tcPr>
                  <w:tcW w:w="685" w:type="pct"/>
                  <w:tcBorders>
                    <w:bottom w:val="single" w:color="auto" w:sz="6" w:space="0"/>
                    <w:tl2br w:val="nil"/>
                    <w:tr2bl w:val="nil"/>
                  </w:tcBorders>
                  <w:shd w:val="clear" w:color="auto" w:fill="auto"/>
                  <w:vAlign w:val="center"/>
                </w:tcPr>
                <w:p>
                  <w:pPr>
                    <w:adjustRightInd w:val="0"/>
                    <w:spacing w:line="240" w:lineRule="exact"/>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1" w:type="pct"/>
                  <w:tcBorders>
                    <w:top w:val="single" w:color="auto" w:sz="6" w:space="0"/>
                    <w:bottom w:val="single" w:color="auto" w:sz="12" w:space="0"/>
                    <w:tl2br w:val="nil"/>
                    <w:tr2bl w:val="nil"/>
                  </w:tcBorders>
                  <w:shd w:val="clear" w:color="auto" w:fill="auto"/>
                  <w:vAlign w:val="center"/>
                </w:tcPr>
                <w:p>
                  <w:pPr>
                    <w:adjustRightInd w:val="0"/>
                    <w:spacing w:line="240" w:lineRule="exact"/>
                    <w:jc w:val="center"/>
                    <w:rPr>
                      <w:szCs w:val="21"/>
                    </w:rPr>
                  </w:pPr>
                  <w:r>
                    <w:rPr>
                      <w:rFonts w:hint="eastAsia"/>
                      <w:szCs w:val="21"/>
                    </w:rPr>
                    <w:t>O</w:t>
                  </w:r>
                  <w:r>
                    <w:rPr>
                      <w:rFonts w:hint="eastAsia"/>
                      <w:szCs w:val="21"/>
                      <w:vertAlign w:val="subscript"/>
                    </w:rPr>
                    <w:t>3</w:t>
                  </w:r>
                </w:p>
              </w:tc>
              <w:tc>
                <w:tcPr>
                  <w:tcW w:w="1567" w:type="pct"/>
                  <w:tcBorders>
                    <w:top w:val="single" w:color="auto" w:sz="6" w:space="0"/>
                    <w:bottom w:val="single" w:color="auto" w:sz="12" w:space="0"/>
                    <w:tl2br w:val="nil"/>
                    <w:tr2bl w:val="nil"/>
                  </w:tcBorders>
                  <w:shd w:val="clear" w:color="auto" w:fill="auto"/>
                  <w:vAlign w:val="center"/>
                </w:tcPr>
                <w:p>
                  <w:pPr>
                    <w:pStyle w:val="8"/>
                    <w:adjustRightInd w:val="0"/>
                    <w:spacing w:after="0" w:line="240" w:lineRule="exact"/>
                    <w:jc w:val="center"/>
                    <w:rPr>
                      <w:szCs w:val="21"/>
                    </w:rPr>
                  </w:pPr>
                  <w:r>
                    <w:rPr>
                      <w:rFonts w:ascii="Times New Roman" w:hAnsi="Times New Roman"/>
                      <w:szCs w:val="21"/>
                    </w:rPr>
                    <w:t>日最大8小时平均值</w:t>
                  </w:r>
                </w:p>
              </w:tc>
              <w:tc>
                <w:tcPr>
                  <w:tcW w:w="784" w:type="pct"/>
                  <w:tcBorders>
                    <w:top w:val="single" w:color="auto" w:sz="6" w:space="0"/>
                    <w:bottom w:val="single" w:color="auto" w:sz="12" w:space="0"/>
                    <w:tl2br w:val="nil"/>
                    <w:tr2bl w:val="nil"/>
                  </w:tcBorders>
                  <w:shd w:val="clear" w:color="auto" w:fill="auto"/>
                  <w:vAlign w:val="center"/>
                </w:tcPr>
                <w:p>
                  <w:pPr>
                    <w:pStyle w:val="8"/>
                    <w:adjustRightInd w:val="0"/>
                    <w:spacing w:after="0" w:line="240" w:lineRule="exact"/>
                    <w:jc w:val="center"/>
                    <w:rPr>
                      <w:szCs w:val="21"/>
                    </w:rPr>
                  </w:pPr>
                  <w:r>
                    <w:rPr>
                      <w:rFonts w:ascii="Times New Roman" w:hAnsi="Times New Roman"/>
                      <w:szCs w:val="21"/>
                    </w:rPr>
                    <w:t>14</w:t>
                  </w:r>
                  <w:r>
                    <w:rPr>
                      <w:rFonts w:hint="eastAsia" w:ascii="Times New Roman" w:hAnsi="Times New Roman"/>
                      <w:szCs w:val="21"/>
                    </w:rPr>
                    <w:t>4</w:t>
                  </w:r>
                </w:p>
              </w:tc>
              <w:tc>
                <w:tcPr>
                  <w:tcW w:w="784" w:type="pct"/>
                  <w:tcBorders>
                    <w:top w:val="single" w:color="auto" w:sz="6" w:space="0"/>
                    <w:bottom w:val="single" w:color="auto" w:sz="12" w:space="0"/>
                    <w:tl2br w:val="nil"/>
                    <w:tr2bl w:val="nil"/>
                  </w:tcBorders>
                  <w:shd w:val="clear" w:color="auto" w:fill="auto"/>
                  <w:vAlign w:val="center"/>
                </w:tcPr>
                <w:p>
                  <w:pPr>
                    <w:pStyle w:val="8"/>
                    <w:adjustRightInd w:val="0"/>
                    <w:spacing w:after="0" w:line="240" w:lineRule="exact"/>
                    <w:jc w:val="center"/>
                    <w:rPr>
                      <w:szCs w:val="21"/>
                    </w:rPr>
                  </w:pPr>
                  <w:r>
                    <w:rPr>
                      <w:rFonts w:ascii="Times New Roman" w:hAnsi="Times New Roman"/>
                      <w:szCs w:val="21"/>
                    </w:rPr>
                    <w:t>160</w:t>
                  </w:r>
                </w:p>
              </w:tc>
              <w:tc>
                <w:tcPr>
                  <w:tcW w:w="637" w:type="pct"/>
                  <w:tcBorders>
                    <w:top w:val="single" w:color="auto" w:sz="6" w:space="0"/>
                    <w:bottom w:val="single" w:color="auto" w:sz="12" w:space="0"/>
                    <w:tl2br w:val="nil"/>
                    <w:tr2bl w:val="nil"/>
                  </w:tcBorders>
                  <w:shd w:val="clear" w:color="auto" w:fill="auto"/>
                  <w:vAlign w:val="center"/>
                </w:tcPr>
                <w:p>
                  <w:pPr>
                    <w:pStyle w:val="8"/>
                    <w:adjustRightInd w:val="0"/>
                    <w:spacing w:after="0" w:line="240" w:lineRule="exact"/>
                    <w:jc w:val="center"/>
                    <w:rPr>
                      <w:szCs w:val="21"/>
                    </w:rPr>
                  </w:pPr>
                  <w:r>
                    <w:rPr>
                      <w:rFonts w:hint="eastAsia" w:ascii="Times New Roman" w:hAnsi="Times New Roman"/>
                      <w:szCs w:val="21"/>
                    </w:rPr>
                    <w:t>90</w:t>
                  </w:r>
                </w:p>
              </w:tc>
              <w:tc>
                <w:tcPr>
                  <w:tcW w:w="685" w:type="pct"/>
                  <w:tcBorders>
                    <w:top w:val="single" w:color="auto" w:sz="6" w:space="0"/>
                    <w:bottom w:val="single" w:color="auto" w:sz="12" w:space="0"/>
                    <w:tl2br w:val="nil"/>
                    <w:tr2bl w:val="nil"/>
                  </w:tcBorders>
                  <w:shd w:val="clear" w:color="auto" w:fill="auto"/>
                  <w:vAlign w:val="center"/>
                </w:tcPr>
                <w:p>
                  <w:pPr>
                    <w:pStyle w:val="8"/>
                    <w:adjustRightInd w:val="0"/>
                    <w:spacing w:after="0" w:line="240" w:lineRule="exact"/>
                    <w:jc w:val="center"/>
                    <w:rPr>
                      <w:szCs w:val="21"/>
                    </w:rPr>
                  </w:pPr>
                  <w:r>
                    <w:rPr>
                      <w:rFonts w:ascii="Times New Roman" w:hAnsi="Times New Roman"/>
                      <w:szCs w:val="21"/>
                    </w:rPr>
                    <w:t>达标</w:t>
                  </w:r>
                </w:p>
              </w:tc>
            </w:tr>
          </w:tbl>
          <w:p>
            <w:pPr>
              <w:adjustRightInd w:val="0"/>
              <w:snapToGrid w:val="0"/>
              <w:spacing w:line="360" w:lineRule="auto"/>
              <w:ind w:firstLine="480" w:firstLineChars="200"/>
            </w:pPr>
            <w:r>
              <w:rPr>
                <w:rFonts w:hint="eastAsia"/>
                <w:sz w:val="24"/>
              </w:rPr>
              <w:t>结合《环境空气质量评价技术规范》(HJ663-2013)可知，</w:t>
            </w:r>
            <w:r>
              <w:rPr>
                <w:rFonts w:hint="eastAsia"/>
                <w:sz w:val="24"/>
                <w:szCs w:val="22"/>
              </w:rPr>
              <w:t>红寺堡区2</w:t>
            </w:r>
            <w:r>
              <w:rPr>
                <w:sz w:val="24"/>
                <w:szCs w:val="22"/>
              </w:rPr>
              <w:t>019</w:t>
            </w:r>
            <w:r>
              <w:rPr>
                <w:rFonts w:hint="eastAsia"/>
                <w:sz w:val="24"/>
                <w:szCs w:val="22"/>
              </w:rPr>
              <w:t>年环境空气质量属达标区。</w:t>
            </w:r>
          </w:p>
          <w:p>
            <w:pPr>
              <w:pStyle w:val="7"/>
              <w:adjustRightInd w:val="0"/>
              <w:snapToGrid w:val="0"/>
              <w:spacing w:line="360" w:lineRule="auto"/>
              <w:rPr>
                <w:rFonts w:ascii="Times New Roman" w:hAnsi="Times New Roman"/>
              </w:rPr>
            </w:pPr>
            <w:r>
              <w:rPr>
                <w:rFonts w:ascii="Times New Roman" w:hAnsi="Times New Roman"/>
              </w:rPr>
              <w:t>⑵补充性监测</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本次委托宁夏中环国安咨询有限公司于</w:t>
            </w:r>
            <w:r>
              <w:rPr>
                <w:rFonts w:ascii="Times New Roman" w:hAnsi="Times New Roman"/>
                <w:sz w:val="24"/>
                <w:highlight w:val="none"/>
              </w:rPr>
              <w:t>202</w:t>
            </w:r>
            <w:r>
              <w:rPr>
                <w:rFonts w:hint="eastAsia"/>
                <w:sz w:val="24"/>
                <w:highlight w:val="none"/>
                <w:lang w:val="en-US" w:eastAsia="zh-CN"/>
              </w:rPr>
              <w:t>1</w:t>
            </w:r>
            <w:r>
              <w:rPr>
                <w:rFonts w:ascii="Times New Roman" w:hAnsi="Times New Roman"/>
                <w:sz w:val="24"/>
                <w:highlight w:val="none"/>
              </w:rPr>
              <w:t>年</w:t>
            </w:r>
            <w:r>
              <w:rPr>
                <w:rFonts w:hint="eastAsia"/>
                <w:sz w:val="24"/>
                <w:highlight w:val="none"/>
                <w:lang w:val="en-US" w:eastAsia="zh-CN"/>
              </w:rPr>
              <w:t>2</w:t>
            </w:r>
            <w:r>
              <w:rPr>
                <w:rFonts w:ascii="Times New Roman" w:hAnsi="Times New Roman"/>
                <w:sz w:val="24"/>
                <w:highlight w:val="none"/>
              </w:rPr>
              <w:t>月</w:t>
            </w:r>
            <w:r>
              <w:rPr>
                <w:rFonts w:hint="eastAsia"/>
                <w:sz w:val="24"/>
                <w:highlight w:val="none"/>
                <w:lang w:val="en-US" w:eastAsia="zh-CN"/>
              </w:rPr>
              <w:t>26</w:t>
            </w:r>
            <w:r>
              <w:rPr>
                <w:rFonts w:ascii="Times New Roman" w:hAnsi="Times New Roman"/>
                <w:sz w:val="24"/>
                <w:highlight w:val="none"/>
              </w:rPr>
              <w:t>日~202</w:t>
            </w:r>
            <w:r>
              <w:rPr>
                <w:rFonts w:hint="eastAsia"/>
                <w:sz w:val="24"/>
                <w:highlight w:val="none"/>
                <w:lang w:val="en-US" w:eastAsia="zh-CN"/>
              </w:rPr>
              <w:t>1</w:t>
            </w:r>
            <w:r>
              <w:rPr>
                <w:rFonts w:ascii="Times New Roman" w:hAnsi="Times New Roman"/>
                <w:sz w:val="24"/>
                <w:highlight w:val="none"/>
              </w:rPr>
              <w:t>年</w:t>
            </w:r>
            <w:r>
              <w:rPr>
                <w:rFonts w:hint="eastAsia"/>
                <w:sz w:val="24"/>
                <w:highlight w:val="none"/>
                <w:lang w:val="en-US" w:eastAsia="zh-CN"/>
              </w:rPr>
              <w:t>3</w:t>
            </w:r>
            <w:r>
              <w:rPr>
                <w:rFonts w:ascii="Times New Roman" w:hAnsi="Times New Roman"/>
                <w:sz w:val="24"/>
                <w:highlight w:val="none"/>
              </w:rPr>
              <w:t>月</w:t>
            </w:r>
            <w:r>
              <w:rPr>
                <w:rFonts w:hint="eastAsia"/>
                <w:sz w:val="24"/>
                <w:highlight w:val="none"/>
                <w:lang w:val="en-US" w:eastAsia="zh-CN"/>
              </w:rPr>
              <w:t>4</w:t>
            </w:r>
            <w:r>
              <w:rPr>
                <w:rFonts w:ascii="Times New Roman" w:hAnsi="Times New Roman"/>
                <w:sz w:val="24"/>
                <w:highlight w:val="none"/>
              </w:rPr>
              <w:t>日对</w:t>
            </w:r>
            <w:r>
              <w:rPr>
                <w:rFonts w:ascii="Times New Roman" w:hAnsi="Times New Roman"/>
                <w:sz w:val="24"/>
              </w:rPr>
              <w:t>项目区域进行环境空气质量现状监测，监测报告见附件7。</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①监测点位</w:t>
            </w:r>
          </w:p>
          <w:p>
            <w:pPr>
              <w:spacing w:line="360" w:lineRule="auto"/>
              <w:ind w:firstLine="480" w:firstLineChars="200"/>
              <w:rPr>
                <w:rFonts w:ascii="Times New Roman" w:hAnsi="Times New Roman"/>
                <w:sz w:val="24"/>
              </w:rPr>
            </w:pPr>
            <w:r>
              <w:rPr>
                <w:rFonts w:ascii="Times New Roman" w:hAnsi="Times New Roman"/>
                <w:sz w:val="24"/>
              </w:rPr>
              <w:t>根据《环境影响评价技术导则 大气环境》(HJ2.2-2018)和本地区气象条件，在项目厂区设</w:t>
            </w:r>
            <w:r>
              <w:rPr>
                <w:rFonts w:hint="eastAsia"/>
                <w:sz w:val="24"/>
                <w:lang w:val="en-US" w:eastAsia="zh-CN"/>
              </w:rPr>
              <w:t>2</w:t>
            </w:r>
            <w:r>
              <w:rPr>
                <w:rFonts w:ascii="Times New Roman" w:hAnsi="Times New Roman"/>
                <w:sz w:val="24"/>
              </w:rPr>
              <w:t>个环境空气质量现状监测点，监测点编号、监测位置见表3-2。</w:t>
            </w:r>
          </w:p>
          <w:p>
            <w:pPr>
              <w:spacing w:line="360" w:lineRule="auto"/>
              <w:jc w:val="center"/>
              <w:rPr>
                <w:rFonts w:ascii="Times New Roman" w:hAnsi="Times New Roman"/>
                <w:sz w:val="24"/>
              </w:rPr>
            </w:pPr>
            <w:r>
              <w:rPr>
                <w:rFonts w:ascii="Times New Roman" w:hAnsi="Times New Roman" w:eastAsia="黑体"/>
                <w:sz w:val="24"/>
              </w:rPr>
              <w:t>表3-2    环境空气质量现状监测点布设情况</w:t>
            </w:r>
          </w:p>
          <w:tbl>
            <w:tblPr>
              <w:tblStyle w:val="1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31"/>
              <w:gridCol w:w="1770"/>
              <w:gridCol w:w="2295"/>
              <w:gridCol w:w="2070"/>
              <w:gridCol w:w="15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4" w:type="pct"/>
                  <w:vMerge w:val="restart"/>
                  <w:noWrap w:val="0"/>
                  <w:vAlign w:val="center"/>
                </w:tcPr>
                <w:p>
                  <w:pPr>
                    <w:pStyle w:val="8"/>
                    <w:adjustRightInd w:val="0"/>
                    <w:snapToGrid w:val="0"/>
                    <w:spacing w:line="0" w:lineRule="atLeast"/>
                    <w:rPr>
                      <w:rFonts w:ascii="Times New Roman" w:hAnsi="Times New Roman"/>
                      <w:b/>
                      <w:bCs/>
                      <w:sz w:val="21"/>
                      <w:szCs w:val="21"/>
                    </w:rPr>
                  </w:pPr>
                  <w:r>
                    <w:rPr>
                      <w:rFonts w:ascii="Times New Roman" w:hAnsi="Times New Roman"/>
                      <w:b/>
                      <w:bCs/>
                      <w:sz w:val="21"/>
                      <w:szCs w:val="21"/>
                    </w:rPr>
                    <w:t>监测点名称</w:t>
                  </w:r>
                </w:p>
              </w:tc>
              <w:tc>
                <w:tcPr>
                  <w:tcW w:w="976" w:type="pct"/>
                  <w:vMerge w:val="restart"/>
                  <w:noWrap w:val="0"/>
                  <w:vAlign w:val="center"/>
                </w:tcPr>
                <w:p>
                  <w:pPr>
                    <w:pStyle w:val="8"/>
                    <w:adjustRightInd w:val="0"/>
                    <w:snapToGrid w:val="0"/>
                    <w:spacing w:line="0" w:lineRule="atLeast"/>
                    <w:jc w:val="center"/>
                    <w:rPr>
                      <w:rFonts w:ascii="Times New Roman" w:hAnsi="Times New Roman"/>
                      <w:b/>
                      <w:bCs/>
                      <w:sz w:val="21"/>
                      <w:szCs w:val="21"/>
                    </w:rPr>
                  </w:pPr>
                  <w:r>
                    <w:rPr>
                      <w:rFonts w:ascii="Times New Roman" w:hAnsi="Times New Roman"/>
                      <w:b/>
                      <w:bCs/>
                      <w:sz w:val="21"/>
                      <w:szCs w:val="21"/>
                    </w:rPr>
                    <w:t>监测因子</w:t>
                  </w:r>
                </w:p>
              </w:tc>
              <w:tc>
                <w:tcPr>
                  <w:tcW w:w="1265" w:type="pct"/>
                  <w:vMerge w:val="restart"/>
                  <w:noWrap w:val="0"/>
                  <w:vAlign w:val="center"/>
                </w:tcPr>
                <w:p>
                  <w:pPr>
                    <w:pStyle w:val="8"/>
                    <w:adjustRightInd w:val="0"/>
                    <w:snapToGrid w:val="0"/>
                    <w:spacing w:line="0" w:lineRule="atLeast"/>
                    <w:jc w:val="center"/>
                    <w:rPr>
                      <w:rFonts w:ascii="Times New Roman" w:hAnsi="Times New Roman"/>
                      <w:b/>
                      <w:bCs/>
                      <w:sz w:val="21"/>
                      <w:szCs w:val="21"/>
                    </w:rPr>
                  </w:pPr>
                  <w:r>
                    <w:rPr>
                      <w:rFonts w:ascii="Times New Roman" w:hAnsi="Times New Roman"/>
                      <w:b/>
                      <w:bCs/>
                      <w:sz w:val="21"/>
                      <w:szCs w:val="21"/>
                    </w:rPr>
                    <w:t>监测时段</w:t>
                  </w:r>
                </w:p>
              </w:tc>
              <w:tc>
                <w:tcPr>
                  <w:tcW w:w="1141" w:type="pct"/>
                  <w:vMerge w:val="restart"/>
                  <w:noWrap w:val="0"/>
                  <w:vAlign w:val="center"/>
                </w:tcPr>
                <w:p>
                  <w:pPr>
                    <w:pStyle w:val="8"/>
                    <w:adjustRightInd w:val="0"/>
                    <w:snapToGrid w:val="0"/>
                    <w:spacing w:line="0" w:lineRule="atLeast"/>
                    <w:jc w:val="center"/>
                    <w:rPr>
                      <w:rFonts w:ascii="Times New Roman" w:hAnsi="Times New Roman"/>
                      <w:b/>
                      <w:bCs/>
                      <w:sz w:val="21"/>
                      <w:szCs w:val="21"/>
                    </w:rPr>
                  </w:pPr>
                  <w:r>
                    <w:rPr>
                      <w:rFonts w:ascii="Times New Roman" w:hAnsi="Times New Roman"/>
                      <w:b/>
                      <w:bCs/>
                      <w:sz w:val="21"/>
                      <w:szCs w:val="21"/>
                    </w:rPr>
                    <w:t>相对厂址方位</w:t>
                  </w:r>
                </w:p>
              </w:tc>
              <w:tc>
                <w:tcPr>
                  <w:tcW w:w="881" w:type="pct"/>
                  <w:vMerge w:val="restart"/>
                  <w:noWrap w:val="0"/>
                  <w:vAlign w:val="center"/>
                </w:tcPr>
                <w:p>
                  <w:pPr>
                    <w:pStyle w:val="8"/>
                    <w:adjustRightInd w:val="0"/>
                    <w:snapToGrid w:val="0"/>
                    <w:spacing w:line="0" w:lineRule="atLeast"/>
                    <w:jc w:val="center"/>
                    <w:rPr>
                      <w:rFonts w:ascii="Times New Roman" w:hAnsi="Times New Roman"/>
                      <w:b/>
                      <w:bCs/>
                      <w:sz w:val="21"/>
                      <w:szCs w:val="21"/>
                    </w:rPr>
                  </w:pPr>
                  <w:r>
                    <w:rPr>
                      <w:rFonts w:ascii="Times New Roman" w:hAnsi="Times New Roman"/>
                      <w:b/>
                      <w:bCs/>
                      <w:sz w:val="21"/>
                      <w:szCs w:val="21"/>
                    </w:rPr>
                    <w:t>相对厂址距离/m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734" w:type="pct"/>
                  <w:vMerge w:val="continue"/>
                  <w:noWrap w:val="0"/>
                  <w:vAlign w:val="center"/>
                </w:tcPr>
                <w:p>
                  <w:pPr>
                    <w:pStyle w:val="2"/>
                    <w:adjustRightInd w:val="0"/>
                    <w:snapToGrid w:val="0"/>
                    <w:spacing w:line="0" w:lineRule="atLeast"/>
                    <w:ind w:firstLine="0" w:firstLineChars="0"/>
                    <w:rPr>
                      <w:rFonts w:ascii="Times New Roman" w:hAnsi="Times New Roman"/>
                      <w:sz w:val="21"/>
                      <w:szCs w:val="21"/>
                    </w:rPr>
                  </w:pPr>
                </w:p>
              </w:tc>
              <w:tc>
                <w:tcPr>
                  <w:tcW w:w="976" w:type="pct"/>
                  <w:vMerge w:val="continue"/>
                  <w:noWrap w:val="0"/>
                  <w:vAlign w:val="center"/>
                </w:tcPr>
                <w:p>
                  <w:pPr>
                    <w:pStyle w:val="2"/>
                    <w:adjustRightInd w:val="0"/>
                    <w:snapToGrid w:val="0"/>
                    <w:spacing w:line="0" w:lineRule="atLeast"/>
                    <w:ind w:firstLine="0" w:firstLineChars="0"/>
                    <w:rPr>
                      <w:rFonts w:ascii="Times New Roman" w:hAnsi="Times New Roman"/>
                      <w:sz w:val="21"/>
                      <w:szCs w:val="21"/>
                    </w:rPr>
                  </w:pPr>
                </w:p>
              </w:tc>
              <w:tc>
                <w:tcPr>
                  <w:tcW w:w="1265" w:type="pct"/>
                  <w:vMerge w:val="continue"/>
                  <w:noWrap w:val="0"/>
                  <w:vAlign w:val="center"/>
                </w:tcPr>
                <w:p>
                  <w:pPr>
                    <w:pStyle w:val="2"/>
                    <w:adjustRightInd w:val="0"/>
                    <w:snapToGrid w:val="0"/>
                    <w:spacing w:line="0" w:lineRule="atLeast"/>
                    <w:ind w:firstLine="0" w:firstLineChars="0"/>
                    <w:rPr>
                      <w:rFonts w:ascii="Times New Roman" w:hAnsi="Times New Roman"/>
                      <w:sz w:val="21"/>
                      <w:szCs w:val="21"/>
                    </w:rPr>
                  </w:pPr>
                </w:p>
              </w:tc>
              <w:tc>
                <w:tcPr>
                  <w:tcW w:w="1141" w:type="pct"/>
                  <w:vMerge w:val="continue"/>
                  <w:noWrap w:val="0"/>
                  <w:vAlign w:val="center"/>
                </w:tcPr>
                <w:p>
                  <w:pPr>
                    <w:pStyle w:val="2"/>
                    <w:adjustRightInd w:val="0"/>
                    <w:snapToGrid w:val="0"/>
                    <w:spacing w:line="0" w:lineRule="atLeast"/>
                    <w:ind w:firstLine="0" w:firstLineChars="0"/>
                    <w:rPr>
                      <w:rFonts w:ascii="Times New Roman" w:hAnsi="Times New Roman"/>
                      <w:sz w:val="21"/>
                      <w:szCs w:val="21"/>
                    </w:rPr>
                  </w:pPr>
                </w:p>
              </w:tc>
              <w:tc>
                <w:tcPr>
                  <w:tcW w:w="881" w:type="pct"/>
                  <w:vMerge w:val="continue"/>
                  <w:noWrap w:val="0"/>
                  <w:vAlign w:val="center"/>
                </w:tcPr>
                <w:p>
                  <w:pPr>
                    <w:pStyle w:val="2"/>
                    <w:adjustRightInd w:val="0"/>
                    <w:snapToGrid w:val="0"/>
                    <w:spacing w:line="0" w:lineRule="atLeast"/>
                    <w:ind w:firstLine="0" w:firstLineChars="0"/>
                    <w:rPr>
                      <w:rFonts w:ascii="Times New Roman" w:hAnsi="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4" w:type="pct"/>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ascii="Times New Roman" w:hAnsi="Times New Roman"/>
                      <w:sz w:val="21"/>
                      <w:szCs w:val="21"/>
                    </w:rPr>
                    <w:t>G</w:t>
                  </w:r>
                  <w:r>
                    <w:rPr>
                      <w:rFonts w:hint="eastAsia" w:ascii="Times New Roman" w:hAnsi="Times New Roman"/>
                      <w:sz w:val="21"/>
                      <w:szCs w:val="21"/>
                      <w:lang w:val="en-US" w:eastAsia="zh-CN"/>
                    </w:rPr>
                    <w:t>1</w:t>
                  </w:r>
                  <w:r>
                    <w:rPr>
                      <w:rFonts w:ascii="Times New Roman" w:hAnsi="Times New Roman"/>
                      <w:sz w:val="21"/>
                      <w:szCs w:val="21"/>
                    </w:rPr>
                    <w:t xml:space="preserve"> </w:t>
                  </w:r>
                </w:p>
              </w:tc>
              <w:tc>
                <w:tcPr>
                  <w:tcW w:w="976" w:type="pct"/>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ascii="Times New Roman" w:hAnsi="Times New Roman"/>
                      <w:sz w:val="21"/>
                      <w:szCs w:val="21"/>
                    </w:rPr>
                    <w:t>总悬浮颗粒物</w:t>
                  </w:r>
                </w:p>
              </w:tc>
              <w:tc>
                <w:tcPr>
                  <w:tcW w:w="1265" w:type="pct"/>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hint="eastAsia"/>
                      <w:bCs/>
                      <w:szCs w:val="21"/>
                      <w:lang w:val="en-US" w:eastAsia="zh-CN"/>
                    </w:rPr>
                    <w:t>2021.02.26-2021.03.04</w:t>
                  </w:r>
                </w:p>
              </w:tc>
              <w:tc>
                <w:tcPr>
                  <w:tcW w:w="1141" w:type="pct"/>
                  <w:noWrap w:val="0"/>
                  <w:vAlign w:val="center"/>
                </w:tcPr>
                <w:p>
                  <w:pPr>
                    <w:pStyle w:val="2"/>
                    <w:adjustRightInd w:val="0"/>
                    <w:snapToGrid w:val="0"/>
                    <w:spacing w:line="0" w:lineRule="atLeast"/>
                    <w:ind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煤炭治理区SE</w:t>
                  </w:r>
                </w:p>
              </w:tc>
              <w:tc>
                <w:tcPr>
                  <w:tcW w:w="881" w:type="pct"/>
                  <w:noWrap w:val="0"/>
                  <w:vAlign w:val="center"/>
                </w:tcPr>
                <w:p>
                  <w:pPr>
                    <w:pStyle w:val="2"/>
                    <w:adjustRightInd w:val="0"/>
                    <w:snapToGrid w:val="0"/>
                    <w:spacing w:line="0" w:lineRule="atLeast"/>
                    <w:ind w:firstLine="0" w:firstLineChars="0"/>
                    <w:jc w:val="center"/>
                    <w:rPr>
                      <w:rFonts w:hint="eastAsia" w:ascii="Times New Roman" w:hAnsi="Times New Roman" w:eastAsia="宋体"/>
                      <w:sz w:val="21"/>
                      <w:szCs w:val="21"/>
                      <w:lang w:eastAsia="zh-CN"/>
                    </w:rPr>
                  </w:pPr>
                  <w:r>
                    <w:rPr>
                      <w:rFonts w:hint="eastAsia"/>
                      <w:sz w:val="21"/>
                      <w:szCs w:val="21"/>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4" w:type="pct"/>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ascii="Times New Roman" w:hAnsi="Times New Roman"/>
                      <w:sz w:val="21"/>
                      <w:szCs w:val="21"/>
                    </w:rPr>
                    <w:t>G</w:t>
                  </w:r>
                  <w:r>
                    <w:rPr>
                      <w:rFonts w:hint="eastAsia"/>
                      <w:sz w:val="21"/>
                      <w:szCs w:val="21"/>
                      <w:lang w:val="en-US" w:eastAsia="zh-CN"/>
                    </w:rPr>
                    <w:t>2</w:t>
                  </w:r>
                </w:p>
              </w:tc>
              <w:tc>
                <w:tcPr>
                  <w:tcW w:w="976" w:type="pct"/>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ascii="Times New Roman" w:hAnsi="Times New Roman"/>
                      <w:sz w:val="21"/>
                      <w:szCs w:val="21"/>
                    </w:rPr>
                    <w:t>总悬浮颗粒物</w:t>
                  </w:r>
                </w:p>
              </w:tc>
              <w:tc>
                <w:tcPr>
                  <w:tcW w:w="1265" w:type="pct"/>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hint="eastAsia"/>
                      <w:bCs/>
                      <w:szCs w:val="21"/>
                      <w:lang w:val="en-US" w:eastAsia="zh-CN"/>
                    </w:rPr>
                    <w:t>2021.02.26-2021.03.04</w:t>
                  </w:r>
                </w:p>
              </w:tc>
              <w:tc>
                <w:tcPr>
                  <w:tcW w:w="1141" w:type="pct"/>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hint="eastAsia"/>
                      <w:sz w:val="21"/>
                      <w:szCs w:val="21"/>
                      <w:lang w:val="en-US" w:eastAsia="zh-CN"/>
                    </w:rPr>
                    <w:t>建筑用砂治理区SE</w:t>
                  </w:r>
                </w:p>
              </w:tc>
              <w:tc>
                <w:tcPr>
                  <w:tcW w:w="881" w:type="pct"/>
                  <w:noWrap w:val="0"/>
                  <w:vAlign w:val="center"/>
                </w:tcPr>
                <w:p>
                  <w:pPr>
                    <w:pStyle w:val="2"/>
                    <w:adjustRightInd w:val="0"/>
                    <w:snapToGrid w:val="0"/>
                    <w:spacing w:line="0" w:lineRule="atLeast"/>
                    <w:ind w:firstLine="0" w:firstLineChars="0"/>
                    <w:jc w:val="center"/>
                    <w:rPr>
                      <w:rFonts w:hint="eastAsia" w:ascii="Times New Roman" w:hAnsi="Times New Roman" w:eastAsia="宋体"/>
                      <w:sz w:val="21"/>
                      <w:szCs w:val="21"/>
                      <w:lang w:eastAsia="zh-CN"/>
                    </w:rPr>
                  </w:pPr>
                  <w:r>
                    <w:rPr>
                      <w:rFonts w:hint="eastAsia"/>
                      <w:sz w:val="21"/>
                      <w:szCs w:val="21"/>
                      <w:lang w:val="en-US" w:eastAsia="zh-CN"/>
                    </w:rPr>
                    <w:t>5</w:t>
                  </w:r>
                </w:p>
              </w:tc>
            </w:tr>
          </w:tbl>
          <w:p>
            <w:pPr>
              <w:adjustRightInd w:val="0"/>
              <w:snapToGrid w:val="0"/>
              <w:spacing w:line="360" w:lineRule="auto"/>
              <w:ind w:firstLine="480" w:firstLineChars="200"/>
              <w:rPr>
                <w:rFonts w:ascii="Times New Roman" w:hAnsi="Times New Roman"/>
                <w:sz w:val="24"/>
              </w:rPr>
            </w:pPr>
            <w:r>
              <w:rPr>
                <w:rFonts w:ascii="Times New Roman" w:hAnsi="Times New Roman"/>
                <w:sz w:val="24"/>
              </w:rPr>
              <w:t>②监测内容</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总悬浮颗粒物。</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③监测频次</w:t>
            </w:r>
          </w:p>
          <w:p>
            <w:pPr>
              <w:spacing w:line="360" w:lineRule="auto"/>
              <w:ind w:firstLine="480"/>
              <w:rPr>
                <w:rFonts w:ascii="Times New Roman" w:hAnsi="Times New Roman"/>
                <w:sz w:val="24"/>
              </w:rPr>
            </w:pPr>
            <w:r>
              <w:rPr>
                <w:rFonts w:ascii="Times New Roman" w:hAnsi="Times New Roman"/>
                <w:sz w:val="24"/>
              </w:rPr>
              <w:t>根据《环境空气质量监测点位布设技术规范（试行）》(HJ664-2013)和《环境空气质量标准》(GB3095-2012)中相关要求，本次监测频次见表3-3。</w:t>
            </w:r>
          </w:p>
          <w:p>
            <w:pPr>
              <w:adjustRightInd w:val="0"/>
              <w:spacing w:line="360" w:lineRule="auto"/>
              <w:jc w:val="center"/>
              <w:rPr>
                <w:rFonts w:ascii="Times New Roman" w:hAnsi="Times New Roman" w:eastAsia="黑体"/>
                <w:sz w:val="24"/>
              </w:rPr>
            </w:pPr>
            <w:r>
              <w:rPr>
                <w:rFonts w:ascii="Times New Roman" w:hAnsi="Times New Roman" w:eastAsia="黑体"/>
                <w:sz w:val="24"/>
              </w:rPr>
              <w:t>表3-3    监测频次</w:t>
            </w:r>
          </w:p>
          <w:tbl>
            <w:tblPr>
              <w:tblStyle w:val="1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78"/>
              <w:gridCol w:w="3013"/>
              <w:gridCol w:w="467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60" w:type="pct"/>
                  <w:noWrap w:val="0"/>
                  <w:vAlign w:val="center"/>
                </w:tcPr>
                <w:p>
                  <w:pPr>
                    <w:pStyle w:val="2"/>
                    <w:adjustRightInd w:val="0"/>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监测点</w:t>
                  </w:r>
                </w:p>
              </w:tc>
              <w:tc>
                <w:tcPr>
                  <w:tcW w:w="1660" w:type="pct"/>
                  <w:noWrap w:val="0"/>
                  <w:vAlign w:val="center"/>
                </w:tcPr>
                <w:p>
                  <w:pPr>
                    <w:pStyle w:val="2"/>
                    <w:adjustRightInd w:val="0"/>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监测项目</w:t>
                  </w:r>
                </w:p>
              </w:tc>
              <w:tc>
                <w:tcPr>
                  <w:tcW w:w="2578" w:type="pct"/>
                  <w:noWrap w:val="0"/>
                  <w:vAlign w:val="center"/>
                </w:tcPr>
                <w:p>
                  <w:pPr>
                    <w:pStyle w:val="2"/>
                    <w:adjustRightInd w:val="0"/>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监测频次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60" w:type="pct"/>
                  <w:noWrap w:val="0"/>
                  <w:vAlign w:val="center"/>
                </w:tcPr>
                <w:p>
                  <w:pPr>
                    <w:pStyle w:val="2"/>
                    <w:adjustRightInd w:val="0"/>
                    <w:spacing w:line="240" w:lineRule="auto"/>
                    <w:ind w:firstLine="0" w:firstLineChars="0"/>
                    <w:jc w:val="center"/>
                    <w:rPr>
                      <w:rFonts w:hint="default" w:ascii="Times New Roman" w:hAnsi="Times New Roman" w:eastAsia="宋体"/>
                      <w:sz w:val="21"/>
                      <w:szCs w:val="21"/>
                      <w:lang w:val="en-US" w:eastAsia="zh-CN"/>
                    </w:rPr>
                  </w:pPr>
                  <w:r>
                    <w:rPr>
                      <w:rFonts w:ascii="Times New Roman" w:hAnsi="Times New Roman"/>
                      <w:sz w:val="21"/>
                      <w:szCs w:val="21"/>
                    </w:rPr>
                    <w:t>G</w:t>
                  </w:r>
                  <w:r>
                    <w:rPr>
                      <w:rFonts w:hint="eastAsia" w:ascii="Times New Roman" w:hAnsi="Times New Roman"/>
                      <w:sz w:val="21"/>
                      <w:szCs w:val="21"/>
                      <w:lang w:val="en-US" w:eastAsia="zh-CN"/>
                    </w:rPr>
                    <w:t>1、G2</w:t>
                  </w:r>
                </w:p>
              </w:tc>
              <w:tc>
                <w:tcPr>
                  <w:tcW w:w="1660" w:type="pct"/>
                  <w:noWrap w:val="0"/>
                  <w:vAlign w:val="center"/>
                </w:tcPr>
                <w:p>
                  <w:pPr>
                    <w:widowControl/>
                    <w:adjustRightInd w:val="0"/>
                    <w:jc w:val="center"/>
                    <w:rPr>
                      <w:rFonts w:ascii="Times New Roman" w:hAnsi="Times New Roman"/>
                      <w:szCs w:val="21"/>
                    </w:rPr>
                  </w:pPr>
                  <w:r>
                    <w:rPr>
                      <w:rFonts w:ascii="Times New Roman" w:hAnsi="Times New Roman"/>
                      <w:kern w:val="0"/>
                      <w:szCs w:val="21"/>
                    </w:rPr>
                    <w:t>总悬浮颗粒物</w:t>
                  </w:r>
                </w:p>
              </w:tc>
              <w:tc>
                <w:tcPr>
                  <w:tcW w:w="2578" w:type="pct"/>
                  <w:noWrap w:val="0"/>
                  <w:vAlign w:val="center"/>
                </w:tcPr>
                <w:p>
                  <w:pPr>
                    <w:widowControl/>
                    <w:adjustRightInd w:val="0"/>
                    <w:jc w:val="center"/>
                    <w:rPr>
                      <w:rFonts w:ascii="Times New Roman" w:hAnsi="Times New Roman"/>
                      <w:szCs w:val="21"/>
                    </w:rPr>
                  </w:pPr>
                  <w:r>
                    <w:rPr>
                      <w:rFonts w:ascii="Times New Roman" w:hAnsi="Times New Roman"/>
                      <w:kern w:val="0"/>
                      <w:szCs w:val="21"/>
                    </w:rPr>
                    <w:t>共7天，每日连续采样24小时</w:t>
                  </w:r>
                </w:p>
              </w:tc>
            </w:tr>
          </w:tbl>
          <w:p>
            <w:pPr>
              <w:adjustRightInd w:val="0"/>
              <w:snapToGrid w:val="0"/>
              <w:spacing w:line="360" w:lineRule="auto"/>
              <w:ind w:firstLine="480" w:firstLineChars="200"/>
              <w:rPr>
                <w:rFonts w:ascii="Times New Roman" w:hAnsi="Times New Roman"/>
                <w:sz w:val="24"/>
              </w:rPr>
            </w:pPr>
            <w:r>
              <w:rPr>
                <w:rFonts w:ascii="Times New Roman" w:hAnsi="Times New Roman"/>
                <w:sz w:val="24"/>
              </w:rPr>
              <w:t>④监测分析方法</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环境空气检测分析方法及仪器见表3-4。</w:t>
            </w:r>
          </w:p>
          <w:p>
            <w:pPr>
              <w:adjustRightInd w:val="0"/>
              <w:spacing w:line="360" w:lineRule="auto"/>
              <w:jc w:val="center"/>
              <w:rPr>
                <w:rFonts w:ascii="Times New Roman" w:hAnsi="Times New Roman" w:eastAsia="黑体"/>
                <w:sz w:val="24"/>
              </w:rPr>
            </w:pPr>
            <w:r>
              <w:rPr>
                <w:rFonts w:ascii="Times New Roman" w:hAnsi="Times New Roman" w:eastAsia="黑体"/>
                <w:sz w:val="24"/>
              </w:rPr>
              <w:t>表3-4    环境空气检测分析方法及仪器</w:t>
            </w:r>
          </w:p>
          <w:tbl>
            <w:tblPr>
              <w:tblStyle w:val="1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52"/>
              <w:gridCol w:w="4377"/>
              <w:gridCol w:w="1462"/>
              <w:gridCol w:w="167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 w:hRule="atLeast"/>
                <w:jc w:val="center"/>
              </w:trPr>
              <w:tc>
                <w:tcPr>
                  <w:tcW w:w="856" w:type="pct"/>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检测项目</w:t>
                  </w:r>
                </w:p>
              </w:tc>
              <w:tc>
                <w:tcPr>
                  <w:tcW w:w="2413" w:type="pct"/>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检测分析方法</w:t>
                  </w:r>
                </w:p>
              </w:tc>
              <w:tc>
                <w:tcPr>
                  <w:tcW w:w="806" w:type="pct"/>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方法检出限</w:t>
                  </w:r>
                </w:p>
              </w:tc>
              <w:tc>
                <w:tcPr>
                  <w:tcW w:w="923" w:type="pct"/>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检测仪器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6" w:type="pct"/>
                  <w:noWrap w:val="0"/>
                  <w:vAlign w:val="center"/>
                </w:tcPr>
                <w:p>
                  <w:pPr>
                    <w:widowControl/>
                    <w:rPr>
                      <w:rFonts w:ascii="Times New Roman" w:hAnsi="Times New Roman"/>
                      <w:szCs w:val="21"/>
                    </w:rPr>
                  </w:pPr>
                  <w:r>
                    <w:rPr>
                      <w:rFonts w:ascii="Times New Roman" w:hAnsi="Times New Roman"/>
                      <w:kern w:val="0"/>
                      <w:szCs w:val="21"/>
                    </w:rPr>
                    <w:t>总悬浮颗粒物</w:t>
                  </w:r>
                </w:p>
              </w:tc>
              <w:tc>
                <w:tcPr>
                  <w:tcW w:w="2413" w:type="pct"/>
                  <w:noWrap w:val="0"/>
                  <w:vAlign w:val="center"/>
                </w:tcPr>
                <w:p>
                  <w:pPr>
                    <w:pStyle w:val="10"/>
                    <w:adjustRightInd w:val="0"/>
                    <w:spacing w:line="240" w:lineRule="atLeast"/>
                    <w:ind w:firstLine="6" w:firstLineChars="3"/>
                    <w:rPr>
                      <w:rFonts w:ascii="Times New Roman" w:hAnsi="Times New Roman"/>
                      <w:color w:val="000000"/>
                      <w:szCs w:val="21"/>
                    </w:rPr>
                  </w:pPr>
                  <w:r>
                    <w:rPr>
                      <w:rFonts w:ascii="Times New Roman" w:hAnsi="Times New Roman"/>
                      <w:color w:val="000000"/>
                      <w:szCs w:val="21"/>
                    </w:rPr>
                    <w:t>《环境空气 总悬浮颗粒物的测定  重量法》</w:t>
                  </w:r>
                </w:p>
                <w:p>
                  <w:pPr>
                    <w:pStyle w:val="10"/>
                    <w:adjustRightInd w:val="0"/>
                    <w:spacing w:line="240" w:lineRule="atLeast"/>
                    <w:ind w:firstLine="6" w:firstLineChars="3"/>
                    <w:rPr>
                      <w:rFonts w:ascii="Times New Roman" w:hAnsi="Times New Roman"/>
                      <w:szCs w:val="21"/>
                    </w:rPr>
                  </w:pPr>
                  <w:r>
                    <w:rPr>
                      <w:rFonts w:ascii="Times New Roman" w:hAnsi="Times New Roman"/>
                      <w:color w:val="000000"/>
                      <w:szCs w:val="21"/>
                    </w:rPr>
                    <w:t>GB/T 15432-1995</w:t>
                  </w:r>
                </w:p>
              </w:tc>
              <w:tc>
                <w:tcPr>
                  <w:tcW w:w="806" w:type="pct"/>
                  <w:noWrap w:val="0"/>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0.001mg/m</w:t>
                  </w:r>
                  <w:r>
                    <w:rPr>
                      <w:rFonts w:ascii="Times New Roman" w:hAnsi="Times New Roman"/>
                      <w:szCs w:val="21"/>
                      <w:vertAlign w:val="superscript"/>
                    </w:rPr>
                    <w:t>3</w:t>
                  </w:r>
                </w:p>
              </w:tc>
              <w:tc>
                <w:tcPr>
                  <w:tcW w:w="923" w:type="pct"/>
                  <w:noWrap w:val="0"/>
                  <w:vAlign w:val="center"/>
                </w:tcPr>
                <w:p>
                  <w:pPr>
                    <w:jc w:val="center"/>
                    <w:rPr>
                      <w:rFonts w:ascii="Times New Roman" w:hAnsi="Times New Roman"/>
                      <w:szCs w:val="21"/>
                    </w:rPr>
                  </w:pPr>
                  <w:r>
                    <w:rPr>
                      <w:rFonts w:ascii="Times New Roman" w:hAnsi="Times New Roman"/>
                      <w:szCs w:val="21"/>
                    </w:rPr>
                    <w:t>电子天平ESJ182-4</w:t>
                  </w:r>
                </w:p>
              </w:tc>
            </w:tr>
          </w:tbl>
          <w:p>
            <w:pPr>
              <w:adjustRightInd w:val="0"/>
              <w:snapToGrid w:val="0"/>
              <w:spacing w:line="360" w:lineRule="auto"/>
              <w:ind w:firstLine="480" w:firstLineChars="200"/>
              <w:rPr>
                <w:rFonts w:ascii="Times New Roman" w:hAnsi="Times New Roman"/>
                <w:sz w:val="24"/>
              </w:rPr>
            </w:pPr>
            <w:r>
              <w:rPr>
                <w:rFonts w:ascii="Times New Roman" w:hAnsi="Times New Roman"/>
                <w:sz w:val="24"/>
              </w:rPr>
              <w:t>⑤气象参数</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气温、气压、风向、风速等气象参数见表3-5。</w:t>
            </w:r>
          </w:p>
          <w:p>
            <w:pPr>
              <w:adjustRightInd w:val="0"/>
              <w:spacing w:line="360" w:lineRule="auto"/>
              <w:jc w:val="center"/>
              <w:rPr>
                <w:rFonts w:ascii="Times New Roman" w:hAnsi="Times New Roman" w:eastAsia="黑体"/>
                <w:sz w:val="24"/>
              </w:rPr>
            </w:pPr>
            <w:r>
              <w:rPr>
                <w:rFonts w:ascii="Times New Roman" w:hAnsi="Times New Roman" w:eastAsia="黑体"/>
                <w:sz w:val="24"/>
              </w:rPr>
              <w:t>表3-5    检测期间气象参数</w:t>
            </w:r>
          </w:p>
          <w:tbl>
            <w:tblPr>
              <w:tblStyle w:val="1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90"/>
              <w:gridCol w:w="1734"/>
              <w:gridCol w:w="1510"/>
              <w:gridCol w:w="1510"/>
              <w:gridCol w:w="1510"/>
              <w:gridCol w:w="15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90" w:type="dxa"/>
                  <w:noWrap w:val="0"/>
                  <w:vAlign w:val="center"/>
                </w:tcPr>
                <w:p>
                  <w:pPr>
                    <w:widowControl/>
                    <w:adjustRightInd w:val="0"/>
                    <w:snapToGrid w:val="0"/>
                    <w:spacing w:line="0" w:lineRule="atLeast"/>
                    <w:jc w:val="center"/>
                    <w:rPr>
                      <w:rFonts w:ascii="Times New Roman" w:hAnsi="Times New Roman"/>
                      <w:b/>
                      <w:bCs/>
                      <w:szCs w:val="21"/>
                    </w:rPr>
                  </w:pPr>
                  <w:r>
                    <w:rPr>
                      <w:rFonts w:ascii="Times New Roman" w:hAnsi="Times New Roman"/>
                      <w:b/>
                      <w:bCs/>
                      <w:kern w:val="0"/>
                      <w:szCs w:val="21"/>
                    </w:rPr>
                    <w:t>检测日期</w:t>
                  </w:r>
                </w:p>
              </w:tc>
              <w:tc>
                <w:tcPr>
                  <w:tcW w:w="1734" w:type="dxa"/>
                  <w:noWrap w:val="0"/>
                  <w:vAlign w:val="center"/>
                </w:tcPr>
                <w:p>
                  <w:pPr>
                    <w:widowControl/>
                    <w:adjustRightInd w:val="0"/>
                    <w:snapToGrid w:val="0"/>
                    <w:spacing w:line="0" w:lineRule="atLeast"/>
                    <w:jc w:val="center"/>
                    <w:rPr>
                      <w:rFonts w:ascii="Times New Roman" w:hAnsi="Times New Roman"/>
                      <w:b/>
                      <w:bCs/>
                      <w:szCs w:val="21"/>
                    </w:rPr>
                  </w:pPr>
                  <w:r>
                    <w:rPr>
                      <w:rFonts w:ascii="Times New Roman" w:hAnsi="Times New Roman"/>
                      <w:b/>
                      <w:bCs/>
                      <w:kern w:val="0"/>
                      <w:szCs w:val="21"/>
                    </w:rPr>
                    <w:t>检测时间</w:t>
                  </w:r>
                </w:p>
              </w:tc>
              <w:tc>
                <w:tcPr>
                  <w:tcW w:w="1510" w:type="dxa"/>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温度（℃）</w:t>
                  </w:r>
                </w:p>
              </w:tc>
              <w:tc>
                <w:tcPr>
                  <w:tcW w:w="1510" w:type="dxa"/>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气压（kPa）</w:t>
                  </w:r>
                </w:p>
              </w:tc>
              <w:tc>
                <w:tcPr>
                  <w:tcW w:w="1510" w:type="dxa"/>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风向</w:t>
                  </w:r>
                </w:p>
              </w:tc>
              <w:tc>
                <w:tcPr>
                  <w:tcW w:w="1511" w:type="dxa"/>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风速（m/s）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9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2021.02.26</w:t>
                  </w:r>
                </w:p>
              </w:tc>
              <w:tc>
                <w:tcPr>
                  <w:tcW w:w="1734" w:type="dxa"/>
                  <w:noWrap w:val="0"/>
                  <w:vAlign w:val="center"/>
                </w:tcPr>
                <w:p>
                  <w:pPr>
                    <w:adjustRightInd w:val="0"/>
                    <w:snapToGrid w:val="0"/>
                    <w:spacing w:line="0" w:lineRule="atLeast"/>
                    <w:jc w:val="center"/>
                    <w:rPr>
                      <w:rFonts w:ascii="Times New Roman" w:hAnsi="Times New Roman"/>
                      <w:szCs w:val="21"/>
                    </w:rPr>
                  </w:pP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8</w:t>
                  </w:r>
                  <w:r>
                    <w:rPr>
                      <w:b w:val="0"/>
                      <w:bCs w:val="0"/>
                      <w:color w:val="000000" w:themeColor="text1"/>
                      <w14:textFill>
                        <w14:solidFill>
                          <w14:schemeClr w14:val="tx1"/>
                        </w14:solidFill>
                      </w14:textFill>
                    </w:rPr>
                    <w:t>:00-</w:t>
                  </w:r>
                  <w:r>
                    <w:rPr>
                      <w:rFonts w:hint="eastAsia"/>
                      <w:b w:val="0"/>
                      <w:bCs w:val="0"/>
                      <w:color w:val="000000" w:themeColor="text1"/>
                      <w:lang w:eastAsia="zh-CN"/>
                      <w14:textFill>
                        <w14:solidFill>
                          <w14:schemeClr w14:val="tx1"/>
                        </w14:solidFill>
                      </w14:textFill>
                    </w:rPr>
                    <w:t>次日</w:t>
                  </w: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8:</w:t>
                  </w:r>
                  <w:r>
                    <w:rPr>
                      <w:b w:val="0"/>
                      <w:bCs w:val="0"/>
                      <w:color w:val="000000" w:themeColor="text1"/>
                      <w14:textFill>
                        <w14:solidFill>
                          <w14:schemeClr w14:val="tx1"/>
                        </w14:solidFill>
                      </w14:textFill>
                    </w:rPr>
                    <w:t>00</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7.6</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88.19</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SE</w:t>
                  </w:r>
                </w:p>
              </w:tc>
              <w:tc>
                <w:tcPr>
                  <w:tcW w:w="1511"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9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2021.02.27</w:t>
                  </w:r>
                </w:p>
              </w:tc>
              <w:tc>
                <w:tcPr>
                  <w:tcW w:w="1734" w:type="dxa"/>
                  <w:noWrap w:val="0"/>
                  <w:vAlign w:val="center"/>
                </w:tcPr>
                <w:p>
                  <w:pPr>
                    <w:adjustRightInd w:val="0"/>
                    <w:snapToGrid w:val="0"/>
                    <w:spacing w:line="0" w:lineRule="atLeast"/>
                    <w:jc w:val="center"/>
                    <w:rPr>
                      <w:rFonts w:ascii="Times New Roman" w:hAnsi="Times New Roman"/>
                      <w:szCs w:val="21"/>
                    </w:rPr>
                  </w:pP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8</w:t>
                  </w:r>
                  <w:r>
                    <w:rPr>
                      <w:b w:val="0"/>
                      <w:bCs w:val="0"/>
                      <w:color w:val="000000" w:themeColor="text1"/>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1</w:t>
                  </w:r>
                  <w:r>
                    <w:rPr>
                      <w:b w:val="0"/>
                      <w:bCs w:val="0"/>
                      <w:color w:val="000000" w:themeColor="text1"/>
                      <w14:textFill>
                        <w14:solidFill>
                          <w14:schemeClr w14:val="tx1"/>
                        </w14:solidFill>
                      </w14:textFill>
                    </w:rPr>
                    <w:t>0-</w:t>
                  </w:r>
                  <w:r>
                    <w:rPr>
                      <w:rFonts w:hint="eastAsia"/>
                      <w:b w:val="0"/>
                      <w:bCs w:val="0"/>
                      <w:color w:val="000000" w:themeColor="text1"/>
                      <w:lang w:eastAsia="zh-CN"/>
                      <w14:textFill>
                        <w14:solidFill>
                          <w14:schemeClr w14:val="tx1"/>
                        </w14:solidFill>
                      </w14:textFill>
                    </w:rPr>
                    <w:t>次日</w:t>
                  </w: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8:1</w:t>
                  </w:r>
                  <w:r>
                    <w:rPr>
                      <w:b w:val="0"/>
                      <w:bCs w:val="0"/>
                      <w:color w:val="000000" w:themeColor="text1"/>
                      <w14:textFill>
                        <w14:solidFill>
                          <w14:schemeClr w14:val="tx1"/>
                        </w14:solidFill>
                      </w14:textFill>
                    </w:rPr>
                    <w:t>0</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3.5</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88.34</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NW</w:t>
                  </w:r>
                </w:p>
              </w:tc>
              <w:tc>
                <w:tcPr>
                  <w:tcW w:w="1511"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9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2021.02.28</w:t>
                  </w:r>
                </w:p>
              </w:tc>
              <w:tc>
                <w:tcPr>
                  <w:tcW w:w="1734" w:type="dxa"/>
                  <w:noWrap w:val="0"/>
                  <w:vAlign w:val="center"/>
                </w:tcPr>
                <w:p>
                  <w:pPr>
                    <w:adjustRightInd w:val="0"/>
                    <w:snapToGrid w:val="0"/>
                    <w:spacing w:line="0" w:lineRule="atLeast"/>
                    <w:jc w:val="center"/>
                    <w:rPr>
                      <w:rFonts w:ascii="Times New Roman" w:hAnsi="Times New Roman"/>
                      <w:szCs w:val="21"/>
                    </w:rPr>
                  </w:pP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8</w:t>
                  </w:r>
                  <w:r>
                    <w:rPr>
                      <w:b w:val="0"/>
                      <w:bCs w:val="0"/>
                      <w:color w:val="000000" w:themeColor="text1"/>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2</w:t>
                  </w:r>
                  <w:r>
                    <w:rPr>
                      <w:b w:val="0"/>
                      <w:bCs w:val="0"/>
                      <w:color w:val="000000" w:themeColor="text1"/>
                      <w14:textFill>
                        <w14:solidFill>
                          <w14:schemeClr w14:val="tx1"/>
                        </w14:solidFill>
                      </w14:textFill>
                    </w:rPr>
                    <w:t>0-</w:t>
                  </w:r>
                  <w:r>
                    <w:rPr>
                      <w:rFonts w:hint="eastAsia"/>
                      <w:b w:val="0"/>
                      <w:bCs w:val="0"/>
                      <w:color w:val="000000" w:themeColor="text1"/>
                      <w:lang w:eastAsia="zh-CN"/>
                      <w14:textFill>
                        <w14:solidFill>
                          <w14:schemeClr w14:val="tx1"/>
                        </w14:solidFill>
                      </w14:textFill>
                    </w:rPr>
                    <w:t>次日</w:t>
                  </w: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8:2</w:t>
                  </w:r>
                  <w:r>
                    <w:rPr>
                      <w:b w:val="0"/>
                      <w:bCs w:val="0"/>
                      <w:color w:val="000000" w:themeColor="text1"/>
                      <w14:textFill>
                        <w14:solidFill>
                          <w14:schemeClr w14:val="tx1"/>
                        </w14:solidFill>
                      </w14:textFill>
                    </w:rPr>
                    <w:t>0</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1.3</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88.52</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W</w:t>
                  </w:r>
                </w:p>
              </w:tc>
              <w:tc>
                <w:tcPr>
                  <w:tcW w:w="1511"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9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2021.03.01</w:t>
                  </w:r>
                </w:p>
              </w:tc>
              <w:tc>
                <w:tcPr>
                  <w:tcW w:w="1734" w:type="dxa"/>
                  <w:noWrap w:val="0"/>
                  <w:vAlign w:val="center"/>
                </w:tcPr>
                <w:p>
                  <w:pPr>
                    <w:adjustRightInd w:val="0"/>
                    <w:snapToGrid w:val="0"/>
                    <w:spacing w:line="0" w:lineRule="atLeast"/>
                    <w:jc w:val="center"/>
                    <w:rPr>
                      <w:rFonts w:ascii="Times New Roman" w:hAnsi="Times New Roman"/>
                      <w:szCs w:val="21"/>
                    </w:rPr>
                  </w:pP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8</w:t>
                  </w:r>
                  <w:r>
                    <w:rPr>
                      <w:b w:val="0"/>
                      <w:bCs w:val="0"/>
                      <w:color w:val="000000" w:themeColor="text1"/>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3</w:t>
                  </w:r>
                  <w:r>
                    <w:rPr>
                      <w:b w:val="0"/>
                      <w:bCs w:val="0"/>
                      <w:color w:val="000000" w:themeColor="text1"/>
                      <w14:textFill>
                        <w14:solidFill>
                          <w14:schemeClr w14:val="tx1"/>
                        </w14:solidFill>
                      </w14:textFill>
                    </w:rPr>
                    <w:t>0-</w:t>
                  </w:r>
                  <w:r>
                    <w:rPr>
                      <w:rFonts w:hint="eastAsia"/>
                      <w:b w:val="0"/>
                      <w:bCs w:val="0"/>
                      <w:color w:val="000000" w:themeColor="text1"/>
                      <w:lang w:eastAsia="zh-CN"/>
                      <w14:textFill>
                        <w14:solidFill>
                          <w14:schemeClr w14:val="tx1"/>
                        </w14:solidFill>
                      </w14:textFill>
                    </w:rPr>
                    <w:t>次日</w:t>
                  </w: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8:3</w:t>
                  </w:r>
                  <w:r>
                    <w:rPr>
                      <w:b w:val="0"/>
                      <w:bCs w:val="0"/>
                      <w:color w:val="000000" w:themeColor="text1"/>
                      <w14:textFill>
                        <w14:solidFill>
                          <w14:schemeClr w14:val="tx1"/>
                        </w14:solidFill>
                      </w14:textFill>
                    </w:rPr>
                    <w:t>0</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2.4</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88.45</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SW</w:t>
                  </w:r>
                </w:p>
              </w:tc>
              <w:tc>
                <w:tcPr>
                  <w:tcW w:w="1511"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9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2021.03.02</w:t>
                  </w:r>
                </w:p>
              </w:tc>
              <w:tc>
                <w:tcPr>
                  <w:tcW w:w="1734" w:type="dxa"/>
                  <w:noWrap w:val="0"/>
                  <w:vAlign w:val="center"/>
                </w:tcPr>
                <w:p>
                  <w:pPr>
                    <w:adjustRightInd w:val="0"/>
                    <w:snapToGrid w:val="0"/>
                    <w:spacing w:line="0" w:lineRule="atLeast"/>
                    <w:jc w:val="center"/>
                    <w:rPr>
                      <w:rFonts w:ascii="Times New Roman" w:hAnsi="Times New Roman"/>
                      <w:szCs w:val="21"/>
                    </w:rPr>
                  </w:pP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8</w:t>
                  </w:r>
                  <w:r>
                    <w:rPr>
                      <w:b w:val="0"/>
                      <w:bCs w:val="0"/>
                      <w:color w:val="000000" w:themeColor="text1"/>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4</w:t>
                  </w:r>
                  <w:r>
                    <w:rPr>
                      <w:b w:val="0"/>
                      <w:bCs w:val="0"/>
                      <w:color w:val="000000" w:themeColor="text1"/>
                      <w14:textFill>
                        <w14:solidFill>
                          <w14:schemeClr w14:val="tx1"/>
                        </w14:solidFill>
                      </w14:textFill>
                    </w:rPr>
                    <w:t>0-</w:t>
                  </w:r>
                  <w:r>
                    <w:rPr>
                      <w:rFonts w:hint="eastAsia"/>
                      <w:b w:val="0"/>
                      <w:bCs w:val="0"/>
                      <w:color w:val="000000" w:themeColor="text1"/>
                      <w:lang w:eastAsia="zh-CN"/>
                      <w14:textFill>
                        <w14:solidFill>
                          <w14:schemeClr w14:val="tx1"/>
                        </w14:solidFill>
                      </w14:textFill>
                    </w:rPr>
                    <w:t>次日</w:t>
                  </w: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8:4</w:t>
                  </w:r>
                  <w:r>
                    <w:rPr>
                      <w:b w:val="0"/>
                      <w:bCs w:val="0"/>
                      <w:color w:val="000000" w:themeColor="text1"/>
                      <w14:textFill>
                        <w14:solidFill>
                          <w14:schemeClr w14:val="tx1"/>
                        </w14:solidFill>
                      </w14:textFill>
                    </w:rPr>
                    <w:t>0</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6.5</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88.29</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SW</w:t>
                  </w:r>
                </w:p>
              </w:tc>
              <w:tc>
                <w:tcPr>
                  <w:tcW w:w="1511"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9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2021.03.03</w:t>
                  </w:r>
                </w:p>
              </w:tc>
              <w:tc>
                <w:tcPr>
                  <w:tcW w:w="1734" w:type="dxa"/>
                  <w:noWrap w:val="0"/>
                  <w:vAlign w:val="center"/>
                </w:tcPr>
                <w:p>
                  <w:pPr>
                    <w:adjustRightInd w:val="0"/>
                    <w:snapToGrid w:val="0"/>
                    <w:spacing w:line="0" w:lineRule="atLeast"/>
                    <w:jc w:val="center"/>
                    <w:rPr>
                      <w:rFonts w:ascii="Times New Roman" w:hAnsi="Times New Roman"/>
                      <w:szCs w:val="21"/>
                    </w:rPr>
                  </w:pP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8</w:t>
                  </w:r>
                  <w:r>
                    <w:rPr>
                      <w:b w:val="0"/>
                      <w:bCs w:val="0"/>
                      <w:color w:val="000000" w:themeColor="text1"/>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5</w:t>
                  </w:r>
                  <w:r>
                    <w:rPr>
                      <w:b w:val="0"/>
                      <w:bCs w:val="0"/>
                      <w:color w:val="000000" w:themeColor="text1"/>
                      <w14:textFill>
                        <w14:solidFill>
                          <w14:schemeClr w14:val="tx1"/>
                        </w14:solidFill>
                      </w14:textFill>
                    </w:rPr>
                    <w:t>0-</w:t>
                  </w:r>
                  <w:r>
                    <w:rPr>
                      <w:rFonts w:hint="eastAsia"/>
                      <w:b w:val="0"/>
                      <w:bCs w:val="0"/>
                      <w:color w:val="000000" w:themeColor="text1"/>
                      <w:lang w:eastAsia="zh-CN"/>
                      <w14:textFill>
                        <w14:solidFill>
                          <w14:schemeClr w14:val="tx1"/>
                        </w14:solidFill>
                      </w14:textFill>
                    </w:rPr>
                    <w:t>次日</w:t>
                  </w: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8:5</w:t>
                  </w:r>
                  <w:r>
                    <w:rPr>
                      <w:b w:val="0"/>
                      <w:bCs w:val="0"/>
                      <w:color w:val="000000" w:themeColor="text1"/>
                      <w14:textFill>
                        <w14:solidFill>
                          <w14:schemeClr w14:val="tx1"/>
                        </w14:solidFill>
                      </w14:textFill>
                    </w:rPr>
                    <w:t>0</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7.3</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88.12</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SW</w:t>
                  </w:r>
                </w:p>
              </w:tc>
              <w:tc>
                <w:tcPr>
                  <w:tcW w:w="1511"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9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2021.03.04</w:t>
                  </w:r>
                </w:p>
              </w:tc>
              <w:tc>
                <w:tcPr>
                  <w:tcW w:w="1734" w:type="dxa"/>
                  <w:noWrap w:val="0"/>
                  <w:vAlign w:val="center"/>
                </w:tcPr>
                <w:p>
                  <w:pPr>
                    <w:adjustRightInd w:val="0"/>
                    <w:snapToGrid w:val="0"/>
                    <w:spacing w:line="0" w:lineRule="atLeast"/>
                    <w:jc w:val="center"/>
                    <w:rPr>
                      <w:rFonts w:ascii="Times New Roman" w:hAnsi="Times New Roman"/>
                      <w:szCs w:val="21"/>
                    </w:rPr>
                  </w:pP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9</w:t>
                  </w:r>
                  <w:r>
                    <w:rPr>
                      <w:b w:val="0"/>
                      <w:bCs w:val="0"/>
                      <w:color w:val="000000" w:themeColor="text1"/>
                      <w14:textFill>
                        <w14:solidFill>
                          <w14:schemeClr w14:val="tx1"/>
                        </w14:solidFill>
                      </w14:textFill>
                    </w:rPr>
                    <w:t>:00-</w:t>
                  </w:r>
                  <w:r>
                    <w:rPr>
                      <w:rFonts w:hint="eastAsia"/>
                      <w:b w:val="0"/>
                      <w:bCs w:val="0"/>
                      <w:color w:val="000000" w:themeColor="text1"/>
                      <w:lang w:eastAsia="zh-CN"/>
                      <w14:textFill>
                        <w14:solidFill>
                          <w14:schemeClr w14:val="tx1"/>
                        </w14:solidFill>
                      </w14:textFill>
                    </w:rPr>
                    <w:t>次日</w:t>
                  </w:r>
                  <w:r>
                    <w:rPr>
                      <w:b w:val="0"/>
                      <w:bCs w:val="0"/>
                      <w:color w:val="000000" w:themeColor="text1"/>
                      <w14:textFill>
                        <w14:solidFill>
                          <w14:schemeClr w14:val="tx1"/>
                        </w14:solidFill>
                      </w14:textFill>
                    </w:rPr>
                    <w:t>0</w:t>
                  </w:r>
                  <w:r>
                    <w:rPr>
                      <w:rFonts w:hint="eastAsia"/>
                      <w:b w:val="0"/>
                      <w:bCs w:val="0"/>
                      <w:color w:val="000000" w:themeColor="text1"/>
                      <w:lang w:val="en-US" w:eastAsia="zh-CN"/>
                      <w14:textFill>
                        <w14:solidFill>
                          <w14:schemeClr w14:val="tx1"/>
                        </w14:solidFill>
                      </w14:textFill>
                    </w:rPr>
                    <w:t>9:</w:t>
                  </w:r>
                  <w:r>
                    <w:rPr>
                      <w:b w:val="0"/>
                      <w:bCs w:val="0"/>
                      <w:color w:val="000000" w:themeColor="text1"/>
                      <w14:textFill>
                        <w14:solidFill>
                          <w14:schemeClr w14:val="tx1"/>
                        </w14:solidFill>
                      </w14:textFill>
                    </w:rPr>
                    <w:t>00</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9.3</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87.88</w:t>
                  </w:r>
                </w:p>
              </w:tc>
              <w:tc>
                <w:tcPr>
                  <w:tcW w:w="1510"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SE</w:t>
                  </w:r>
                </w:p>
              </w:tc>
              <w:tc>
                <w:tcPr>
                  <w:tcW w:w="1511" w:type="dxa"/>
                  <w:noWrap w:val="0"/>
                  <w:vAlign w:val="center"/>
                </w:tcPr>
                <w:p>
                  <w:pPr>
                    <w:adjustRightInd w:val="0"/>
                    <w:snapToGrid w:val="0"/>
                    <w:spacing w:line="0" w:lineRule="atLeast"/>
                    <w:jc w:val="center"/>
                    <w:rPr>
                      <w:rFonts w:ascii="Times New Roman" w:hAnsi="Times New Roman"/>
                      <w:szCs w:val="21"/>
                    </w:rPr>
                  </w:pPr>
                  <w:r>
                    <w:rPr>
                      <w:rFonts w:hint="eastAsia"/>
                      <w:b w:val="0"/>
                      <w:bCs w:val="0"/>
                      <w:color w:val="000000" w:themeColor="text1"/>
                      <w:szCs w:val="21"/>
                      <w:lang w:val="en-US" w:eastAsia="zh-CN"/>
                      <w14:textFill>
                        <w14:solidFill>
                          <w14:schemeClr w14:val="tx1"/>
                        </w14:solidFill>
                      </w14:textFill>
                    </w:rPr>
                    <w:t>2.0</w:t>
                  </w:r>
                </w:p>
              </w:tc>
            </w:tr>
          </w:tbl>
          <w:p>
            <w:pPr>
              <w:adjustRightInd w:val="0"/>
              <w:snapToGrid w:val="0"/>
              <w:spacing w:line="360" w:lineRule="auto"/>
              <w:ind w:firstLine="480" w:firstLineChars="200"/>
              <w:rPr>
                <w:rFonts w:ascii="Times New Roman" w:hAnsi="Times New Roman"/>
                <w:sz w:val="24"/>
              </w:rPr>
            </w:pPr>
            <w:r>
              <w:rPr>
                <w:rFonts w:ascii="Times New Roman" w:hAnsi="Times New Roman"/>
                <w:sz w:val="24"/>
              </w:rPr>
              <w:t>⑥监测结果统计分析</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项目总悬浮颗粒物监测结果统计分析见表3-6。</w:t>
            </w:r>
          </w:p>
          <w:p>
            <w:pPr>
              <w:adjustRightInd w:val="0"/>
              <w:spacing w:line="360" w:lineRule="auto"/>
              <w:jc w:val="center"/>
              <w:rPr>
                <w:rFonts w:ascii="Times New Roman" w:hAnsi="Times New Roman" w:eastAsia="黑体"/>
                <w:sz w:val="24"/>
              </w:rPr>
            </w:pPr>
            <w:r>
              <w:rPr>
                <w:rFonts w:ascii="Times New Roman" w:hAnsi="Times New Roman" w:eastAsia="黑体"/>
                <w:sz w:val="24"/>
              </w:rPr>
              <w:t>表3-6    环境空气质量现状监测结果统计分析表</w:t>
            </w:r>
          </w:p>
          <w:tbl>
            <w:tblPr>
              <w:tblStyle w:val="1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40"/>
              <w:gridCol w:w="2025"/>
              <w:gridCol w:w="1269"/>
              <w:gridCol w:w="1622"/>
              <w:gridCol w:w="1276"/>
              <w:gridCol w:w="860"/>
              <w:gridCol w:w="77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3" w:type="pct"/>
                  <w:vMerge w:val="restart"/>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监测点位</w:t>
                  </w:r>
                </w:p>
              </w:tc>
              <w:tc>
                <w:tcPr>
                  <w:tcW w:w="1116" w:type="pct"/>
                  <w:vMerge w:val="restart"/>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污染物</w:t>
                  </w:r>
                </w:p>
              </w:tc>
              <w:tc>
                <w:tcPr>
                  <w:tcW w:w="699" w:type="pct"/>
                  <w:vMerge w:val="restart"/>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评价标准(μg/m</w:t>
                  </w:r>
                  <w:r>
                    <w:rPr>
                      <w:rFonts w:ascii="Times New Roman" w:hAnsi="Times New Roman"/>
                      <w:b/>
                      <w:bCs/>
                      <w:sz w:val="21"/>
                      <w:szCs w:val="21"/>
                      <w:vertAlign w:val="superscript"/>
                    </w:rPr>
                    <w:t>3</w:t>
                  </w:r>
                  <w:r>
                    <w:rPr>
                      <w:rFonts w:ascii="Times New Roman" w:hAnsi="Times New Roman"/>
                      <w:b/>
                      <w:bCs/>
                      <w:sz w:val="21"/>
                      <w:szCs w:val="21"/>
                    </w:rPr>
                    <w:t>)</w:t>
                  </w:r>
                </w:p>
              </w:tc>
              <w:tc>
                <w:tcPr>
                  <w:tcW w:w="894" w:type="pct"/>
                  <w:vMerge w:val="restart"/>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监测浓度范围(μg/m</w:t>
                  </w:r>
                  <w:r>
                    <w:rPr>
                      <w:rFonts w:ascii="Times New Roman" w:hAnsi="Times New Roman"/>
                      <w:b/>
                      <w:bCs/>
                      <w:sz w:val="21"/>
                      <w:szCs w:val="21"/>
                      <w:vertAlign w:val="superscript"/>
                    </w:rPr>
                    <w:t>3</w:t>
                  </w:r>
                  <w:r>
                    <w:rPr>
                      <w:rFonts w:ascii="Times New Roman" w:hAnsi="Times New Roman"/>
                      <w:b/>
                      <w:bCs/>
                      <w:sz w:val="21"/>
                      <w:szCs w:val="21"/>
                    </w:rPr>
                    <w:t>)</w:t>
                  </w:r>
                </w:p>
              </w:tc>
              <w:tc>
                <w:tcPr>
                  <w:tcW w:w="703" w:type="pct"/>
                  <w:vMerge w:val="restart"/>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最大浓度占标率/%</w:t>
                  </w:r>
                </w:p>
              </w:tc>
              <w:tc>
                <w:tcPr>
                  <w:tcW w:w="474" w:type="pct"/>
                  <w:vMerge w:val="restart"/>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超标率/%</w:t>
                  </w:r>
                </w:p>
              </w:tc>
              <w:tc>
                <w:tcPr>
                  <w:tcW w:w="426" w:type="pct"/>
                  <w:vMerge w:val="restart"/>
                  <w:noWrap w:val="0"/>
                  <w:vAlign w:val="center"/>
                </w:tcPr>
                <w:p>
                  <w:pPr>
                    <w:pStyle w:val="2"/>
                    <w:adjustRightInd w:val="0"/>
                    <w:snapToGrid w:val="0"/>
                    <w:spacing w:line="0" w:lineRule="atLeast"/>
                    <w:ind w:firstLine="0" w:firstLineChars="0"/>
                    <w:jc w:val="center"/>
                    <w:rPr>
                      <w:rFonts w:ascii="Times New Roman" w:hAnsi="Times New Roman"/>
                      <w:b/>
                      <w:bCs/>
                      <w:sz w:val="21"/>
                      <w:szCs w:val="21"/>
                    </w:rPr>
                  </w:pPr>
                  <w:r>
                    <w:rPr>
                      <w:rFonts w:ascii="Times New Roman" w:hAnsi="Times New Roman"/>
                      <w:b/>
                      <w:bCs/>
                      <w:sz w:val="21"/>
                      <w:szCs w:val="21"/>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83" w:type="pct"/>
                  <w:vMerge w:val="continue"/>
                  <w:noWrap w:val="0"/>
                  <w:vAlign w:val="center"/>
                </w:tcPr>
                <w:p>
                  <w:pPr>
                    <w:pStyle w:val="2"/>
                    <w:adjustRightInd w:val="0"/>
                    <w:snapToGrid w:val="0"/>
                    <w:spacing w:line="0" w:lineRule="atLeast"/>
                    <w:ind w:firstLine="0" w:firstLineChars="0"/>
                    <w:jc w:val="center"/>
                    <w:rPr>
                      <w:rFonts w:ascii="Times New Roman" w:hAnsi="Times New Roman"/>
                      <w:sz w:val="21"/>
                      <w:szCs w:val="21"/>
                    </w:rPr>
                  </w:pPr>
                </w:p>
              </w:tc>
              <w:tc>
                <w:tcPr>
                  <w:tcW w:w="1116" w:type="pct"/>
                  <w:vMerge w:val="continue"/>
                  <w:noWrap w:val="0"/>
                  <w:vAlign w:val="center"/>
                </w:tcPr>
                <w:p>
                  <w:pPr>
                    <w:pStyle w:val="2"/>
                    <w:adjustRightInd w:val="0"/>
                    <w:snapToGrid w:val="0"/>
                    <w:spacing w:line="0" w:lineRule="atLeast"/>
                    <w:ind w:firstLine="0" w:firstLineChars="0"/>
                    <w:jc w:val="center"/>
                    <w:rPr>
                      <w:rFonts w:ascii="Times New Roman" w:hAnsi="Times New Roman"/>
                      <w:sz w:val="21"/>
                      <w:szCs w:val="21"/>
                    </w:rPr>
                  </w:pPr>
                </w:p>
              </w:tc>
              <w:tc>
                <w:tcPr>
                  <w:tcW w:w="699" w:type="pct"/>
                  <w:vMerge w:val="continue"/>
                  <w:noWrap w:val="0"/>
                  <w:vAlign w:val="center"/>
                </w:tcPr>
                <w:p>
                  <w:pPr>
                    <w:pStyle w:val="2"/>
                    <w:adjustRightInd w:val="0"/>
                    <w:snapToGrid w:val="0"/>
                    <w:spacing w:line="0" w:lineRule="atLeast"/>
                    <w:ind w:firstLine="0" w:firstLineChars="0"/>
                    <w:jc w:val="center"/>
                    <w:rPr>
                      <w:rFonts w:ascii="Times New Roman" w:hAnsi="Times New Roman"/>
                      <w:sz w:val="21"/>
                      <w:szCs w:val="21"/>
                    </w:rPr>
                  </w:pPr>
                </w:p>
              </w:tc>
              <w:tc>
                <w:tcPr>
                  <w:tcW w:w="894" w:type="pct"/>
                  <w:vMerge w:val="continue"/>
                  <w:noWrap w:val="0"/>
                  <w:vAlign w:val="center"/>
                </w:tcPr>
                <w:p>
                  <w:pPr>
                    <w:pStyle w:val="2"/>
                    <w:adjustRightInd w:val="0"/>
                    <w:snapToGrid w:val="0"/>
                    <w:spacing w:line="0" w:lineRule="atLeast"/>
                    <w:ind w:firstLine="0" w:firstLineChars="0"/>
                    <w:jc w:val="center"/>
                    <w:rPr>
                      <w:rFonts w:ascii="Times New Roman" w:hAnsi="Times New Roman"/>
                      <w:sz w:val="21"/>
                      <w:szCs w:val="21"/>
                    </w:rPr>
                  </w:pPr>
                </w:p>
              </w:tc>
              <w:tc>
                <w:tcPr>
                  <w:tcW w:w="703" w:type="pct"/>
                  <w:vMerge w:val="continue"/>
                  <w:noWrap w:val="0"/>
                  <w:vAlign w:val="center"/>
                </w:tcPr>
                <w:p>
                  <w:pPr>
                    <w:pStyle w:val="2"/>
                    <w:adjustRightInd w:val="0"/>
                    <w:snapToGrid w:val="0"/>
                    <w:spacing w:line="0" w:lineRule="atLeast"/>
                    <w:ind w:firstLine="0" w:firstLineChars="0"/>
                    <w:jc w:val="center"/>
                    <w:rPr>
                      <w:rFonts w:ascii="Times New Roman" w:hAnsi="Times New Roman"/>
                      <w:sz w:val="21"/>
                      <w:szCs w:val="21"/>
                    </w:rPr>
                  </w:pPr>
                </w:p>
              </w:tc>
              <w:tc>
                <w:tcPr>
                  <w:tcW w:w="474" w:type="pct"/>
                  <w:vMerge w:val="continue"/>
                  <w:noWrap w:val="0"/>
                  <w:vAlign w:val="center"/>
                </w:tcPr>
                <w:p>
                  <w:pPr>
                    <w:pStyle w:val="2"/>
                    <w:adjustRightInd w:val="0"/>
                    <w:snapToGrid w:val="0"/>
                    <w:spacing w:line="0" w:lineRule="atLeast"/>
                    <w:ind w:firstLine="0" w:firstLineChars="0"/>
                    <w:jc w:val="center"/>
                    <w:rPr>
                      <w:rFonts w:ascii="Times New Roman" w:hAnsi="Times New Roman"/>
                      <w:sz w:val="21"/>
                      <w:szCs w:val="21"/>
                    </w:rPr>
                  </w:pPr>
                </w:p>
              </w:tc>
              <w:tc>
                <w:tcPr>
                  <w:tcW w:w="426" w:type="pct"/>
                  <w:vMerge w:val="continue"/>
                  <w:noWrap w:val="0"/>
                  <w:vAlign w:val="center"/>
                </w:tcPr>
                <w:p>
                  <w:pPr>
                    <w:pStyle w:val="2"/>
                    <w:adjustRightInd w:val="0"/>
                    <w:snapToGrid w:val="0"/>
                    <w:spacing w:line="0" w:lineRule="atLeast"/>
                    <w:ind w:firstLine="0" w:firstLineChars="0"/>
                    <w:jc w:val="center"/>
                    <w:rPr>
                      <w:rFonts w:ascii="Times New Roman" w:hAnsi="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39" w:type="dxa"/>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ascii="Times New Roman" w:hAnsi="Times New Roman"/>
                      <w:sz w:val="21"/>
                      <w:szCs w:val="21"/>
                    </w:rPr>
                    <w:t>G</w:t>
                  </w:r>
                  <w:r>
                    <w:rPr>
                      <w:rFonts w:hint="eastAsia" w:ascii="Times New Roman" w:hAnsi="Times New Roman"/>
                      <w:sz w:val="21"/>
                      <w:szCs w:val="21"/>
                      <w:lang w:val="en-US" w:eastAsia="zh-CN"/>
                    </w:rPr>
                    <w:t>1</w:t>
                  </w:r>
                  <w:r>
                    <w:rPr>
                      <w:rFonts w:ascii="Times New Roman" w:hAnsi="Times New Roman"/>
                      <w:sz w:val="21"/>
                      <w:szCs w:val="21"/>
                    </w:rPr>
                    <w:t xml:space="preserve"> </w:t>
                  </w:r>
                </w:p>
              </w:tc>
              <w:tc>
                <w:tcPr>
                  <w:tcW w:w="2025" w:type="dxa"/>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ascii="Times New Roman" w:hAnsi="Times New Roman"/>
                      <w:sz w:val="21"/>
                      <w:szCs w:val="21"/>
                    </w:rPr>
                    <w:t>总悬浮颗粒物</w:t>
                  </w:r>
                </w:p>
              </w:tc>
              <w:tc>
                <w:tcPr>
                  <w:tcW w:w="1269" w:type="dxa"/>
                  <w:noWrap w:val="0"/>
                  <w:vAlign w:val="center"/>
                </w:tcPr>
                <w:p>
                  <w:pPr>
                    <w:pStyle w:val="2"/>
                    <w:adjustRightInd w:val="0"/>
                    <w:snapToGrid w:val="0"/>
                    <w:spacing w:line="0" w:lineRule="atLeast"/>
                    <w:ind w:firstLine="0" w:firstLineChars="0"/>
                    <w:jc w:val="center"/>
                    <w:rPr>
                      <w:rFonts w:ascii="Times New Roman" w:hAnsi="Times New Roman"/>
                      <w:color w:val="000000"/>
                      <w:sz w:val="21"/>
                      <w:szCs w:val="21"/>
                    </w:rPr>
                  </w:pPr>
                  <w:r>
                    <w:rPr>
                      <w:rFonts w:ascii="Times New Roman" w:hAnsi="Times New Roman"/>
                      <w:color w:val="000000"/>
                      <w:sz w:val="21"/>
                      <w:szCs w:val="21"/>
                    </w:rPr>
                    <w:t>300</w:t>
                  </w:r>
                </w:p>
              </w:tc>
              <w:tc>
                <w:tcPr>
                  <w:tcW w:w="894" w:type="pct"/>
                  <w:noWrap w:val="0"/>
                  <w:vAlign w:val="center"/>
                </w:tcPr>
                <w:p>
                  <w:pPr>
                    <w:pStyle w:val="2"/>
                    <w:adjustRightInd w:val="0"/>
                    <w:snapToGrid w:val="0"/>
                    <w:spacing w:line="0" w:lineRule="atLeast"/>
                    <w:ind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137~190</w:t>
                  </w:r>
                </w:p>
              </w:tc>
              <w:tc>
                <w:tcPr>
                  <w:tcW w:w="703" w:type="pct"/>
                  <w:noWrap w:val="0"/>
                  <w:vAlign w:val="center"/>
                </w:tcPr>
                <w:p>
                  <w:pPr>
                    <w:pStyle w:val="2"/>
                    <w:adjustRightInd w:val="0"/>
                    <w:snapToGrid w:val="0"/>
                    <w:spacing w:line="0" w:lineRule="atLeast"/>
                    <w:ind w:firstLine="0" w:firstLineChars="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63.33</w:t>
                  </w:r>
                </w:p>
              </w:tc>
              <w:tc>
                <w:tcPr>
                  <w:tcW w:w="474" w:type="pct"/>
                  <w:noWrap w:val="0"/>
                  <w:vAlign w:val="center"/>
                </w:tcPr>
                <w:p>
                  <w:pPr>
                    <w:pStyle w:val="2"/>
                    <w:adjustRightInd w:val="0"/>
                    <w:snapToGrid w:val="0"/>
                    <w:spacing w:line="0" w:lineRule="atLeast"/>
                    <w:ind w:firstLine="0" w:firstLineChars="0"/>
                    <w:jc w:val="center"/>
                    <w:rPr>
                      <w:rFonts w:hint="eastAsia" w:ascii="Times New Roman" w:hAnsi="Times New Roman" w:eastAsia="宋体"/>
                      <w:sz w:val="21"/>
                      <w:szCs w:val="21"/>
                      <w:lang w:val="en-US" w:eastAsia="zh-CN"/>
                    </w:rPr>
                  </w:pPr>
                  <w:r>
                    <w:rPr>
                      <w:rFonts w:hint="eastAsia"/>
                      <w:sz w:val="21"/>
                      <w:szCs w:val="21"/>
                      <w:lang w:val="en-US" w:eastAsia="zh-CN"/>
                    </w:rPr>
                    <w:t>0</w:t>
                  </w:r>
                </w:p>
              </w:tc>
              <w:tc>
                <w:tcPr>
                  <w:tcW w:w="426" w:type="pct"/>
                  <w:noWrap w:val="0"/>
                  <w:vAlign w:val="center"/>
                </w:tcPr>
                <w:p>
                  <w:pPr>
                    <w:pStyle w:val="2"/>
                    <w:adjustRightInd w:val="0"/>
                    <w:snapToGrid w:val="0"/>
                    <w:spacing w:line="0" w:lineRule="atLeast"/>
                    <w:ind w:firstLine="0" w:firstLineChars="0"/>
                    <w:jc w:val="center"/>
                    <w:rPr>
                      <w:rFonts w:hint="eastAsia" w:ascii="Times New Roman" w:hAnsi="Times New Roman" w:eastAsia="宋体"/>
                      <w:sz w:val="21"/>
                      <w:szCs w:val="21"/>
                      <w:lang w:eastAsia="zh-CN"/>
                    </w:rPr>
                  </w:pPr>
                  <w:r>
                    <w:rPr>
                      <w:rFonts w:hint="eastAsia"/>
                      <w:sz w:val="21"/>
                      <w:szCs w:val="21"/>
                      <w:lang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39" w:type="dxa"/>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ascii="Times New Roman" w:hAnsi="Times New Roman"/>
                      <w:sz w:val="21"/>
                      <w:szCs w:val="21"/>
                    </w:rPr>
                    <w:t>G</w:t>
                  </w:r>
                  <w:r>
                    <w:rPr>
                      <w:rFonts w:hint="eastAsia"/>
                      <w:sz w:val="21"/>
                      <w:szCs w:val="21"/>
                      <w:lang w:val="en-US" w:eastAsia="zh-CN"/>
                    </w:rPr>
                    <w:t>2</w:t>
                  </w:r>
                </w:p>
              </w:tc>
              <w:tc>
                <w:tcPr>
                  <w:tcW w:w="2025" w:type="dxa"/>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ascii="Times New Roman" w:hAnsi="Times New Roman"/>
                      <w:sz w:val="21"/>
                      <w:szCs w:val="21"/>
                    </w:rPr>
                    <w:t>总悬浮颗粒物</w:t>
                  </w:r>
                </w:p>
              </w:tc>
              <w:tc>
                <w:tcPr>
                  <w:tcW w:w="1269" w:type="dxa"/>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ascii="Times New Roman" w:hAnsi="Times New Roman"/>
                      <w:color w:val="000000"/>
                      <w:sz w:val="21"/>
                      <w:szCs w:val="21"/>
                    </w:rPr>
                    <w:t>300</w:t>
                  </w:r>
                </w:p>
              </w:tc>
              <w:tc>
                <w:tcPr>
                  <w:tcW w:w="894" w:type="pct"/>
                  <w:noWrap w:val="0"/>
                  <w:vAlign w:val="center"/>
                </w:tcPr>
                <w:p>
                  <w:pPr>
                    <w:pStyle w:val="2"/>
                    <w:adjustRightInd w:val="0"/>
                    <w:snapToGrid w:val="0"/>
                    <w:spacing w:line="0" w:lineRule="atLeast"/>
                    <w:ind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124</w:t>
                  </w:r>
                  <w:r>
                    <w:rPr>
                      <w:rFonts w:ascii="Times New Roman" w:hAnsi="Times New Roman"/>
                      <w:sz w:val="21"/>
                      <w:szCs w:val="21"/>
                    </w:rPr>
                    <w:t>~</w:t>
                  </w:r>
                  <w:r>
                    <w:rPr>
                      <w:rFonts w:hint="eastAsia"/>
                      <w:sz w:val="21"/>
                      <w:szCs w:val="21"/>
                      <w:lang w:val="en-US" w:eastAsia="zh-CN"/>
                    </w:rPr>
                    <w:t>194</w:t>
                  </w:r>
                </w:p>
              </w:tc>
              <w:tc>
                <w:tcPr>
                  <w:tcW w:w="703" w:type="pct"/>
                  <w:noWrap w:val="0"/>
                  <w:vAlign w:val="center"/>
                </w:tcPr>
                <w:p>
                  <w:pPr>
                    <w:pStyle w:val="2"/>
                    <w:adjustRightInd w:val="0"/>
                    <w:snapToGrid w:val="0"/>
                    <w:spacing w:line="0" w:lineRule="atLeast"/>
                    <w:ind w:firstLine="0" w:firstLineChars="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64.67</w:t>
                  </w:r>
                </w:p>
              </w:tc>
              <w:tc>
                <w:tcPr>
                  <w:tcW w:w="474" w:type="pct"/>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ascii="Times New Roman" w:hAnsi="Times New Roman"/>
                      <w:sz w:val="21"/>
                      <w:szCs w:val="21"/>
                    </w:rPr>
                    <w:t>0</w:t>
                  </w:r>
                </w:p>
              </w:tc>
              <w:tc>
                <w:tcPr>
                  <w:tcW w:w="426" w:type="pct"/>
                  <w:noWrap w:val="0"/>
                  <w:vAlign w:val="center"/>
                </w:tcPr>
                <w:p>
                  <w:pPr>
                    <w:pStyle w:val="2"/>
                    <w:adjustRightInd w:val="0"/>
                    <w:snapToGrid w:val="0"/>
                    <w:spacing w:line="0" w:lineRule="atLeast"/>
                    <w:ind w:firstLine="0" w:firstLineChars="0"/>
                    <w:jc w:val="center"/>
                    <w:rPr>
                      <w:rFonts w:ascii="Times New Roman" w:hAnsi="Times New Roman"/>
                      <w:sz w:val="21"/>
                      <w:szCs w:val="21"/>
                    </w:rPr>
                  </w:pPr>
                  <w:r>
                    <w:rPr>
                      <w:rFonts w:ascii="Times New Roman" w:hAnsi="Times New Roman"/>
                      <w:sz w:val="21"/>
                      <w:szCs w:val="21"/>
                    </w:rPr>
                    <w:t>达标</w:t>
                  </w:r>
                </w:p>
              </w:tc>
            </w:tr>
          </w:tbl>
          <w:p>
            <w:pPr>
              <w:adjustRightInd w:val="0"/>
              <w:snapToGrid w:val="0"/>
              <w:spacing w:line="360" w:lineRule="auto"/>
              <w:ind w:firstLine="480" w:firstLineChars="200"/>
              <w:rPr>
                <w:rFonts w:ascii="Times New Roman" w:hAnsi="Times New Roman"/>
                <w:sz w:val="24"/>
                <w:highlight w:val="none"/>
              </w:rPr>
            </w:pPr>
            <w:r>
              <w:rPr>
                <w:rFonts w:ascii="Times New Roman" w:hAnsi="Times New Roman"/>
                <w:sz w:val="24"/>
                <w:highlight w:val="none"/>
              </w:rPr>
              <w:t>由表3-6可知，</w:t>
            </w:r>
            <w:r>
              <w:rPr>
                <w:rFonts w:hint="eastAsia"/>
                <w:sz w:val="24"/>
                <w:highlight w:val="none"/>
                <w:lang w:eastAsia="zh-CN"/>
              </w:rPr>
              <w:t>煤炭治理区</w:t>
            </w:r>
            <w:r>
              <w:rPr>
                <w:rFonts w:ascii="Times New Roman" w:hAnsi="Times New Roman"/>
                <w:sz w:val="24"/>
                <w:highlight w:val="none"/>
              </w:rPr>
              <w:t>内的总悬浮颗粒物24小时平均浓度监测值为</w:t>
            </w:r>
            <w:r>
              <w:rPr>
                <w:rFonts w:hint="default" w:ascii="Times New Roman" w:hAnsi="Times New Roman" w:cs="Times New Roman"/>
                <w:sz w:val="24"/>
                <w:szCs w:val="24"/>
                <w:highlight w:val="none"/>
                <w:lang w:val="en-US" w:eastAsia="zh-CN"/>
              </w:rPr>
              <w:t>137~190</w:t>
            </w:r>
            <w:r>
              <w:rPr>
                <w:rFonts w:ascii="Times New Roman" w:hAnsi="Times New Roman" w:cs="Times New Roman"/>
                <w:sz w:val="24"/>
                <w:highlight w:val="none"/>
              </w:rPr>
              <w:t>μg</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w:t>
            </w:r>
            <w:r>
              <w:rPr>
                <w:rFonts w:hint="eastAsia"/>
                <w:sz w:val="24"/>
                <w:highlight w:val="none"/>
                <w:lang w:eastAsia="zh-CN"/>
              </w:rPr>
              <w:t>建筑用砂治理区</w:t>
            </w:r>
            <w:r>
              <w:rPr>
                <w:rFonts w:ascii="Times New Roman" w:hAnsi="Times New Roman"/>
                <w:sz w:val="24"/>
                <w:highlight w:val="none"/>
              </w:rPr>
              <w:t>内的总悬浮颗粒物24小时平均浓度监测值为</w:t>
            </w:r>
            <w:r>
              <w:rPr>
                <w:rFonts w:hint="default" w:ascii="Times New Roman" w:hAnsi="Times New Roman" w:cs="Times New Roman"/>
                <w:sz w:val="24"/>
                <w:szCs w:val="24"/>
                <w:highlight w:val="none"/>
                <w:lang w:val="en-US" w:eastAsia="zh-CN"/>
              </w:rPr>
              <w:t>124</w:t>
            </w:r>
            <w:r>
              <w:rPr>
                <w:rFonts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194</w:t>
            </w:r>
            <w:r>
              <w:rPr>
                <w:rFonts w:ascii="Times New Roman" w:hAnsi="Times New Roman" w:cs="Times New Roman"/>
                <w:sz w:val="24"/>
                <w:highlight w:val="none"/>
              </w:rPr>
              <w:t>μg</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eastAsia="zh-CN"/>
              </w:rPr>
              <w:t>，均</w:t>
            </w:r>
            <w:r>
              <w:rPr>
                <w:rFonts w:ascii="Times New Roman" w:hAnsi="Times New Roman"/>
                <w:sz w:val="24"/>
                <w:highlight w:val="none"/>
              </w:rPr>
              <w:t>满足《环境空气质量标准》（GB3095-2012）及其2018年修改单中二级标准限值：300μg/m</w:t>
            </w:r>
            <w:r>
              <w:rPr>
                <w:rFonts w:ascii="Times New Roman" w:hAnsi="Times New Roman"/>
                <w:sz w:val="24"/>
                <w:highlight w:val="none"/>
                <w:vertAlign w:val="superscript"/>
              </w:rPr>
              <w:t>3</w:t>
            </w:r>
            <w:r>
              <w:rPr>
                <w:rFonts w:ascii="Times New Roman" w:hAnsi="Times New Roman"/>
                <w:sz w:val="24"/>
                <w:highlight w:val="none"/>
              </w:rPr>
              <w:t>。</w:t>
            </w:r>
          </w:p>
          <w:p>
            <w:pPr>
              <w:adjustRightInd w:val="0"/>
              <w:spacing w:line="360" w:lineRule="auto"/>
              <w:ind w:firstLine="480"/>
              <w:rPr>
                <w:rFonts w:hint="eastAsia"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2、地表水环境质量现状</w:t>
            </w:r>
          </w:p>
          <w:p>
            <w:pPr>
              <w:adjustRightInd w:val="0"/>
              <w:snapToGrid w:val="0"/>
              <w:spacing w:line="360" w:lineRule="auto"/>
              <w:ind w:firstLine="480" w:firstLineChars="200"/>
              <w:jc w:val="left"/>
              <w:rPr>
                <w:rFonts w:ascii="Times New Roman" w:hAnsi="Times New Roman"/>
                <w:sz w:val="24"/>
              </w:rPr>
            </w:pPr>
            <w:r>
              <w:rPr>
                <w:rFonts w:hint="eastAsia"/>
                <w:kern w:val="0"/>
                <w:sz w:val="24"/>
                <w:lang w:eastAsia="zh-CN"/>
              </w:rPr>
              <w:t>根据现场调查，煤炭治理区规划实施范围内无地表水体，建筑用砂治理区</w:t>
            </w:r>
            <w:r>
              <w:rPr>
                <w:rFonts w:hint="eastAsia"/>
                <w:kern w:val="0"/>
                <w:sz w:val="24"/>
              </w:rPr>
              <w:t>规划实施范围</w:t>
            </w:r>
            <w:r>
              <w:rPr>
                <w:rFonts w:hint="eastAsia"/>
                <w:kern w:val="0"/>
                <w:sz w:val="24"/>
                <w:lang w:eastAsia="zh-CN"/>
              </w:rPr>
              <w:t>内</w:t>
            </w:r>
            <w:r>
              <w:rPr>
                <w:rFonts w:hint="eastAsia"/>
                <w:kern w:val="0"/>
                <w:sz w:val="24"/>
              </w:rPr>
              <w:t>地表水体为</w:t>
            </w:r>
            <w:r>
              <w:rPr>
                <w:rFonts w:hint="eastAsia"/>
                <w:kern w:val="0"/>
                <w:sz w:val="24"/>
                <w:lang w:eastAsia="zh-CN"/>
              </w:rPr>
              <w:t>红柳沟</w:t>
            </w:r>
            <w:r>
              <w:rPr>
                <w:rFonts w:hint="eastAsia"/>
                <w:kern w:val="0"/>
                <w:sz w:val="24"/>
              </w:rPr>
              <w:t>，位于</w:t>
            </w:r>
            <w:r>
              <w:rPr>
                <w:rFonts w:hint="eastAsia"/>
                <w:kern w:val="0"/>
                <w:sz w:val="24"/>
                <w:lang w:eastAsia="zh-CN"/>
              </w:rPr>
              <w:t>建筑用砂治理区东南</w:t>
            </w:r>
            <w:r>
              <w:rPr>
                <w:rFonts w:hint="eastAsia"/>
                <w:kern w:val="0"/>
                <w:sz w:val="24"/>
              </w:rPr>
              <w:t>侧</w:t>
            </w:r>
            <w:r>
              <w:rPr>
                <w:rFonts w:hint="eastAsia"/>
                <w:kern w:val="0"/>
                <w:sz w:val="24"/>
                <w:lang w:val="en-US" w:eastAsia="zh-CN"/>
              </w:rPr>
              <w:t>2</w:t>
            </w:r>
            <w:r>
              <w:rPr>
                <w:rFonts w:hint="eastAsia"/>
                <w:kern w:val="0"/>
                <w:sz w:val="24"/>
              </w:rPr>
              <w:t>km。</w:t>
            </w:r>
            <w:r>
              <w:rPr>
                <w:rFonts w:ascii="Times New Roman" w:hAnsi="Times New Roman"/>
                <w:sz w:val="24"/>
              </w:rPr>
              <w:t>本次地表水环境质量评价引用《宁夏回族自治区环境质量报告书（201</w:t>
            </w:r>
            <w:r>
              <w:rPr>
                <w:rFonts w:hint="eastAsia" w:ascii="Times New Roman" w:hAnsi="Times New Roman"/>
                <w:sz w:val="24"/>
                <w:lang w:val="en-US" w:eastAsia="zh-CN"/>
              </w:rPr>
              <w:t>9</w:t>
            </w:r>
            <w:r>
              <w:rPr>
                <w:rFonts w:ascii="Times New Roman" w:hAnsi="Times New Roman"/>
                <w:sz w:val="24"/>
              </w:rPr>
              <w:t>年》中</w:t>
            </w:r>
            <w:r>
              <w:rPr>
                <w:rFonts w:hint="eastAsia"/>
                <w:kern w:val="0"/>
                <w:sz w:val="24"/>
                <w:lang w:eastAsia="zh-CN"/>
              </w:rPr>
              <w:t>红柳沟</w:t>
            </w:r>
            <w:r>
              <w:rPr>
                <w:rFonts w:ascii="Times New Roman" w:hAnsi="Times New Roman"/>
                <w:sz w:val="24"/>
              </w:rPr>
              <w:t>（</w:t>
            </w:r>
            <w:r>
              <w:rPr>
                <w:rFonts w:hint="eastAsia" w:ascii="Times New Roman" w:hAnsi="Times New Roman"/>
                <w:sz w:val="24"/>
                <w:lang w:eastAsia="zh-CN"/>
              </w:rPr>
              <w:t>吴忠红寺堡区</w:t>
            </w:r>
            <w:r>
              <w:rPr>
                <w:rFonts w:ascii="Times New Roman" w:hAnsi="Times New Roman"/>
                <w:sz w:val="24"/>
              </w:rPr>
              <w:t>-</w:t>
            </w:r>
            <w:r>
              <w:rPr>
                <w:rFonts w:hint="eastAsia" w:ascii="Times New Roman" w:hAnsi="Times New Roman"/>
                <w:sz w:val="24"/>
                <w:lang w:eastAsia="zh-CN"/>
              </w:rPr>
              <w:t>中卫中宁县</w:t>
            </w:r>
            <w:r>
              <w:rPr>
                <w:rFonts w:ascii="Times New Roman" w:hAnsi="Times New Roman"/>
                <w:sz w:val="24"/>
              </w:rPr>
              <w:t>）</w:t>
            </w:r>
            <w:r>
              <w:rPr>
                <w:rFonts w:hint="eastAsia" w:ascii="Times New Roman" w:hAnsi="Times New Roman"/>
                <w:sz w:val="24"/>
                <w:lang w:eastAsia="zh-CN"/>
              </w:rPr>
              <w:t>市界</w:t>
            </w:r>
            <w:r>
              <w:rPr>
                <w:rFonts w:ascii="Times New Roman" w:hAnsi="Times New Roman"/>
                <w:sz w:val="24"/>
              </w:rPr>
              <w:t>断面处监测数据。</w:t>
            </w:r>
          </w:p>
          <w:p>
            <w:pPr>
              <w:adjustRightInd w:val="0"/>
              <w:snapToGrid w:val="0"/>
              <w:spacing w:line="360" w:lineRule="auto"/>
              <w:ind w:firstLine="480" w:firstLineChars="200"/>
              <w:jc w:val="left"/>
              <w:rPr>
                <w:rFonts w:ascii="Times New Roman" w:hAnsi="Times New Roman"/>
                <w:sz w:val="24"/>
              </w:rPr>
            </w:pPr>
            <w:r>
              <w:rPr>
                <w:rFonts w:ascii="Times New Roman" w:hAnsi="Times New Roman"/>
                <w:sz w:val="24"/>
              </w:rPr>
              <w:t>⑴监测因子</w:t>
            </w:r>
          </w:p>
          <w:p>
            <w:pPr>
              <w:adjustRightInd w:val="0"/>
              <w:snapToGrid w:val="0"/>
              <w:spacing w:line="360" w:lineRule="auto"/>
              <w:ind w:firstLine="480" w:firstLineChars="200"/>
              <w:jc w:val="left"/>
              <w:rPr>
                <w:rFonts w:ascii="Times New Roman" w:hAnsi="Times New Roman"/>
                <w:sz w:val="24"/>
              </w:rPr>
            </w:pPr>
            <w:r>
              <w:rPr>
                <w:rFonts w:ascii="Times New Roman" w:hAnsi="Times New Roman"/>
                <w:sz w:val="24"/>
              </w:rPr>
              <w:t>pH、溶解氧、高锰酸盐指数、化学需氧量、生化需氧量、氨氮、总磷、总氮、铜、锌、氟化物、硒、砷、汞、镉、六价铬、铅、挥发酚、氰化物、石油类、阴离子表面活性剂、硫化物。</w:t>
            </w:r>
          </w:p>
          <w:p>
            <w:pPr>
              <w:adjustRightInd w:val="0"/>
              <w:snapToGrid w:val="0"/>
              <w:spacing w:line="360" w:lineRule="auto"/>
              <w:ind w:firstLine="480" w:firstLineChars="200"/>
              <w:jc w:val="left"/>
              <w:rPr>
                <w:rFonts w:ascii="Times New Roman" w:hAnsi="Times New Roman"/>
                <w:sz w:val="24"/>
              </w:rPr>
            </w:pPr>
            <w:r>
              <w:rPr>
                <w:rFonts w:ascii="Times New Roman" w:hAnsi="Times New Roman"/>
                <w:sz w:val="24"/>
              </w:rPr>
              <w:t>⑵监测结果统计</w:t>
            </w:r>
          </w:p>
          <w:p>
            <w:pPr>
              <w:pStyle w:val="2"/>
              <w:spacing w:line="360" w:lineRule="auto"/>
              <w:ind w:firstLine="480"/>
              <w:rPr>
                <w:rFonts w:ascii="Times New Roman" w:hAnsi="Times New Roman" w:eastAsia="黑体"/>
                <w:sz w:val="24"/>
              </w:rPr>
            </w:pPr>
            <w:r>
              <w:rPr>
                <w:rFonts w:ascii="Times New Roman" w:hAnsi="Times New Roman" w:eastAsia="宋体" w:cs="Times New Roman"/>
                <w:kern w:val="2"/>
                <w:sz w:val="24"/>
                <w:szCs w:val="24"/>
                <w:lang w:val="en-US" w:eastAsia="zh-CN" w:bidi="ar-SA"/>
              </w:rPr>
              <w:t>检测结果见表3-7。</w:t>
            </w:r>
          </w:p>
          <w:p>
            <w:pPr>
              <w:tabs>
                <w:tab w:val="left" w:pos="3405"/>
              </w:tabs>
              <w:adjustRightInd w:val="0"/>
              <w:snapToGrid w:val="0"/>
              <w:spacing w:line="360" w:lineRule="auto"/>
              <w:jc w:val="center"/>
              <w:rPr>
                <w:rFonts w:ascii="Times New Roman" w:hAnsi="Times New Roman" w:eastAsia="黑体"/>
                <w:sz w:val="24"/>
              </w:rPr>
            </w:pPr>
            <w:r>
              <w:rPr>
                <w:rFonts w:ascii="Times New Roman" w:hAnsi="Times New Roman" w:eastAsia="黑体"/>
                <w:sz w:val="24"/>
              </w:rPr>
              <w:t>表3-</w:t>
            </w:r>
            <w:r>
              <w:rPr>
                <w:rFonts w:hint="eastAsia" w:eastAsia="黑体"/>
                <w:sz w:val="24"/>
                <w:lang w:val="en-US" w:eastAsia="zh-CN"/>
              </w:rPr>
              <w:t>7</w:t>
            </w:r>
            <w:r>
              <w:rPr>
                <w:rFonts w:ascii="Times New Roman" w:hAnsi="Times New Roman" w:eastAsia="黑体"/>
                <w:sz w:val="24"/>
              </w:rPr>
              <w:t xml:space="preserve">    201</w:t>
            </w:r>
            <w:r>
              <w:rPr>
                <w:rFonts w:hint="eastAsia" w:ascii="Times New Roman" w:hAnsi="Times New Roman" w:eastAsia="黑体"/>
                <w:sz w:val="24"/>
                <w:lang w:val="en-US" w:eastAsia="zh-CN"/>
              </w:rPr>
              <w:t>9</w:t>
            </w:r>
            <w:r>
              <w:rPr>
                <w:rFonts w:ascii="Times New Roman" w:hAnsi="Times New Roman" w:eastAsia="黑体"/>
                <w:sz w:val="24"/>
              </w:rPr>
              <w:t>年</w:t>
            </w:r>
            <w:r>
              <w:rPr>
                <w:rFonts w:hint="eastAsia" w:ascii="Times New Roman" w:hAnsi="Times New Roman" w:eastAsia="黑体"/>
                <w:sz w:val="24"/>
                <w:lang w:eastAsia="zh-CN"/>
              </w:rPr>
              <w:t>红柳沟</w:t>
            </w:r>
            <w:r>
              <w:rPr>
                <w:rFonts w:ascii="Times New Roman" w:hAnsi="Times New Roman" w:eastAsia="黑体"/>
                <w:sz w:val="24"/>
              </w:rPr>
              <w:t>水质监测结果    单位：mg/L</w:t>
            </w:r>
          </w:p>
          <w:tbl>
            <w:tblPr>
              <w:tblStyle w:val="1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803"/>
              <w:gridCol w:w="959"/>
              <w:gridCol w:w="959"/>
              <w:gridCol w:w="1166"/>
              <w:gridCol w:w="1191"/>
              <w:gridCol w:w="1064"/>
              <w:gridCol w:w="9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tcBorders>
                    <w:tl2br w:val="single" w:color="auto" w:sz="12" w:space="0"/>
                  </w:tcBorders>
                  <w:noWrap w:val="0"/>
                  <w:vAlign w:val="center"/>
                </w:tcPr>
                <w:p>
                  <w:pPr>
                    <w:spacing w:line="0" w:lineRule="atLeast"/>
                    <w:ind w:firstLine="1054" w:firstLineChars="500"/>
                    <w:contextualSpacing/>
                    <w:rPr>
                      <w:rFonts w:ascii="Times New Roman" w:hAnsi="Times New Roman"/>
                      <w:b/>
                      <w:bCs/>
                      <w:szCs w:val="21"/>
                    </w:rPr>
                  </w:pPr>
                  <w:r>
                    <w:rPr>
                      <w:rFonts w:ascii="Times New Roman" w:hAnsi="Times New Roman"/>
                      <w:b/>
                      <w:bCs/>
                      <w:szCs w:val="21"/>
                    </w:rPr>
                    <w:t>指标数</w:t>
                  </w:r>
                </w:p>
                <w:p>
                  <w:pPr>
                    <w:spacing w:line="0" w:lineRule="atLeast"/>
                    <w:ind w:firstLine="316" w:firstLineChars="150"/>
                    <w:contextualSpacing/>
                    <w:rPr>
                      <w:rFonts w:ascii="Times New Roman" w:hAnsi="Times New Roman"/>
                      <w:b/>
                      <w:bCs/>
                      <w:szCs w:val="21"/>
                    </w:rPr>
                  </w:pPr>
                  <w:r>
                    <w:rPr>
                      <w:rFonts w:ascii="Times New Roman" w:hAnsi="Times New Roman"/>
                      <w:b/>
                      <w:bCs/>
                      <w:szCs w:val="21"/>
                    </w:rPr>
                    <w:t>项 目</w:t>
                  </w:r>
                </w:p>
              </w:tc>
              <w:tc>
                <w:tcPr>
                  <w:tcW w:w="443" w:type="pct"/>
                  <w:noWrap w:val="0"/>
                  <w:vAlign w:val="center"/>
                </w:tcPr>
                <w:p>
                  <w:pPr>
                    <w:spacing w:line="0" w:lineRule="atLeast"/>
                    <w:contextualSpacing/>
                    <w:jc w:val="center"/>
                    <w:rPr>
                      <w:rFonts w:ascii="Times New Roman" w:hAnsi="Times New Roman"/>
                      <w:b/>
                      <w:bCs/>
                      <w:szCs w:val="21"/>
                    </w:rPr>
                  </w:pPr>
                  <w:r>
                    <w:rPr>
                      <w:rFonts w:ascii="Times New Roman" w:hAnsi="Times New Roman"/>
                      <w:b/>
                      <w:bCs/>
                      <w:szCs w:val="21"/>
                    </w:rPr>
                    <w:t>样品数</w:t>
                  </w:r>
                </w:p>
              </w:tc>
              <w:tc>
                <w:tcPr>
                  <w:tcW w:w="529" w:type="pct"/>
                  <w:noWrap w:val="0"/>
                  <w:vAlign w:val="center"/>
                </w:tcPr>
                <w:p>
                  <w:pPr>
                    <w:spacing w:line="0" w:lineRule="atLeast"/>
                    <w:contextualSpacing/>
                    <w:jc w:val="center"/>
                    <w:rPr>
                      <w:rFonts w:ascii="Times New Roman" w:hAnsi="Times New Roman"/>
                      <w:b/>
                      <w:bCs/>
                      <w:szCs w:val="21"/>
                    </w:rPr>
                  </w:pPr>
                  <w:r>
                    <w:rPr>
                      <w:rFonts w:ascii="Times New Roman" w:hAnsi="Times New Roman"/>
                      <w:b/>
                      <w:bCs/>
                      <w:szCs w:val="21"/>
                    </w:rPr>
                    <w:t>最大值</w:t>
                  </w:r>
                </w:p>
              </w:tc>
              <w:tc>
                <w:tcPr>
                  <w:tcW w:w="529" w:type="pct"/>
                  <w:noWrap w:val="0"/>
                  <w:vAlign w:val="center"/>
                </w:tcPr>
                <w:p>
                  <w:pPr>
                    <w:spacing w:line="0" w:lineRule="atLeast"/>
                    <w:contextualSpacing/>
                    <w:jc w:val="center"/>
                    <w:rPr>
                      <w:rFonts w:ascii="Times New Roman" w:hAnsi="Times New Roman"/>
                      <w:b/>
                      <w:bCs/>
                      <w:szCs w:val="21"/>
                    </w:rPr>
                  </w:pPr>
                  <w:r>
                    <w:rPr>
                      <w:rFonts w:ascii="Times New Roman" w:hAnsi="Times New Roman"/>
                      <w:b/>
                      <w:bCs/>
                      <w:szCs w:val="21"/>
                    </w:rPr>
                    <w:t>最小值</w:t>
                  </w:r>
                </w:p>
              </w:tc>
              <w:tc>
                <w:tcPr>
                  <w:tcW w:w="643" w:type="pct"/>
                  <w:noWrap w:val="0"/>
                  <w:vAlign w:val="center"/>
                </w:tcPr>
                <w:p>
                  <w:pPr>
                    <w:spacing w:line="0" w:lineRule="atLeast"/>
                    <w:contextualSpacing/>
                    <w:jc w:val="center"/>
                    <w:rPr>
                      <w:rFonts w:ascii="Times New Roman" w:hAnsi="Times New Roman"/>
                      <w:b/>
                      <w:bCs/>
                      <w:szCs w:val="21"/>
                    </w:rPr>
                  </w:pPr>
                  <w:r>
                    <w:rPr>
                      <w:rFonts w:ascii="Times New Roman" w:hAnsi="Times New Roman"/>
                      <w:b/>
                      <w:bCs/>
                      <w:szCs w:val="21"/>
                    </w:rPr>
                    <w:t>平均值</w:t>
                  </w:r>
                </w:p>
              </w:tc>
              <w:tc>
                <w:tcPr>
                  <w:tcW w:w="1185" w:type="dxa"/>
                  <w:noWrap w:val="0"/>
                  <w:vAlign w:val="center"/>
                </w:tcPr>
                <w:p>
                  <w:pPr>
                    <w:spacing w:line="0" w:lineRule="atLeast"/>
                    <w:contextualSpacing/>
                    <w:jc w:val="center"/>
                    <w:rPr>
                      <w:rFonts w:ascii="Times New Roman" w:hAnsi="Times New Roman"/>
                      <w:b/>
                      <w:bCs/>
                      <w:szCs w:val="21"/>
                    </w:rPr>
                  </w:pPr>
                  <w:r>
                    <w:rPr>
                      <w:rFonts w:hint="eastAsia" w:ascii="Times New Roman" w:hAnsi="Times New Roman"/>
                      <w:b/>
                      <w:bCs/>
                      <w:szCs w:val="21"/>
                    </w:rPr>
                    <w:t>Ⅴ</w:t>
                  </w:r>
                  <w:r>
                    <w:rPr>
                      <w:rFonts w:ascii="Times New Roman" w:hAnsi="Times New Roman"/>
                      <w:b/>
                      <w:bCs/>
                      <w:szCs w:val="21"/>
                    </w:rPr>
                    <w:t>类标准值</w:t>
                  </w:r>
                </w:p>
              </w:tc>
              <w:tc>
                <w:tcPr>
                  <w:tcW w:w="587" w:type="pct"/>
                  <w:noWrap w:val="0"/>
                  <w:vAlign w:val="center"/>
                </w:tcPr>
                <w:p>
                  <w:pPr>
                    <w:spacing w:line="0" w:lineRule="atLeast"/>
                    <w:contextualSpacing/>
                    <w:jc w:val="center"/>
                    <w:rPr>
                      <w:rFonts w:ascii="Times New Roman" w:hAnsi="Times New Roman"/>
                      <w:b/>
                      <w:bCs/>
                      <w:szCs w:val="21"/>
                    </w:rPr>
                  </w:pPr>
                  <w:r>
                    <w:rPr>
                      <w:rFonts w:ascii="Times New Roman" w:hAnsi="Times New Roman"/>
                      <w:b/>
                      <w:bCs/>
                      <w:szCs w:val="21"/>
                    </w:rPr>
                    <w:t>超标率%</w:t>
                  </w:r>
                </w:p>
              </w:tc>
              <w:tc>
                <w:tcPr>
                  <w:tcW w:w="547" w:type="pct"/>
                  <w:noWrap w:val="0"/>
                  <w:vAlign w:val="center"/>
                </w:tcPr>
                <w:p>
                  <w:pPr>
                    <w:spacing w:line="0" w:lineRule="atLeast"/>
                    <w:contextualSpacing/>
                    <w:jc w:val="center"/>
                    <w:rPr>
                      <w:rFonts w:ascii="Times New Roman" w:hAnsi="Times New Roman"/>
                      <w:b/>
                      <w:bCs/>
                      <w:szCs w:val="21"/>
                    </w:rPr>
                  </w:pPr>
                  <w:r>
                    <w:rPr>
                      <w:rFonts w:ascii="Times New Roman" w:hAnsi="Times New Roman"/>
                      <w:b/>
                      <w:bCs/>
                      <w:szCs w:val="21"/>
                    </w:rPr>
                    <w:t>最大超标倍数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pH（无量纲）</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8.9</w:t>
                  </w:r>
                  <w:r>
                    <w:rPr>
                      <w:rFonts w:hint="eastAsia" w:ascii="Times New Roman" w:hAnsi="Times New Roman"/>
                      <w:szCs w:val="21"/>
                      <w:lang w:val="en-US" w:eastAsia="zh-CN"/>
                    </w:rPr>
                    <w:t>2</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7.59</w:t>
                  </w:r>
                </w:p>
              </w:tc>
              <w:tc>
                <w:tcPr>
                  <w:tcW w:w="643"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8.33</w:t>
                  </w:r>
                </w:p>
              </w:tc>
              <w:tc>
                <w:tcPr>
                  <w:tcW w:w="1185" w:type="dxa"/>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6-9</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溶解氧</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1</w:t>
                  </w:r>
                  <w:r>
                    <w:rPr>
                      <w:rFonts w:hint="eastAsia" w:ascii="Times New Roman" w:hAnsi="Times New Roman"/>
                      <w:szCs w:val="21"/>
                      <w:lang w:val="en-US" w:eastAsia="zh-CN"/>
                    </w:rPr>
                    <w:t>2.2</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6.2</w:t>
                  </w:r>
                </w:p>
              </w:tc>
              <w:tc>
                <w:tcPr>
                  <w:tcW w:w="643"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9.</w:t>
                  </w:r>
                  <w:r>
                    <w:rPr>
                      <w:rFonts w:hint="eastAsia" w:ascii="Times New Roman" w:hAnsi="Times New Roman"/>
                      <w:szCs w:val="21"/>
                      <w:lang w:val="en-US" w:eastAsia="zh-CN"/>
                    </w:rPr>
                    <w:t>09</w:t>
                  </w:r>
                </w:p>
              </w:tc>
              <w:tc>
                <w:tcPr>
                  <w:tcW w:w="1185" w:type="dxa"/>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r>
                    <w:rPr>
                      <w:rFonts w:hint="eastAsia" w:ascii="Times New Roman" w:hAnsi="Times New Roman"/>
                      <w:szCs w:val="21"/>
                      <w:lang w:val="en-US" w:eastAsia="zh-CN"/>
                    </w:rPr>
                    <w:t>2</w:t>
                  </w:r>
                </w:p>
              </w:tc>
              <w:tc>
                <w:tcPr>
                  <w:tcW w:w="587"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hint="eastAsia" w:ascii="Times New Roman" w:hAnsi="Times New Roman"/>
                      <w:szCs w:val="21"/>
                      <w:lang w:val="en-US" w:eastAsia="zh-CN"/>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高锰酸盐指数</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3.7</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2.</w:t>
                  </w:r>
                  <w:r>
                    <w:rPr>
                      <w:rFonts w:hint="eastAsia" w:ascii="Times New Roman" w:hAnsi="Times New Roman"/>
                      <w:szCs w:val="21"/>
                      <w:lang w:val="en-US" w:eastAsia="zh-CN"/>
                    </w:rPr>
                    <w:t>6</w:t>
                  </w:r>
                </w:p>
              </w:tc>
              <w:tc>
                <w:tcPr>
                  <w:tcW w:w="643"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3.1</w:t>
                  </w:r>
                </w:p>
              </w:tc>
              <w:tc>
                <w:tcPr>
                  <w:tcW w:w="1185" w:type="dxa"/>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r>
                    <w:rPr>
                      <w:rFonts w:hint="eastAsia" w:ascii="Times New Roman" w:hAnsi="Times New Roman"/>
                      <w:szCs w:val="21"/>
                      <w:lang w:val="en-US" w:eastAsia="zh-CN"/>
                    </w:rPr>
                    <w:t>15</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2.2</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w:t>
                  </w:r>
                  <w:r>
                    <w:rPr>
                      <w:rFonts w:hint="eastAsia" w:ascii="Times New Roman" w:hAnsi="Times New Roman"/>
                      <w:szCs w:val="21"/>
                      <w:lang w:val="en-US" w:eastAsia="zh-CN"/>
                    </w:rPr>
                    <w:t>3</w:t>
                  </w:r>
                </w:p>
              </w:tc>
              <w:tc>
                <w:tcPr>
                  <w:tcW w:w="643"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1.3</w:t>
                  </w:r>
                </w:p>
              </w:tc>
              <w:tc>
                <w:tcPr>
                  <w:tcW w:w="1185" w:type="dxa"/>
                  <w:noWrap w:val="0"/>
                  <w:vAlign w:val="center"/>
                </w:tcPr>
                <w:p>
                  <w:pPr>
                    <w:spacing w:line="0" w:lineRule="atLeast"/>
                    <w:contextualSpacing/>
                    <w:jc w:val="center"/>
                    <w:rPr>
                      <w:rFonts w:ascii="Times New Roman" w:hAnsi="Times New Roman"/>
                      <w:szCs w:val="21"/>
                    </w:rPr>
                  </w:pPr>
                  <w:r>
                    <w:rPr>
                      <w:rFonts w:ascii="Times New Roman" w:hAnsi="Times New Roman"/>
                      <w:szCs w:val="21"/>
                    </w:rPr>
                    <w:t>≤</w:t>
                  </w:r>
                  <w:r>
                    <w:rPr>
                      <w:rFonts w:hint="eastAsia" w:ascii="Times New Roman" w:hAnsi="Times New Roman"/>
                      <w:szCs w:val="21"/>
                      <w:lang w:val="en-US" w:eastAsia="zh-CN"/>
                    </w:rPr>
                    <w:t>10</w:t>
                  </w:r>
                </w:p>
              </w:tc>
              <w:tc>
                <w:tcPr>
                  <w:tcW w:w="587"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hint="eastAsia" w:ascii="Times New Roman" w:hAnsi="Times New Roman"/>
                      <w:szCs w:val="21"/>
                      <w:lang w:val="en-US" w:eastAsia="zh-CN"/>
                    </w:rPr>
                    <w:t>0</w:t>
                  </w:r>
                </w:p>
              </w:tc>
              <w:tc>
                <w:tcPr>
                  <w:tcW w:w="547"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氨氮</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0.93</w:t>
                  </w:r>
                </w:p>
              </w:tc>
              <w:tc>
                <w:tcPr>
                  <w:tcW w:w="529" w:type="pct"/>
                  <w:noWrap w:val="0"/>
                  <w:vAlign w:val="center"/>
                </w:tcPr>
                <w:p>
                  <w:pPr>
                    <w:widowControl/>
                    <w:spacing w:line="0" w:lineRule="atLeast"/>
                    <w:contextualSpacing/>
                    <w:jc w:val="center"/>
                    <w:rPr>
                      <w:rFonts w:hint="eastAsia" w:ascii="Times New Roman" w:hAnsi="Times New Roman" w:eastAsia="宋体"/>
                      <w:szCs w:val="21"/>
                      <w:lang w:val="en-US" w:eastAsia="zh-CN"/>
                    </w:rPr>
                  </w:pPr>
                  <w:r>
                    <w:rPr>
                      <w:rFonts w:ascii="Times New Roman" w:hAnsi="Times New Roman"/>
                      <w:szCs w:val="21"/>
                    </w:rPr>
                    <w:t>0.1</w:t>
                  </w:r>
                  <w:r>
                    <w:rPr>
                      <w:rFonts w:hint="eastAsia" w:ascii="Times New Roman" w:hAnsi="Times New Roman"/>
                      <w:szCs w:val="21"/>
                      <w:lang w:val="en-US" w:eastAsia="zh-CN"/>
                    </w:rPr>
                    <w:t>4</w:t>
                  </w:r>
                </w:p>
              </w:tc>
              <w:tc>
                <w:tcPr>
                  <w:tcW w:w="643"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0</w:t>
                  </w:r>
                  <w:r>
                    <w:rPr>
                      <w:rFonts w:hint="eastAsia" w:ascii="Times New Roman" w:hAnsi="Times New Roman"/>
                      <w:szCs w:val="21"/>
                      <w:lang w:val="en-US" w:eastAsia="zh-CN"/>
                    </w:rPr>
                    <w:t>.33</w:t>
                  </w:r>
                </w:p>
              </w:tc>
              <w:tc>
                <w:tcPr>
                  <w:tcW w:w="1185" w:type="dxa"/>
                  <w:noWrap w:val="0"/>
                  <w:vAlign w:val="center"/>
                </w:tcPr>
                <w:p>
                  <w:pPr>
                    <w:spacing w:line="0" w:lineRule="atLeast"/>
                    <w:contextualSpacing/>
                    <w:jc w:val="center"/>
                    <w:rPr>
                      <w:rFonts w:ascii="Times New Roman" w:hAnsi="Times New Roman"/>
                      <w:szCs w:val="21"/>
                    </w:rPr>
                  </w:pPr>
                  <w:r>
                    <w:rPr>
                      <w:rFonts w:ascii="Times New Roman" w:hAnsi="Times New Roman"/>
                      <w:szCs w:val="21"/>
                    </w:rPr>
                    <w:t>≤</w:t>
                  </w:r>
                  <w:r>
                    <w:rPr>
                      <w:rFonts w:hint="eastAsia" w:ascii="Times New Roman" w:hAnsi="Times New Roman"/>
                      <w:szCs w:val="21"/>
                      <w:lang w:val="en-US" w:eastAsia="zh-CN"/>
                    </w:rPr>
                    <w:t>2</w:t>
                  </w:r>
                  <w:r>
                    <w:rPr>
                      <w:rFonts w:ascii="Times New Roman" w:hAnsi="Times New Roman"/>
                      <w:szCs w:val="21"/>
                    </w:rPr>
                    <w:t>.0</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石油类</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w:t>
                  </w:r>
                  <w:r>
                    <w:rPr>
                      <w:rFonts w:hint="eastAsia" w:ascii="Times New Roman" w:hAnsi="Times New Roman"/>
                      <w:szCs w:val="21"/>
                      <w:lang w:val="en-US" w:eastAsia="zh-CN"/>
                    </w:rPr>
                    <w:t>2</w:t>
                  </w:r>
                </w:p>
              </w:tc>
              <w:tc>
                <w:tcPr>
                  <w:tcW w:w="529"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0.01</w:t>
                  </w:r>
                </w:p>
              </w:tc>
              <w:tc>
                <w:tcPr>
                  <w:tcW w:w="6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0.01</w:t>
                  </w:r>
                </w:p>
              </w:tc>
              <w:tc>
                <w:tcPr>
                  <w:tcW w:w="1185" w:type="dxa"/>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r>
                    <w:rPr>
                      <w:rFonts w:hint="eastAsia" w:ascii="Times New Roman" w:hAnsi="Times New Roman"/>
                      <w:szCs w:val="21"/>
                      <w:lang w:val="en-US" w:eastAsia="zh-CN"/>
                    </w:rPr>
                    <w:t>1.0</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挥发酚</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0.00</w:t>
                  </w:r>
                  <w:r>
                    <w:rPr>
                      <w:rFonts w:hint="eastAsia" w:ascii="Times New Roman" w:hAnsi="Times New Roman"/>
                      <w:szCs w:val="21"/>
                      <w:lang w:val="en-US" w:eastAsia="zh-CN"/>
                    </w:rPr>
                    <w:t>15</w:t>
                  </w:r>
                </w:p>
              </w:tc>
              <w:tc>
                <w:tcPr>
                  <w:tcW w:w="529"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0.0002</w:t>
                  </w:r>
                </w:p>
              </w:tc>
              <w:tc>
                <w:tcPr>
                  <w:tcW w:w="643"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0.000</w:t>
                  </w:r>
                  <w:r>
                    <w:rPr>
                      <w:rFonts w:hint="eastAsia" w:ascii="Times New Roman" w:hAnsi="Times New Roman"/>
                      <w:szCs w:val="21"/>
                      <w:lang w:val="en-US" w:eastAsia="zh-CN"/>
                    </w:rPr>
                    <w:t>5</w:t>
                  </w:r>
                </w:p>
              </w:tc>
              <w:tc>
                <w:tcPr>
                  <w:tcW w:w="1185" w:type="dxa"/>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r>
                    <w:rPr>
                      <w:rFonts w:hint="eastAsia" w:ascii="Times New Roman" w:hAnsi="Times New Roman"/>
                      <w:szCs w:val="21"/>
                      <w:lang w:val="en-US" w:eastAsia="zh-CN"/>
                    </w:rPr>
                    <w:t>1</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汞</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0.0000</w:t>
                  </w:r>
                  <w:r>
                    <w:rPr>
                      <w:rFonts w:hint="eastAsia" w:ascii="Times New Roman" w:hAnsi="Times New Roman"/>
                      <w:szCs w:val="21"/>
                      <w:lang w:val="en-US" w:eastAsia="zh-CN"/>
                    </w:rPr>
                    <w:t>4</w:t>
                  </w:r>
                </w:p>
              </w:tc>
              <w:tc>
                <w:tcPr>
                  <w:tcW w:w="529"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0.00002</w:t>
                  </w:r>
                </w:p>
              </w:tc>
              <w:tc>
                <w:tcPr>
                  <w:tcW w:w="643"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0.0000</w:t>
                  </w:r>
                  <w:r>
                    <w:rPr>
                      <w:rFonts w:hint="eastAsia" w:ascii="Times New Roman" w:hAnsi="Times New Roman"/>
                      <w:szCs w:val="21"/>
                      <w:lang w:val="en-US" w:eastAsia="zh-CN"/>
                    </w:rPr>
                    <w:t>2</w:t>
                  </w:r>
                </w:p>
              </w:tc>
              <w:tc>
                <w:tcPr>
                  <w:tcW w:w="1185" w:type="dxa"/>
                  <w:noWrap w:val="0"/>
                  <w:vAlign w:val="center"/>
                </w:tcPr>
                <w:p>
                  <w:pPr>
                    <w:spacing w:line="0" w:lineRule="atLeast"/>
                    <w:contextualSpacing/>
                    <w:jc w:val="center"/>
                    <w:rPr>
                      <w:rFonts w:ascii="Times New Roman" w:hAnsi="Times New Roman"/>
                      <w:szCs w:val="21"/>
                    </w:rPr>
                  </w:pPr>
                  <w:r>
                    <w:rPr>
                      <w:rFonts w:ascii="Times New Roman" w:hAnsi="Times New Roman"/>
                      <w:szCs w:val="21"/>
                    </w:rPr>
                    <w:t>≤0.001</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铅</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w:t>
                  </w:r>
                  <w:r>
                    <w:rPr>
                      <w:rFonts w:hint="eastAsia" w:ascii="Times New Roman" w:hAnsi="Times New Roman"/>
                      <w:szCs w:val="21"/>
                      <w:lang w:val="en-US" w:eastAsia="zh-CN"/>
                    </w:rPr>
                    <w:t>9</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w:t>
                  </w:r>
                  <w:r>
                    <w:rPr>
                      <w:rFonts w:hint="eastAsia" w:ascii="Times New Roman" w:hAnsi="Times New Roman"/>
                      <w:szCs w:val="21"/>
                      <w:lang w:val="en-US" w:eastAsia="zh-CN"/>
                    </w:rPr>
                    <w:t>2</w:t>
                  </w:r>
                </w:p>
              </w:tc>
              <w:tc>
                <w:tcPr>
                  <w:tcW w:w="643"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w:t>
                  </w:r>
                  <w:r>
                    <w:rPr>
                      <w:rFonts w:hint="eastAsia" w:ascii="Times New Roman" w:hAnsi="Times New Roman"/>
                      <w:szCs w:val="21"/>
                      <w:lang w:val="en-US" w:eastAsia="zh-CN"/>
                    </w:rPr>
                    <w:t>1</w:t>
                  </w:r>
                </w:p>
              </w:tc>
              <w:tc>
                <w:tcPr>
                  <w:tcW w:w="1185" w:type="dxa"/>
                  <w:noWrap w:val="0"/>
                  <w:vAlign w:val="center"/>
                </w:tcPr>
                <w:p>
                  <w:pPr>
                    <w:spacing w:line="0" w:lineRule="atLeast"/>
                    <w:contextualSpacing/>
                    <w:jc w:val="center"/>
                    <w:rPr>
                      <w:rFonts w:ascii="Times New Roman" w:hAnsi="Times New Roman"/>
                      <w:szCs w:val="21"/>
                    </w:rPr>
                  </w:pPr>
                  <w:r>
                    <w:rPr>
                      <w:rFonts w:ascii="Times New Roman" w:hAnsi="Times New Roman"/>
                      <w:szCs w:val="21"/>
                    </w:rPr>
                    <w:t>≤0.</w:t>
                  </w:r>
                  <w:r>
                    <w:rPr>
                      <w:rFonts w:hint="eastAsia" w:ascii="Times New Roman" w:hAnsi="Times New Roman"/>
                      <w:szCs w:val="21"/>
                      <w:lang w:val="en-US" w:eastAsia="zh-CN"/>
                    </w:rPr>
                    <w:t>1</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COD</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30.0</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19.0</w:t>
                  </w:r>
                </w:p>
              </w:tc>
              <w:tc>
                <w:tcPr>
                  <w:tcW w:w="643"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2</w:t>
                  </w:r>
                  <w:r>
                    <w:rPr>
                      <w:rFonts w:hint="eastAsia" w:ascii="Times New Roman" w:hAnsi="Times New Roman"/>
                      <w:szCs w:val="21"/>
                      <w:lang w:val="en-US" w:eastAsia="zh-CN"/>
                    </w:rPr>
                    <w:t>4.9</w:t>
                  </w:r>
                </w:p>
              </w:tc>
              <w:tc>
                <w:tcPr>
                  <w:tcW w:w="1185" w:type="dxa"/>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r>
                    <w:rPr>
                      <w:rFonts w:hint="eastAsia" w:ascii="Times New Roman" w:hAnsi="Times New Roman"/>
                      <w:szCs w:val="21"/>
                      <w:lang w:val="en-US" w:eastAsia="zh-CN"/>
                    </w:rPr>
                    <w:t>40</w:t>
                  </w:r>
                </w:p>
              </w:tc>
              <w:tc>
                <w:tcPr>
                  <w:tcW w:w="587"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hint="eastAsia" w:ascii="Times New Roman" w:hAnsi="Times New Roman"/>
                      <w:szCs w:val="21"/>
                      <w:lang w:val="en-US" w:eastAsia="zh-CN"/>
                    </w:rPr>
                    <w:t>0</w:t>
                  </w:r>
                </w:p>
              </w:tc>
              <w:tc>
                <w:tcPr>
                  <w:tcW w:w="547"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总氮</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41.3</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2.4</w:t>
                  </w:r>
                </w:p>
              </w:tc>
              <w:tc>
                <w:tcPr>
                  <w:tcW w:w="643"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17.0</w:t>
                  </w:r>
                </w:p>
              </w:tc>
              <w:tc>
                <w:tcPr>
                  <w:tcW w:w="1185" w:type="dxa"/>
                  <w:noWrap w:val="0"/>
                  <w:vAlign w:val="center"/>
                </w:tcPr>
                <w:p>
                  <w:pPr>
                    <w:widowControl/>
                    <w:spacing w:line="0" w:lineRule="atLeast"/>
                    <w:contextualSpacing/>
                    <w:jc w:val="center"/>
                    <w:rPr>
                      <w:rFonts w:hint="default" w:ascii="Times New Roman" w:hAnsi="Times New Roman"/>
                      <w:szCs w:val="21"/>
                      <w:lang w:val="en-US"/>
                    </w:rPr>
                  </w:pPr>
                  <w:r>
                    <w:rPr>
                      <w:rFonts w:ascii="Times New Roman" w:hAnsi="Times New Roman"/>
                      <w:szCs w:val="21"/>
                    </w:rPr>
                    <w:t>≤</w:t>
                  </w:r>
                  <w:r>
                    <w:rPr>
                      <w:rFonts w:hint="eastAsia" w:ascii="Times New Roman" w:hAnsi="Times New Roman"/>
                      <w:szCs w:val="21"/>
                      <w:lang w:val="en-US" w:eastAsia="zh-CN"/>
                    </w:rPr>
                    <w:t>2.0</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100</w:t>
                  </w:r>
                </w:p>
              </w:tc>
              <w:tc>
                <w:tcPr>
                  <w:tcW w:w="547"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26.5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总磷</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0.12</w:t>
                  </w:r>
                </w:p>
              </w:tc>
              <w:tc>
                <w:tcPr>
                  <w:tcW w:w="529" w:type="pct"/>
                  <w:noWrap w:val="0"/>
                  <w:vAlign w:val="center"/>
                </w:tcPr>
                <w:p>
                  <w:pPr>
                    <w:widowControl/>
                    <w:spacing w:line="0" w:lineRule="atLeast"/>
                    <w:contextualSpacing/>
                    <w:jc w:val="center"/>
                    <w:rPr>
                      <w:rFonts w:hint="eastAsia" w:ascii="Times New Roman" w:hAnsi="Times New Roman" w:eastAsia="宋体"/>
                      <w:szCs w:val="21"/>
                      <w:lang w:val="en-US" w:eastAsia="zh-CN"/>
                    </w:rPr>
                  </w:pPr>
                  <w:r>
                    <w:rPr>
                      <w:rFonts w:ascii="Times New Roman" w:hAnsi="Times New Roman"/>
                      <w:szCs w:val="21"/>
                    </w:rPr>
                    <w:t>0.0</w:t>
                  </w:r>
                  <w:r>
                    <w:rPr>
                      <w:rFonts w:hint="eastAsia" w:ascii="Times New Roman" w:hAnsi="Times New Roman"/>
                      <w:szCs w:val="21"/>
                      <w:lang w:val="en-US" w:eastAsia="zh-CN"/>
                    </w:rPr>
                    <w:t>2</w:t>
                  </w:r>
                </w:p>
              </w:tc>
              <w:tc>
                <w:tcPr>
                  <w:tcW w:w="643"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0.</w:t>
                  </w:r>
                  <w:r>
                    <w:rPr>
                      <w:rFonts w:hint="eastAsia" w:ascii="Times New Roman" w:hAnsi="Times New Roman"/>
                      <w:szCs w:val="21"/>
                      <w:lang w:val="en-US" w:eastAsia="zh-CN"/>
                    </w:rPr>
                    <w:t>058</w:t>
                  </w:r>
                </w:p>
              </w:tc>
              <w:tc>
                <w:tcPr>
                  <w:tcW w:w="1185" w:type="dxa"/>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r>
                    <w:rPr>
                      <w:rFonts w:hint="eastAsia" w:ascii="Times New Roman" w:hAnsi="Times New Roman"/>
                      <w:szCs w:val="21"/>
                      <w:lang w:val="en-US" w:eastAsia="zh-CN"/>
                    </w:rPr>
                    <w:t>0.4</w:t>
                  </w:r>
                </w:p>
              </w:tc>
              <w:tc>
                <w:tcPr>
                  <w:tcW w:w="587"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hint="eastAsia" w:ascii="Times New Roman" w:hAnsi="Times New Roman"/>
                      <w:szCs w:val="21"/>
                      <w:lang w:val="en-US" w:eastAsia="zh-CN"/>
                    </w:rPr>
                    <w:t>0</w:t>
                  </w:r>
                </w:p>
              </w:tc>
              <w:tc>
                <w:tcPr>
                  <w:tcW w:w="547"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铜</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0.006</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0.00</w:t>
                  </w:r>
                  <w:r>
                    <w:rPr>
                      <w:rFonts w:hint="eastAsia" w:ascii="Times New Roman" w:hAnsi="Times New Roman"/>
                      <w:szCs w:val="21"/>
                      <w:lang w:val="en-US" w:eastAsia="zh-CN"/>
                    </w:rPr>
                    <w:t>002</w:t>
                  </w:r>
                </w:p>
              </w:tc>
              <w:tc>
                <w:tcPr>
                  <w:tcW w:w="643"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w:t>
                  </w:r>
                  <w:r>
                    <w:rPr>
                      <w:rFonts w:hint="eastAsia" w:ascii="Times New Roman" w:hAnsi="Times New Roman"/>
                      <w:szCs w:val="21"/>
                      <w:lang w:val="en-US" w:eastAsia="zh-CN"/>
                    </w:rPr>
                    <w:t>3</w:t>
                  </w:r>
                </w:p>
              </w:tc>
              <w:tc>
                <w:tcPr>
                  <w:tcW w:w="1185" w:type="dxa"/>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≤1.0</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锌</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0.0</w:t>
                  </w:r>
                  <w:r>
                    <w:rPr>
                      <w:rFonts w:hint="eastAsia" w:ascii="Times New Roman" w:hAnsi="Times New Roman"/>
                      <w:szCs w:val="21"/>
                      <w:lang w:val="en-US" w:eastAsia="zh-CN"/>
                    </w:rPr>
                    <w:t>23</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w:t>
                  </w:r>
                  <w:r>
                    <w:rPr>
                      <w:rFonts w:hint="eastAsia" w:ascii="Times New Roman" w:hAnsi="Times New Roman"/>
                      <w:szCs w:val="21"/>
                      <w:lang w:val="en-US" w:eastAsia="zh-CN"/>
                    </w:rPr>
                    <w:t>2</w:t>
                  </w:r>
                </w:p>
              </w:tc>
              <w:tc>
                <w:tcPr>
                  <w:tcW w:w="6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0.004</w:t>
                  </w:r>
                </w:p>
              </w:tc>
              <w:tc>
                <w:tcPr>
                  <w:tcW w:w="1185" w:type="dxa"/>
                  <w:noWrap w:val="0"/>
                  <w:vAlign w:val="center"/>
                </w:tcPr>
                <w:p>
                  <w:pPr>
                    <w:spacing w:line="0" w:lineRule="atLeast"/>
                    <w:contextualSpacing/>
                    <w:jc w:val="center"/>
                    <w:rPr>
                      <w:rFonts w:ascii="Times New Roman" w:hAnsi="Times New Roman"/>
                      <w:szCs w:val="21"/>
                    </w:rPr>
                  </w:pPr>
                  <w:r>
                    <w:rPr>
                      <w:rFonts w:ascii="Times New Roman" w:hAnsi="Times New Roman"/>
                      <w:szCs w:val="21"/>
                    </w:rPr>
                    <w:t>≤</w:t>
                  </w:r>
                  <w:r>
                    <w:rPr>
                      <w:rFonts w:hint="eastAsia" w:ascii="Times New Roman" w:hAnsi="Times New Roman"/>
                      <w:szCs w:val="21"/>
                      <w:lang w:val="en-US" w:eastAsia="zh-CN"/>
                    </w:rPr>
                    <w:t>2</w:t>
                  </w:r>
                  <w:r>
                    <w:rPr>
                      <w:rFonts w:ascii="Times New Roman" w:hAnsi="Times New Roman"/>
                      <w:szCs w:val="21"/>
                    </w:rPr>
                    <w:t>.0</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氟化物</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3.01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0.39</w:t>
                  </w:r>
                </w:p>
              </w:tc>
              <w:tc>
                <w:tcPr>
                  <w:tcW w:w="643"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2.45</w:t>
                  </w:r>
                </w:p>
              </w:tc>
              <w:tc>
                <w:tcPr>
                  <w:tcW w:w="1185" w:type="dxa"/>
                  <w:noWrap w:val="0"/>
                  <w:vAlign w:val="center"/>
                </w:tcPr>
                <w:p>
                  <w:pPr>
                    <w:spacing w:line="0" w:lineRule="atLeast"/>
                    <w:contextualSpacing/>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5</w:t>
                  </w:r>
                </w:p>
              </w:tc>
              <w:tc>
                <w:tcPr>
                  <w:tcW w:w="587"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91.7</w:t>
                  </w:r>
                </w:p>
              </w:tc>
              <w:tc>
                <w:tcPr>
                  <w:tcW w:w="547"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hint="eastAsia" w:ascii="Times New Roman" w:hAnsi="Times New Roman"/>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硒</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0.0</w:t>
                  </w:r>
                  <w:r>
                    <w:rPr>
                      <w:rFonts w:hint="eastAsia" w:ascii="Times New Roman" w:hAnsi="Times New Roman"/>
                      <w:szCs w:val="21"/>
                      <w:lang w:val="en-US" w:eastAsia="zh-CN"/>
                    </w:rPr>
                    <w:t>121</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0.000</w:t>
                  </w:r>
                  <w:r>
                    <w:rPr>
                      <w:rFonts w:hint="eastAsia" w:ascii="Times New Roman" w:hAnsi="Times New Roman"/>
                      <w:szCs w:val="21"/>
                      <w:lang w:val="en-US" w:eastAsia="zh-CN"/>
                    </w:rPr>
                    <w:t>7</w:t>
                  </w:r>
                </w:p>
              </w:tc>
              <w:tc>
                <w:tcPr>
                  <w:tcW w:w="643"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0.00</w:t>
                  </w:r>
                  <w:r>
                    <w:rPr>
                      <w:rFonts w:hint="eastAsia" w:ascii="Times New Roman" w:hAnsi="Times New Roman"/>
                      <w:szCs w:val="21"/>
                      <w:lang w:val="en-US" w:eastAsia="zh-CN"/>
                    </w:rPr>
                    <w:t>75</w:t>
                  </w:r>
                </w:p>
              </w:tc>
              <w:tc>
                <w:tcPr>
                  <w:tcW w:w="1185" w:type="dxa"/>
                  <w:noWrap w:val="0"/>
                  <w:vAlign w:val="center"/>
                </w:tcPr>
                <w:p>
                  <w:pPr>
                    <w:spacing w:line="0" w:lineRule="atLeast"/>
                    <w:contextualSpacing/>
                    <w:jc w:val="center"/>
                    <w:rPr>
                      <w:rFonts w:ascii="Times New Roman" w:hAnsi="Times New Roman"/>
                      <w:szCs w:val="21"/>
                    </w:rPr>
                  </w:pPr>
                  <w:r>
                    <w:rPr>
                      <w:rFonts w:ascii="Times New Roman" w:hAnsi="Times New Roman"/>
                      <w:szCs w:val="21"/>
                    </w:rPr>
                    <w:t>≤0.0</w:t>
                  </w:r>
                  <w:r>
                    <w:rPr>
                      <w:rFonts w:hint="eastAsia" w:ascii="Times New Roman" w:hAnsi="Times New Roman"/>
                      <w:szCs w:val="21"/>
                      <w:lang w:val="en-US" w:eastAsia="zh-CN"/>
                    </w:rPr>
                    <w:t>2</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砷</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0.00</w:t>
                  </w:r>
                  <w:r>
                    <w:rPr>
                      <w:rFonts w:hint="eastAsia" w:ascii="Times New Roman" w:hAnsi="Times New Roman"/>
                      <w:szCs w:val="21"/>
                      <w:lang w:val="en-US" w:eastAsia="zh-CN"/>
                    </w:rPr>
                    <w:t>57</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0.000</w:t>
                  </w:r>
                  <w:r>
                    <w:rPr>
                      <w:rFonts w:hint="eastAsia" w:ascii="Times New Roman" w:hAnsi="Times New Roman"/>
                      <w:szCs w:val="21"/>
                      <w:lang w:val="en-US" w:eastAsia="zh-CN"/>
                    </w:rPr>
                    <w:t>6</w:t>
                  </w:r>
                </w:p>
              </w:tc>
              <w:tc>
                <w:tcPr>
                  <w:tcW w:w="643"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0.00</w:t>
                  </w:r>
                  <w:r>
                    <w:rPr>
                      <w:rFonts w:hint="eastAsia" w:ascii="Times New Roman" w:hAnsi="Times New Roman"/>
                      <w:szCs w:val="21"/>
                      <w:lang w:val="en-US" w:eastAsia="zh-CN"/>
                    </w:rPr>
                    <w:t>27</w:t>
                  </w:r>
                </w:p>
              </w:tc>
              <w:tc>
                <w:tcPr>
                  <w:tcW w:w="1185" w:type="dxa"/>
                  <w:noWrap w:val="0"/>
                  <w:vAlign w:val="center"/>
                </w:tcPr>
                <w:p>
                  <w:pPr>
                    <w:spacing w:line="0" w:lineRule="atLeast"/>
                    <w:contextualSpacing/>
                    <w:jc w:val="center"/>
                    <w:rPr>
                      <w:rFonts w:ascii="Times New Roman" w:hAnsi="Times New Roman"/>
                      <w:szCs w:val="21"/>
                    </w:rPr>
                  </w:pPr>
                  <w:r>
                    <w:rPr>
                      <w:rFonts w:ascii="Times New Roman" w:hAnsi="Times New Roman"/>
                      <w:szCs w:val="21"/>
                    </w:rPr>
                    <w:t>≤0.</w:t>
                  </w:r>
                  <w:r>
                    <w:rPr>
                      <w:rFonts w:hint="eastAsia" w:ascii="Times New Roman" w:hAnsi="Times New Roman"/>
                      <w:szCs w:val="21"/>
                      <w:lang w:val="en-US" w:eastAsia="zh-CN"/>
                    </w:rPr>
                    <w:t>1</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镉</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0.00</w:t>
                  </w:r>
                  <w:r>
                    <w:rPr>
                      <w:rFonts w:hint="eastAsia" w:ascii="Times New Roman" w:hAnsi="Times New Roman"/>
                      <w:szCs w:val="21"/>
                      <w:lang w:val="en-US" w:eastAsia="zh-CN"/>
                    </w:rPr>
                    <w:t>15</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0.000</w:t>
                  </w:r>
                  <w:r>
                    <w:rPr>
                      <w:rFonts w:hint="eastAsia" w:ascii="Times New Roman" w:hAnsi="Times New Roman"/>
                      <w:szCs w:val="21"/>
                      <w:lang w:val="en-US" w:eastAsia="zh-CN"/>
                    </w:rPr>
                    <w:t>1</w:t>
                  </w:r>
                </w:p>
              </w:tc>
              <w:tc>
                <w:tcPr>
                  <w:tcW w:w="643"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0.000</w:t>
                  </w:r>
                  <w:r>
                    <w:rPr>
                      <w:rFonts w:hint="eastAsia" w:ascii="Times New Roman" w:hAnsi="Times New Roman"/>
                      <w:szCs w:val="21"/>
                      <w:lang w:val="en-US" w:eastAsia="zh-CN"/>
                    </w:rPr>
                    <w:t>8</w:t>
                  </w:r>
                </w:p>
              </w:tc>
              <w:tc>
                <w:tcPr>
                  <w:tcW w:w="1185" w:type="dxa"/>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≤0.0</w:t>
                  </w:r>
                  <w:r>
                    <w:rPr>
                      <w:rFonts w:hint="eastAsia" w:ascii="Times New Roman" w:hAnsi="Times New Roman"/>
                      <w:szCs w:val="21"/>
                      <w:lang w:val="en-US" w:eastAsia="zh-CN"/>
                    </w:rPr>
                    <w:t>1</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六价铬</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0.0</w:t>
                  </w:r>
                  <w:r>
                    <w:rPr>
                      <w:rFonts w:hint="eastAsia" w:ascii="Times New Roman" w:hAnsi="Times New Roman"/>
                      <w:szCs w:val="21"/>
                      <w:lang w:val="en-US" w:eastAsia="zh-CN"/>
                    </w:rPr>
                    <w:t>23</w:t>
                  </w:r>
                </w:p>
              </w:tc>
              <w:tc>
                <w:tcPr>
                  <w:tcW w:w="529"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0.002</w:t>
                  </w:r>
                </w:p>
              </w:tc>
              <w:tc>
                <w:tcPr>
                  <w:tcW w:w="643" w:type="pct"/>
                  <w:noWrap w:val="0"/>
                  <w:vAlign w:val="center"/>
                </w:tcPr>
                <w:p>
                  <w:pPr>
                    <w:widowControl/>
                    <w:spacing w:line="0" w:lineRule="atLeast"/>
                    <w:contextualSpacing/>
                    <w:jc w:val="center"/>
                    <w:rPr>
                      <w:rFonts w:hint="default" w:ascii="Times New Roman" w:hAnsi="Times New Roman" w:eastAsia="宋体"/>
                      <w:szCs w:val="21"/>
                      <w:lang w:val="en-US" w:eastAsia="zh-CN"/>
                    </w:rPr>
                  </w:pPr>
                  <w:r>
                    <w:rPr>
                      <w:rFonts w:ascii="Times New Roman" w:hAnsi="Times New Roman"/>
                      <w:szCs w:val="21"/>
                    </w:rPr>
                    <w:t>0.0</w:t>
                  </w:r>
                  <w:r>
                    <w:rPr>
                      <w:rFonts w:hint="eastAsia" w:ascii="Times New Roman" w:hAnsi="Times New Roman"/>
                      <w:szCs w:val="21"/>
                      <w:lang w:val="en-US" w:eastAsia="zh-CN"/>
                    </w:rPr>
                    <w:t>11</w:t>
                  </w:r>
                </w:p>
              </w:tc>
              <w:tc>
                <w:tcPr>
                  <w:tcW w:w="1185" w:type="dxa"/>
                  <w:noWrap w:val="0"/>
                  <w:vAlign w:val="center"/>
                </w:tcPr>
                <w:p>
                  <w:pPr>
                    <w:spacing w:line="0" w:lineRule="atLeast"/>
                    <w:contextualSpacing/>
                    <w:jc w:val="center"/>
                    <w:rPr>
                      <w:rFonts w:ascii="Times New Roman" w:hAnsi="Times New Roman"/>
                      <w:szCs w:val="21"/>
                    </w:rPr>
                  </w:pPr>
                  <w:r>
                    <w:rPr>
                      <w:rFonts w:ascii="Times New Roman" w:hAnsi="Times New Roman"/>
                      <w:szCs w:val="21"/>
                    </w:rPr>
                    <w:t>≤0.</w:t>
                  </w:r>
                  <w:r>
                    <w:rPr>
                      <w:rFonts w:hint="eastAsia" w:ascii="Times New Roman" w:hAnsi="Times New Roman"/>
                      <w:szCs w:val="21"/>
                      <w:lang w:val="en-US" w:eastAsia="zh-CN"/>
                    </w:rPr>
                    <w:t>1</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氰化物</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w:t>
                  </w:r>
                  <w:r>
                    <w:rPr>
                      <w:rFonts w:hint="eastAsia" w:ascii="Times New Roman" w:hAnsi="Times New Roman"/>
                      <w:szCs w:val="21"/>
                      <w:lang w:val="en-US" w:eastAsia="zh-CN"/>
                    </w:rPr>
                    <w:t>4</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w:t>
                  </w:r>
                  <w:r>
                    <w:rPr>
                      <w:rFonts w:hint="eastAsia" w:ascii="Times New Roman" w:hAnsi="Times New Roman"/>
                      <w:szCs w:val="21"/>
                      <w:lang w:val="en-US" w:eastAsia="zh-CN"/>
                    </w:rPr>
                    <w:t>2</w:t>
                  </w:r>
                </w:p>
              </w:tc>
              <w:tc>
                <w:tcPr>
                  <w:tcW w:w="643"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w:t>
                  </w:r>
                  <w:r>
                    <w:rPr>
                      <w:rFonts w:hint="eastAsia" w:ascii="Times New Roman" w:hAnsi="Times New Roman"/>
                      <w:szCs w:val="21"/>
                      <w:lang w:val="en-US" w:eastAsia="zh-CN"/>
                    </w:rPr>
                    <w:t>2</w:t>
                  </w:r>
                </w:p>
              </w:tc>
              <w:tc>
                <w:tcPr>
                  <w:tcW w:w="1185" w:type="dxa"/>
                  <w:noWrap w:val="0"/>
                  <w:vAlign w:val="center"/>
                </w:tcPr>
                <w:p>
                  <w:pPr>
                    <w:spacing w:line="0" w:lineRule="atLeast"/>
                    <w:contextualSpacing/>
                    <w:jc w:val="center"/>
                    <w:rPr>
                      <w:rFonts w:ascii="Times New Roman" w:hAnsi="Times New Roman"/>
                      <w:szCs w:val="21"/>
                    </w:rPr>
                  </w:pPr>
                  <w:r>
                    <w:rPr>
                      <w:rFonts w:ascii="Times New Roman" w:hAnsi="Times New Roman"/>
                      <w:szCs w:val="21"/>
                    </w:rPr>
                    <w:t>≤0.2</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阴离子表面活性剂</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0.1</w:t>
                  </w:r>
                  <w:r>
                    <w:rPr>
                      <w:rFonts w:hint="eastAsia" w:ascii="Times New Roman" w:hAnsi="Times New Roman"/>
                      <w:szCs w:val="21"/>
                      <w:lang w:val="en-US" w:eastAsia="zh-CN"/>
                    </w:rPr>
                    <w:t>9</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w:t>
                  </w:r>
                  <w:r>
                    <w:rPr>
                      <w:rFonts w:hint="eastAsia" w:ascii="Times New Roman" w:hAnsi="Times New Roman"/>
                      <w:szCs w:val="21"/>
                      <w:lang w:val="en-US" w:eastAsia="zh-CN"/>
                    </w:rPr>
                    <w:t>3</w:t>
                  </w:r>
                </w:p>
              </w:tc>
              <w:tc>
                <w:tcPr>
                  <w:tcW w:w="643"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w:t>
                  </w:r>
                  <w:r>
                    <w:rPr>
                      <w:rFonts w:hint="eastAsia" w:ascii="Times New Roman" w:hAnsi="Times New Roman"/>
                      <w:szCs w:val="21"/>
                      <w:lang w:val="en-US" w:eastAsia="zh-CN"/>
                    </w:rPr>
                    <w:t>8</w:t>
                  </w:r>
                </w:p>
              </w:tc>
              <w:tc>
                <w:tcPr>
                  <w:tcW w:w="1185" w:type="dxa"/>
                  <w:noWrap w:val="0"/>
                  <w:vAlign w:val="center"/>
                </w:tcPr>
                <w:p>
                  <w:pPr>
                    <w:spacing w:line="0" w:lineRule="atLeast"/>
                    <w:contextualSpacing/>
                    <w:jc w:val="center"/>
                    <w:rPr>
                      <w:rFonts w:ascii="Times New Roman" w:hAnsi="Times New Roman"/>
                      <w:szCs w:val="21"/>
                    </w:rPr>
                  </w:pPr>
                  <w:r>
                    <w:rPr>
                      <w:rFonts w:ascii="Times New Roman" w:hAnsi="Times New Roman"/>
                      <w:szCs w:val="21"/>
                    </w:rPr>
                    <w:t>≤0.</w:t>
                  </w:r>
                  <w:r>
                    <w:rPr>
                      <w:rFonts w:hint="eastAsia" w:ascii="Times New Roman" w:hAnsi="Times New Roman"/>
                      <w:szCs w:val="21"/>
                      <w:lang w:val="en-US" w:eastAsia="zh-CN"/>
                    </w:rPr>
                    <w:t>3</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硫化物</w:t>
                  </w:r>
                </w:p>
              </w:tc>
              <w:tc>
                <w:tcPr>
                  <w:tcW w:w="4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11</w:t>
                  </w:r>
                </w:p>
              </w:tc>
              <w:tc>
                <w:tcPr>
                  <w:tcW w:w="529" w:type="pct"/>
                  <w:noWrap w:val="0"/>
                  <w:vAlign w:val="center"/>
                </w:tcPr>
                <w:p>
                  <w:pPr>
                    <w:widowControl/>
                    <w:spacing w:line="0" w:lineRule="atLeast"/>
                    <w:contextualSpacing/>
                    <w:jc w:val="center"/>
                    <w:rPr>
                      <w:rFonts w:hint="eastAsia" w:ascii="Times New Roman" w:hAnsi="Times New Roman" w:eastAsia="宋体"/>
                      <w:szCs w:val="21"/>
                      <w:lang w:eastAsia="zh-CN"/>
                    </w:rPr>
                  </w:pPr>
                  <w:r>
                    <w:rPr>
                      <w:rFonts w:ascii="Times New Roman" w:hAnsi="Times New Roman"/>
                      <w:szCs w:val="21"/>
                    </w:rPr>
                    <w:t>0.00</w:t>
                  </w:r>
                  <w:r>
                    <w:rPr>
                      <w:rFonts w:hint="eastAsia" w:ascii="Times New Roman" w:hAnsi="Times New Roman"/>
                      <w:szCs w:val="21"/>
                      <w:lang w:val="en-US" w:eastAsia="zh-CN"/>
                    </w:rPr>
                    <w:t>5</w:t>
                  </w:r>
                </w:p>
              </w:tc>
              <w:tc>
                <w:tcPr>
                  <w:tcW w:w="529"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0.003</w:t>
                  </w:r>
                </w:p>
              </w:tc>
              <w:tc>
                <w:tcPr>
                  <w:tcW w:w="643"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0.003</w:t>
                  </w:r>
                </w:p>
              </w:tc>
              <w:tc>
                <w:tcPr>
                  <w:tcW w:w="1185" w:type="dxa"/>
                  <w:noWrap w:val="0"/>
                  <w:vAlign w:val="center"/>
                </w:tcPr>
                <w:p>
                  <w:pPr>
                    <w:spacing w:line="0" w:lineRule="atLeast"/>
                    <w:contextualSpacing/>
                    <w:jc w:val="center"/>
                    <w:rPr>
                      <w:rFonts w:ascii="Times New Roman" w:hAnsi="Times New Roman"/>
                      <w:szCs w:val="21"/>
                    </w:rPr>
                  </w:pPr>
                  <w:r>
                    <w:rPr>
                      <w:rFonts w:ascii="Times New Roman" w:hAnsi="Times New Roman"/>
                      <w:szCs w:val="21"/>
                    </w:rPr>
                    <w:t>≤</w:t>
                  </w:r>
                  <w:r>
                    <w:rPr>
                      <w:rFonts w:hint="eastAsia" w:ascii="Times New Roman" w:hAnsi="Times New Roman"/>
                      <w:szCs w:val="21"/>
                      <w:lang w:val="en-US" w:eastAsia="zh-CN"/>
                    </w:rPr>
                    <w:t>1.0</w:t>
                  </w:r>
                </w:p>
              </w:tc>
              <w:tc>
                <w:tcPr>
                  <w:tcW w:w="58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0</w:t>
                  </w:r>
                </w:p>
              </w:tc>
              <w:tc>
                <w:tcPr>
                  <w:tcW w:w="547" w:type="pct"/>
                  <w:noWrap w:val="0"/>
                  <w:vAlign w:val="center"/>
                </w:tcPr>
                <w:p>
                  <w:pPr>
                    <w:widowControl/>
                    <w:spacing w:line="0" w:lineRule="atLeast"/>
                    <w:contextualSpacing/>
                    <w:jc w:val="center"/>
                    <w:rPr>
                      <w:rFonts w:ascii="Times New Roman" w:hAnsi="Times New Roman"/>
                      <w:szCs w:val="21"/>
                    </w:rPr>
                  </w:pPr>
                  <w:r>
                    <w:rPr>
                      <w:rFonts w:ascii="Times New Roman" w:hAnsi="Times New Roman"/>
                      <w:szCs w:val="21"/>
                    </w:rPr>
                    <w:t>-</w:t>
                  </w:r>
                </w:p>
              </w:tc>
            </w:tr>
          </w:tbl>
          <w:p>
            <w:pPr>
              <w:adjustRightInd w:val="0"/>
              <w:snapToGrid w:val="0"/>
              <w:spacing w:line="360" w:lineRule="auto"/>
              <w:ind w:firstLine="480" w:firstLineChars="200"/>
              <w:rPr>
                <w:rFonts w:hint="default" w:eastAsia="宋体"/>
                <w:kern w:val="0"/>
                <w:sz w:val="24"/>
                <w:szCs w:val="24"/>
                <w:highlight w:val="none"/>
                <w:lang w:val="en-US" w:eastAsia="zh-CN"/>
              </w:rPr>
            </w:pPr>
            <w:r>
              <w:rPr>
                <w:rStyle w:val="22"/>
                <w:rFonts w:ascii="Times New Roman" w:hAnsi="Times New Roman"/>
                <w:sz w:val="24"/>
                <w:szCs w:val="24"/>
              </w:rPr>
              <w:t>由表3-</w:t>
            </w:r>
            <w:r>
              <w:rPr>
                <w:rStyle w:val="22"/>
                <w:rFonts w:hint="eastAsia"/>
                <w:sz w:val="24"/>
                <w:szCs w:val="24"/>
                <w:lang w:val="en-US" w:eastAsia="zh-CN"/>
              </w:rPr>
              <w:t>7</w:t>
            </w:r>
            <w:r>
              <w:rPr>
                <w:rStyle w:val="22"/>
                <w:rFonts w:ascii="Times New Roman" w:hAnsi="Times New Roman"/>
                <w:sz w:val="24"/>
                <w:szCs w:val="24"/>
              </w:rPr>
              <w:t>可知</w:t>
            </w:r>
            <w:r>
              <w:rPr>
                <w:rFonts w:ascii="Times New Roman" w:hAnsi="Times New Roman"/>
                <w:sz w:val="24"/>
              </w:rPr>
              <w:t>，</w:t>
            </w:r>
            <w:r>
              <w:rPr>
                <w:rFonts w:hint="eastAsia"/>
                <w:kern w:val="0"/>
                <w:sz w:val="24"/>
                <w:lang w:eastAsia="zh-CN"/>
              </w:rPr>
              <w:t>红柳沟</w:t>
            </w:r>
            <w:r>
              <w:rPr>
                <w:rFonts w:ascii="Times New Roman" w:hAnsi="Times New Roman"/>
                <w:sz w:val="24"/>
              </w:rPr>
              <w:t>（</w:t>
            </w:r>
            <w:r>
              <w:rPr>
                <w:rFonts w:hint="eastAsia" w:ascii="Times New Roman" w:hAnsi="Times New Roman"/>
                <w:sz w:val="24"/>
                <w:lang w:eastAsia="zh-CN"/>
              </w:rPr>
              <w:t>吴忠红寺堡区</w:t>
            </w:r>
            <w:r>
              <w:rPr>
                <w:rFonts w:ascii="Times New Roman" w:hAnsi="Times New Roman"/>
                <w:sz w:val="24"/>
              </w:rPr>
              <w:t>-</w:t>
            </w:r>
            <w:r>
              <w:rPr>
                <w:rFonts w:hint="eastAsia" w:ascii="Times New Roman" w:hAnsi="Times New Roman"/>
                <w:sz w:val="24"/>
                <w:lang w:eastAsia="zh-CN"/>
              </w:rPr>
              <w:t>中卫中宁县</w:t>
            </w:r>
            <w:r>
              <w:rPr>
                <w:rFonts w:ascii="Times New Roman" w:hAnsi="Times New Roman"/>
                <w:sz w:val="24"/>
              </w:rPr>
              <w:t>）</w:t>
            </w:r>
            <w:r>
              <w:rPr>
                <w:rFonts w:hint="eastAsia" w:ascii="Times New Roman" w:hAnsi="Times New Roman"/>
                <w:sz w:val="24"/>
                <w:lang w:eastAsia="zh-CN"/>
              </w:rPr>
              <w:t>市界</w:t>
            </w:r>
            <w:r>
              <w:rPr>
                <w:rFonts w:ascii="Times New Roman" w:hAnsi="Times New Roman"/>
                <w:sz w:val="24"/>
              </w:rPr>
              <w:t>断面处，总氮和</w:t>
            </w:r>
            <w:r>
              <w:rPr>
                <w:rFonts w:hint="eastAsia" w:ascii="Times New Roman" w:hAnsi="Times New Roman"/>
                <w:sz w:val="24"/>
                <w:lang w:eastAsia="zh-CN"/>
              </w:rPr>
              <w:t>氟化物</w:t>
            </w:r>
            <w:r>
              <w:rPr>
                <w:rFonts w:hint="eastAsia" w:ascii="Times New Roman" w:hAnsi="Times New Roman"/>
                <w:sz w:val="24"/>
              </w:rPr>
              <w:t>超标</w:t>
            </w:r>
            <w:r>
              <w:rPr>
                <w:rFonts w:ascii="Times New Roman" w:hAnsi="Times New Roman"/>
                <w:sz w:val="24"/>
              </w:rPr>
              <w:t>外，其余监测因子均满足《地表水环境质量标准》(GB3838-2002</w:t>
            </w:r>
            <w:r>
              <w:rPr>
                <w:rFonts w:ascii="Times New Roman" w:hAnsi="Times New Roman" w:cs="Times New Roman"/>
                <w:sz w:val="24"/>
              </w:rPr>
              <w:t>)</w:t>
            </w:r>
            <w:r>
              <w:rPr>
                <w:rFonts w:hint="eastAsia" w:ascii="Times New Roman" w:hAnsi="Times New Roman" w:cs="Times New Roman"/>
                <w:sz w:val="24"/>
              </w:rPr>
              <w:t>Ⅴ</w:t>
            </w:r>
            <w:r>
              <w:rPr>
                <w:rFonts w:ascii="Times New Roman" w:hAnsi="Times New Roman" w:cs="Times New Roman"/>
                <w:sz w:val="24"/>
              </w:rPr>
              <w:t>类标准</w:t>
            </w:r>
            <w:r>
              <w:rPr>
                <w:rFonts w:ascii="Times New Roman" w:hAnsi="Times New Roman"/>
                <w:sz w:val="24"/>
              </w:rPr>
              <w:t>要求。超标主要原因为</w:t>
            </w:r>
            <w:r>
              <w:rPr>
                <w:rFonts w:hint="eastAsia"/>
                <w:kern w:val="0"/>
                <w:sz w:val="24"/>
                <w:lang w:eastAsia="zh-CN"/>
              </w:rPr>
              <w:t>红柳沟</w:t>
            </w:r>
            <w:r>
              <w:rPr>
                <w:rFonts w:ascii="Times New Roman" w:hAnsi="Times New Roman"/>
                <w:sz w:val="24"/>
              </w:rPr>
              <w:t>接纳沿途农田退水所致。</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textAlignment w:val="auto"/>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地下水环境质量现状</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Style w:val="22"/>
                <w:rFonts w:hint="default" w:ascii="Times New Roman" w:hAnsi="Times New Roman" w:eastAsia="宋体" w:cs="Times New Roman"/>
                <w:kern w:val="2"/>
                <w:sz w:val="24"/>
                <w:szCs w:val="24"/>
                <w:lang w:val="en-US" w:eastAsia="zh-CN" w:bidi="ar-SA"/>
              </w:rPr>
            </w:pPr>
            <w:r>
              <w:rPr>
                <w:rStyle w:val="22"/>
                <w:rFonts w:hint="default" w:ascii="Times New Roman" w:hAnsi="Times New Roman" w:eastAsia="宋体" w:cs="Times New Roman"/>
                <w:kern w:val="2"/>
                <w:sz w:val="24"/>
                <w:szCs w:val="24"/>
                <w:lang w:val="en-US" w:eastAsia="zh-CN" w:bidi="ar-SA"/>
              </w:rPr>
              <w:t>本项目为</w:t>
            </w:r>
            <w:r>
              <w:rPr>
                <w:rStyle w:val="22"/>
                <w:rFonts w:hint="eastAsia" w:ascii="Times New Roman" w:hAnsi="Times New Roman" w:cs="Times New Roman"/>
                <w:kern w:val="2"/>
                <w:sz w:val="24"/>
                <w:szCs w:val="24"/>
                <w:lang w:val="en-US" w:eastAsia="zh-CN" w:bidi="ar-SA"/>
              </w:rPr>
              <w:t>废弃矿山修复治理工程</w:t>
            </w:r>
            <w:r>
              <w:rPr>
                <w:rStyle w:val="22"/>
                <w:rFonts w:hint="default" w:ascii="Times New Roman" w:hAnsi="Times New Roman" w:eastAsia="宋体" w:cs="Times New Roman"/>
                <w:kern w:val="2"/>
                <w:sz w:val="24"/>
                <w:szCs w:val="24"/>
                <w:lang w:val="en-US" w:eastAsia="zh-CN" w:bidi="ar-SA"/>
              </w:rPr>
              <w:t>，根据</w:t>
            </w:r>
            <w:r>
              <w:rPr>
                <w:rFonts w:hint="eastAsia" w:ascii="Times New Roman" w:hAnsi="Times New Roman" w:cs="Times New Roman"/>
                <w:sz w:val="24"/>
                <w:highlight w:val="none"/>
              </w:rPr>
              <w:t>《建设项目环境影响评价分类管理名录》(</w:t>
            </w:r>
            <w:r>
              <w:rPr>
                <w:rFonts w:hint="eastAsia" w:cs="Times New Roman"/>
                <w:sz w:val="24"/>
                <w:highlight w:val="none"/>
                <w:lang w:val="en-US" w:eastAsia="zh-CN"/>
              </w:rPr>
              <w:t>2021年版</w:t>
            </w:r>
            <w:r>
              <w:rPr>
                <w:rFonts w:hint="eastAsia" w:ascii="Times New Roman" w:hAnsi="Times New Roman" w:cs="Times New Roman"/>
                <w:sz w:val="24"/>
                <w:highlight w:val="none"/>
              </w:rPr>
              <w:t>)</w:t>
            </w:r>
            <w:r>
              <w:rPr>
                <w:rFonts w:hint="eastAsia" w:cs="Times New Roman"/>
                <w:sz w:val="24"/>
                <w:highlight w:val="none"/>
                <w:lang w:eastAsia="zh-CN"/>
              </w:rPr>
              <w:t>及</w:t>
            </w:r>
            <w:r>
              <w:rPr>
                <w:rStyle w:val="22"/>
                <w:rFonts w:hint="default" w:ascii="Times New Roman" w:hAnsi="Times New Roman" w:eastAsia="宋体" w:cs="Times New Roman"/>
                <w:kern w:val="2"/>
                <w:sz w:val="24"/>
                <w:szCs w:val="24"/>
                <w:lang w:val="en-US" w:eastAsia="zh-CN" w:bidi="ar-SA"/>
              </w:rPr>
              <w:t>《环境影响评价技术导则 地下水环境》(HJ610-2016)中附录A</w:t>
            </w:r>
            <w:r>
              <w:rPr>
                <w:rStyle w:val="22"/>
                <w:rFonts w:hint="eastAsia" w:cs="Times New Roman"/>
                <w:kern w:val="2"/>
                <w:sz w:val="24"/>
                <w:szCs w:val="24"/>
                <w:lang w:val="en-US" w:eastAsia="zh-CN" w:bidi="ar-SA"/>
              </w:rPr>
              <w:t>的判定结果</w:t>
            </w:r>
            <w:r>
              <w:rPr>
                <w:rStyle w:val="22"/>
                <w:rFonts w:hint="default" w:ascii="Times New Roman" w:hAnsi="Times New Roman" w:eastAsia="宋体" w:cs="Times New Roman"/>
                <w:kern w:val="2"/>
                <w:sz w:val="24"/>
                <w:szCs w:val="24"/>
                <w:lang w:val="en-US" w:eastAsia="zh-CN" w:bidi="ar-SA"/>
              </w:rPr>
              <w:t>，项目属于54·土砂石开采</w:t>
            </w:r>
            <w:r>
              <w:rPr>
                <w:rStyle w:val="22"/>
                <w:rFonts w:hint="eastAsia" w:cs="Times New Roman"/>
                <w:kern w:val="2"/>
                <w:sz w:val="24"/>
                <w:szCs w:val="24"/>
                <w:lang w:val="en-US" w:eastAsia="zh-CN" w:bidi="ar-SA"/>
              </w:rPr>
              <w:t>中的其他类</w:t>
            </w:r>
            <w:r>
              <w:rPr>
                <w:rStyle w:val="22"/>
                <w:rFonts w:hint="default" w:ascii="Times New Roman" w:hAnsi="Times New Roman" w:eastAsia="宋体" w:cs="Times New Roman"/>
                <w:kern w:val="2"/>
                <w:sz w:val="24"/>
                <w:szCs w:val="24"/>
                <w:lang w:val="en-US" w:eastAsia="zh-CN" w:bidi="ar-SA"/>
              </w:rPr>
              <w:t>，地下水环境影响评价类别为报告表Ⅳ类。因此，根据《环境影响评价技术导则 地下水环境》(HJ610-2016)中要求，Ⅳ类建设项目不需开展地下水环境影响评价，因此不需要进行地下水环境质量现状监测。</w:t>
            </w:r>
          </w:p>
          <w:p>
            <w:pPr>
              <w:adjustRightInd w:val="0"/>
              <w:spacing w:line="360" w:lineRule="auto"/>
              <w:rPr>
                <w:rFonts w:hint="eastAsia" w:ascii="Times New Roman" w:hAnsi="Times New Roman" w:eastAsia="黑体" w:cs="Times New Roman"/>
                <w:sz w:val="24"/>
                <w:szCs w:val="24"/>
                <w:lang w:val="en-US" w:eastAsia="zh-CN"/>
              </w:rPr>
            </w:pPr>
            <w:r>
              <w:rPr>
                <w:rFonts w:hint="eastAsia" w:eastAsia="黑体" w:cs="Times New Roman"/>
                <w:sz w:val="24"/>
                <w:szCs w:val="24"/>
                <w:lang w:val="en-US" w:eastAsia="zh-CN"/>
              </w:rPr>
              <w:t>4</w:t>
            </w:r>
            <w:r>
              <w:rPr>
                <w:rFonts w:hint="eastAsia" w:ascii="Times New Roman" w:hAnsi="Times New Roman" w:eastAsia="黑体" w:cs="Times New Roman"/>
                <w:sz w:val="24"/>
                <w:szCs w:val="24"/>
                <w:lang w:val="en-US" w:eastAsia="zh-CN"/>
              </w:rPr>
              <w:t>、声环境质量现状</w:t>
            </w:r>
          </w:p>
          <w:p>
            <w:pPr>
              <w:spacing w:line="360" w:lineRule="auto"/>
              <w:ind w:firstLine="480" w:firstLineChars="200"/>
              <w:rPr>
                <w:sz w:val="24"/>
                <w:highlight w:val="none"/>
              </w:rPr>
            </w:pPr>
            <w:r>
              <w:rPr>
                <w:rFonts w:hint="eastAsia"/>
                <w:sz w:val="24"/>
                <w:highlight w:val="none"/>
              </w:rPr>
              <w:t>为了解项目评价区域的声环境质量现状，本次环评委托宁夏中环国安咨询有限公司对项目评价区域的声环境质量现状进行监测。</w:t>
            </w:r>
          </w:p>
          <w:p>
            <w:pPr>
              <w:numPr>
                <w:ilvl w:val="0"/>
                <w:numId w:val="0"/>
              </w:numPr>
              <w:spacing w:line="360" w:lineRule="auto"/>
              <w:ind w:left="480" w:leftChars="0"/>
              <w:rPr>
                <w:sz w:val="24"/>
                <w:highlight w:val="none"/>
              </w:rPr>
            </w:pPr>
            <w:r>
              <w:rPr>
                <w:rFonts w:hint="eastAsia"/>
                <w:sz w:val="24"/>
                <w:highlight w:val="none"/>
                <w:lang w:val="en-US" w:eastAsia="zh-CN"/>
              </w:rPr>
              <w:t>⑴监</w:t>
            </w:r>
            <w:r>
              <w:rPr>
                <w:rFonts w:hint="eastAsia"/>
                <w:sz w:val="24"/>
                <w:highlight w:val="none"/>
              </w:rPr>
              <w:t>测点位</w:t>
            </w:r>
          </w:p>
          <w:p>
            <w:pPr>
              <w:spacing w:line="360" w:lineRule="auto"/>
              <w:ind w:firstLine="480" w:firstLineChars="200"/>
              <w:jc w:val="both"/>
              <w:rPr>
                <w:rFonts w:hint="eastAsia"/>
                <w:b/>
                <w:sz w:val="24"/>
                <w:highlight w:val="none"/>
              </w:rPr>
            </w:pPr>
            <w:r>
              <w:rPr>
                <w:rFonts w:hint="eastAsia"/>
                <w:sz w:val="24"/>
                <w:highlight w:val="none"/>
              </w:rPr>
              <w:t>根据项目区周围的环境现状，本次噪声监测共计布设</w:t>
            </w:r>
            <w:r>
              <w:rPr>
                <w:rFonts w:hint="eastAsia"/>
                <w:sz w:val="24"/>
                <w:highlight w:val="none"/>
                <w:lang w:val="en-US" w:eastAsia="zh-CN"/>
              </w:rPr>
              <w:t>8</w:t>
            </w:r>
            <w:r>
              <w:rPr>
                <w:rFonts w:hint="eastAsia"/>
                <w:sz w:val="24"/>
                <w:highlight w:val="none"/>
              </w:rPr>
              <w:t>个噪声监测点，</w:t>
            </w:r>
            <w:r>
              <w:rPr>
                <w:rFonts w:hint="eastAsia"/>
                <w:sz w:val="24"/>
                <w:highlight w:val="none"/>
                <w:lang w:val="en-US" w:eastAsia="zh-CN"/>
              </w:rPr>
              <w:t>煤炭治理区布设5个、建筑用砂治理区布设3个。</w:t>
            </w:r>
            <w:r>
              <w:rPr>
                <w:rFonts w:hint="eastAsia"/>
                <w:sz w:val="24"/>
                <w:highlight w:val="none"/>
              </w:rPr>
              <w:t>监测布点见</w:t>
            </w:r>
            <w:r>
              <w:rPr>
                <w:rFonts w:hint="eastAsia"/>
                <w:sz w:val="24"/>
                <w:highlight w:val="none"/>
                <w:lang w:val="en-US" w:eastAsia="zh-CN"/>
              </w:rPr>
              <w:t>图3-1、图3-2</w:t>
            </w:r>
            <w:r>
              <w:rPr>
                <w:rFonts w:hint="eastAsia"/>
                <w:sz w:val="24"/>
                <w:highlight w:val="none"/>
              </w:rPr>
              <w:t>。</w:t>
            </w:r>
          </w:p>
          <w:p>
            <w:pPr>
              <w:spacing w:line="360" w:lineRule="auto"/>
              <w:ind w:firstLine="480" w:firstLineChars="200"/>
              <w:rPr>
                <w:rFonts w:hint="eastAsia" w:eastAsia="宋体"/>
                <w:sz w:val="24"/>
                <w:highlight w:val="none"/>
                <w:lang w:val="en-US" w:eastAsia="zh-CN"/>
              </w:rPr>
            </w:pPr>
            <w:r>
              <w:rPr>
                <w:rFonts w:hint="eastAsia"/>
                <w:sz w:val="24"/>
                <w:highlight w:val="none"/>
              </w:rPr>
              <w:t>⑵监测时间及</w:t>
            </w:r>
            <w:r>
              <w:rPr>
                <w:rFonts w:hint="eastAsia"/>
                <w:sz w:val="24"/>
                <w:highlight w:val="none"/>
                <w:lang w:val="en-US" w:eastAsia="zh-CN"/>
              </w:rPr>
              <w:t>频率</w:t>
            </w:r>
          </w:p>
          <w:p>
            <w:pPr>
              <w:spacing w:line="360" w:lineRule="auto"/>
              <w:ind w:firstLine="480" w:firstLineChars="200"/>
              <w:rPr>
                <w:sz w:val="24"/>
                <w:highlight w:val="none"/>
              </w:rPr>
            </w:pPr>
            <w:r>
              <w:rPr>
                <w:rFonts w:hint="eastAsia"/>
                <w:sz w:val="24"/>
                <w:highlight w:val="none"/>
              </w:rPr>
              <w:t>本次监测于20</w:t>
            </w:r>
            <w:r>
              <w:rPr>
                <w:rFonts w:hint="eastAsia"/>
                <w:sz w:val="24"/>
                <w:highlight w:val="none"/>
                <w:lang w:val="en-US" w:eastAsia="zh-CN"/>
              </w:rPr>
              <w:t>21</w:t>
            </w:r>
            <w:r>
              <w:rPr>
                <w:rFonts w:hint="eastAsia"/>
                <w:sz w:val="24"/>
                <w:highlight w:val="none"/>
              </w:rPr>
              <w:t>年</w:t>
            </w:r>
            <w:r>
              <w:rPr>
                <w:rFonts w:hint="eastAsia"/>
                <w:sz w:val="24"/>
                <w:highlight w:val="none"/>
                <w:lang w:val="en-US" w:eastAsia="zh-CN"/>
              </w:rPr>
              <w:t>2</w:t>
            </w:r>
            <w:r>
              <w:rPr>
                <w:rFonts w:hint="eastAsia"/>
                <w:sz w:val="24"/>
                <w:highlight w:val="none"/>
              </w:rPr>
              <w:t>月</w:t>
            </w:r>
            <w:r>
              <w:rPr>
                <w:rFonts w:hint="eastAsia"/>
                <w:sz w:val="24"/>
                <w:highlight w:val="none"/>
                <w:lang w:val="en-US" w:eastAsia="zh-CN"/>
              </w:rPr>
              <w:t>26</w:t>
            </w:r>
            <w:r>
              <w:rPr>
                <w:rFonts w:hint="eastAsia"/>
                <w:sz w:val="24"/>
                <w:highlight w:val="none"/>
              </w:rPr>
              <w:t>~</w:t>
            </w:r>
            <w:r>
              <w:rPr>
                <w:rFonts w:hint="eastAsia"/>
                <w:sz w:val="24"/>
                <w:highlight w:val="none"/>
                <w:lang w:val="en-US" w:eastAsia="zh-CN"/>
              </w:rPr>
              <w:t>27</w:t>
            </w:r>
            <w:r>
              <w:rPr>
                <w:rFonts w:hint="eastAsia"/>
                <w:sz w:val="24"/>
                <w:highlight w:val="none"/>
              </w:rPr>
              <w:t>日进行声环境质量现状监测，连续监测2天，每天监测2次，昼夜各一次。</w:t>
            </w:r>
          </w:p>
          <w:p>
            <w:pPr>
              <w:spacing w:line="360" w:lineRule="auto"/>
              <w:ind w:firstLine="480" w:firstLineChars="200"/>
              <w:rPr>
                <w:rFonts w:hint="default" w:eastAsia="宋体"/>
                <w:sz w:val="24"/>
                <w:lang w:val="en-US" w:eastAsia="zh-CN"/>
              </w:rPr>
            </w:pPr>
            <w:r>
              <w:rPr>
                <w:rFonts w:hint="eastAsia"/>
                <w:sz w:val="24"/>
              </w:rPr>
              <w:t>⑶</w:t>
            </w:r>
            <w:r>
              <w:rPr>
                <w:rFonts w:hint="eastAsia"/>
                <w:sz w:val="24"/>
                <w:lang w:val="en-US" w:eastAsia="zh-CN"/>
              </w:rPr>
              <w:t>评价标准</w:t>
            </w:r>
          </w:p>
          <w:p>
            <w:pPr>
              <w:spacing w:line="360" w:lineRule="auto"/>
              <w:ind w:firstLine="480" w:firstLineChars="200"/>
              <w:rPr>
                <w:rFonts w:hint="eastAsia" w:eastAsia="宋体"/>
                <w:sz w:val="24"/>
                <w:lang w:eastAsia="zh-CN"/>
              </w:rPr>
            </w:pPr>
            <w:r>
              <w:rPr>
                <w:rFonts w:hint="eastAsia"/>
                <w:sz w:val="24"/>
              </w:rPr>
              <w:t>采用《声环境质量标准》(GB3096-2008)中</w:t>
            </w:r>
            <w:r>
              <w:rPr>
                <w:rFonts w:hint="eastAsia"/>
                <w:sz w:val="24"/>
                <w:lang w:val="en-US" w:eastAsia="zh-CN"/>
              </w:rPr>
              <w:t>2</w:t>
            </w:r>
            <w:r>
              <w:rPr>
                <w:rFonts w:hint="eastAsia"/>
                <w:sz w:val="24"/>
              </w:rPr>
              <w:t>类标准</w:t>
            </w:r>
            <w:r>
              <w:rPr>
                <w:rFonts w:hint="eastAsia"/>
                <w:sz w:val="24"/>
                <w:lang w:eastAsia="zh-CN"/>
              </w:rPr>
              <w:t>。</w:t>
            </w:r>
          </w:p>
          <w:p>
            <w:pPr>
              <w:spacing w:line="360" w:lineRule="auto"/>
              <w:ind w:firstLine="480" w:firstLineChars="200"/>
              <w:rPr>
                <w:rFonts w:hint="default" w:eastAsia="宋体"/>
                <w:sz w:val="24"/>
                <w:lang w:val="en-US" w:eastAsia="zh-CN"/>
              </w:rPr>
            </w:pPr>
            <w:r>
              <w:rPr>
                <w:rFonts w:hint="eastAsia"/>
                <w:sz w:val="24"/>
              </w:rPr>
              <w:t>⑷监测结果</w:t>
            </w:r>
            <w:r>
              <w:rPr>
                <w:rFonts w:hint="eastAsia"/>
                <w:sz w:val="24"/>
                <w:lang w:val="en-US" w:eastAsia="zh-CN"/>
              </w:rPr>
              <w:t>统计与评价</w:t>
            </w:r>
          </w:p>
          <w:p>
            <w:pPr>
              <w:spacing w:line="360" w:lineRule="auto"/>
              <w:ind w:firstLine="480" w:firstLineChars="200"/>
              <w:rPr>
                <w:rFonts w:hint="eastAsia"/>
                <w:sz w:val="24"/>
              </w:rPr>
            </w:pPr>
            <w:r>
              <w:rPr>
                <w:rFonts w:hint="eastAsia"/>
                <w:sz w:val="24"/>
              </w:rPr>
              <w:t>本项目环境噪声现状监测统计结果见表</w:t>
            </w:r>
            <w:r>
              <w:rPr>
                <w:rFonts w:hint="eastAsia"/>
                <w:sz w:val="24"/>
                <w:lang w:val="en-US" w:eastAsia="zh-CN"/>
              </w:rPr>
              <w:t>3-8</w:t>
            </w:r>
            <w:r>
              <w:rPr>
                <w:rFonts w:hint="eastAsia"/>
                <w:sz w:val="24"/>
              </w:rPr>
              <w:t>。</w:t>
            </w:r>
          </w:p>
          <w:p>
            <w:pPr>
              <w:tabs>
                <w:tab w:val="left" w:pos="3405"/>
              </w:tabs>
              <w:adjustRightInd w:val="0"/>
              <w:snapToGrid w:val="0"/>
              <w:spacing w:line="360" w:lineRule="auto"/>
              <w:jc w:val="center"/>
              <w:rPr>
                <w:rFonts w:ascii="Times New Roman" w:hAnsi="Times New Roman" w:eastAsia="黑体" w:cs="Times New Roman"/>
                <w:sz w:val="24"/>
              </w:rPr>
            </w:pPr>
            <w:r>
              <w:rPr>
                <w:rFonts w:ascii="Times New Roman" w:hAnsi="Times New Roman" w:eastAsia="黑体" w:cs="Times New Roman"/>
                <w:sz w:val="24"/>
              </w:rPr>
              <w:t>表</w:t>
            </w:r>
            <w:r>
              <w:rPr>
                <w:rFonts w:hint="eastAsia" w:ascii="Times New Roman" w:hAnsi="Times New Roman" w:eastAsia="黑体" w:cs="Times New Roman"/>
                <w:sz w:val="24"/>
                <w:lang w:val="en-US" w:eastAsia="zh-CN"/>
              </w:rPr>
              <w:t>3-</w:t>
            </w:r>
            <w:r>
              <w:rPr>
                <w:rFonts w:hint="eastAsia" w:eastAsia="黑体" w:cs="Times New Roman"/>
                <w:sz w:val="24"/>
                <w:lang w:val="en-US" w:eastAsia="zh-CN"/>
              </w:rPr>
              <w:t xml:space="preserve">8  </w:t>
            </w:r>
            <w:r>
              <w:rPr>
                <w:rFonts w:hint="eastAsia" w:ascii="Times New Roman" w:hAnsi="Times New Roman" w:eastAsia="黑体" w:cs="Times New Roman"/>
                <w:sz w:val="24"/>
                <w:lang w:val="en-US" w:eastAsia="zh-CN"/>
              </w:rPr>
              <w:t xml:space="preserve">  </w:t>
            </w:r>
            <w:r>
              <w:rPr>
                <w:rFonts w:hint="eastAsia" w:ascii="Times New Roman" w:hAnsi="Times New Roman" w:eastAsia="黑体" w:cs="Times New Roman"/>
                <w:sz w:val="24"/>
              </w:rPr>
              <w:t>噪声</w:t>
            </w:r>
            <w:r>
              <w:rPr>
                <w:rFonts w:ascii="Times New Roman" w:hAnsi="Times New Roman" w:eastAsia="黑体" w:cs="Times New Roman"/>
                <w:sz w:val="24"/>
              </w:rPr>
              <w:t>监测结果统计</w:t>
            </w:r>
            <w:r>
              <w:rPr>
                <w:rFonts w:hint="eastAsia" w:ascii="Times New Roman" w:hAnsi="Times New Roman" w:eastAsia="黑体" w:cs="Times New Roman"/>
                <w:sz w:val="24"/>
              </w:rPr>
              <w:t>分析表</w:t>
            </w:r>
            <w:r>
              <w:rPr>
                <w:rFonts w:ascii="Times New Roman" w:hAnsi="Times New Roman" w:eastAsia="黑体" w:cs="Times New Roman"/>
                <w:sz w:val="24"/>
              </w:rPr>
              <w:t xml:space="preserve">    单位：dB(A)</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027"/>
              <w:gridCol w:w="1355"/>
              <w:gridCol w:w="1500"/>
              <w:gridCol w:w="1690"/>
              <w:gridCol w:w="17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8" w:type="dxa"/>
                  <w:gridSpan w:val="2"/>
                  <w:vMerge w:val="restart"/>
                  <w:tcBorders>
                    <w:tl2br w:val="nil"/>
                    <w:tr2bl w:val="nil"/>
                  </w:tcBorders>
                  <w:noWrap w:val="0"/>
                  <w:vAlign w:val="center"/>
                </w:tcPr>
                <w:p>
                  <w:pPr>
                    <w:widowControl/>
                    <w:jc w:val="center"/>
                    <w:rPr>
                      <w:b/>
                      <w:bCs/>
                      <w:kern w:val="0"/>
                      <w:szCs w:val="21"/>
                      <w:highlight w:val="none"/>
                    </w:rPr>
                  </w:pPr>
                  <w:r>
                    <w:rPr>
                      <w:b/>
                      <w:bCs/>
                      <w:kern w:val="0"/>
                      <w:szCs w:val="21"/>
                      <w:highlight w:val="none"/>
                    </w:rPr>
                    <w:t>监测点位</w:t>
                  </w:r>
                </w:p>
              </w:tc>
              <w:tc>
                <w:tcPr>
                  <w:tcW w:w="2855" w:type="dxa"/>
                  <w:gridSpan w:val="2"/>
                  <w:tcBorders>
                    <w:tl2br w:val="nil"/>
                    <w:tr2bl w:val="nil"/>
                  </w:tcBorders>
                  <w:noWrap w:val="0"/>
                  <w:vAlign w:val="center"/>
                </w:tcPr>
                <w:p>
                  <w:pPr>
                    <w:widowControl/>
                    <w:jc w:val="center"/>
                    <w:rPr>
                      <w:b/>
                      <w:kern w:val="0"/>
                      <w:szCs w:val="21"/>
                      <w:highlight w:val="none"/>
                    </w:rPr>
                  </w:pPr>
                  <w:r>
                    <w:rPr>
                      <w:b/>
                      <w:bCs/>
                      <w:kern w:val="0"/>
                      <w:szCs w:val="21"/>
                      <w:highlight w:val="none"/>
                    </w:rPr>
                    <w:t>昼间</w:t>
                  </w:r>
                </w:p>
              </w:tc>
              <w:tc>
                <w:tcPr>
                  <w:tcW w:w="3401" w:type="dxa"/>
                  <w:gridSpan w:val="2"/>
                  <w:tcBorders>
                    <w:tl2br w:val="nil"/>
                    <w:tr2bl w:val="nil"/>
                  </w:tcBorders>
                  <w:noWrap w:val="0"/>
                  <w:vAlign w:val="center"/>
                </w:tcPr>
                <w:p>
                  <w:pPr>
                    <w:widowControl/>
                    <w:jc w:val="center"/>
                    <w:rPr>
                      <w:b/>
                      <w:kern w:val="0"/>
                      <w:szCs w:val="21"/>
                      <w:highlight w:val="none"/>
                    </w:rPr>
                  </w:pPr>
                  <w:r>
                    <w:rPr>
                      <w:b/>
                      <w:bCs/>
                      <w:kern w:val="0"/>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8" w:type="dxa"/>
                  <w:gridSpan w:val="2"/>
                  <w:vMerge w:val="continue"/>
                  <w:tcBorders>
                    <w:tl2br w:val="nil"/>
                    <w:tr2bl w:val="nil"/>
                  </w:tcBorders>
                  <w:noWrap w:val="0"/>
                  <w:vAlign w:val="center"/>
                </w:tcPr>
                <w:p>
                  <w:pPr>
                    <w:widowControl/>
                    <w:jc w:val="left"/>
                    <w:rPr>
                      <w:b/>
                      <w:bCs/>
                      <w:kern w:val="0"/>
                      <w:szCs w:val="21"/>
                      <w:highlight w:val="none"/>
                    </w:rPr>
                  </w:pPr>
                </w:p>
              </w:tc>
              <w:tc>
                <w:tcPr>
                  <w:tcW w:w="1355" w:type="dxa"/>
                  <w:tcBorders>
                    <w:tl2br w:val="nil"/>
                    <w:tr2bl w:val="nil"/>
                  </w:tcBorders>
                  <w:noWrap w:val="0"/>
                  <w:vAlign w:val="center"/>
                </w:tcPr>
                <w:p>
                  <w:pPr>
                    <w:adjustRightInd w:val="0"/>
                    <w:snapToGrid w:val="0"/>
                    <w:jc w:val="center"/>
                    <w:rPr>
                      <w:b/>
                      <w:bCs/>
                      <w:kern w:val="0"/>
                      <w:szCs w:val="21"/>
                      <w:highlight w:val="none"/>
                    </w:rPr>
                  </w:pPr>
                  <w:r>
                    <w:rPr>
                      <w:rFonts w:hint="eastAsia"/>
                      <w:b/>
                      <w:bCs/>
                      <w:szCs w:val="21"/>
                      <w:highlight w:val="none"/>
                      <w:lang w:val="en-US" w:eastAsia="zh-CN"/>
                    </w:rPr>
                    <w:t>2</w:t>
                  </w:r>
                  <w:r>
                    <w:rPr>
                      <w:rFonts w:hint="eastAsia"/>
                      <w:b/>
                      <w:bCs/>
                      <w:szCs w:val="21"/>
                      <w:highlight w:val="none"/>
                    </w:rPr>
                    <w:t>月</w:t>
                  </w:r>
                  <w:r>
                    <w:rPr>
                      <w:rFonts w:hint="eastAsia"/>
                      <w:b/>
                      <w:bCs/>
                      <w:szCs w:val="21"/>
                      <w:highlight w:val="none"/>
                      <w:lang w:val="en-US" w:eastAsia="zh-CN"/>
                    </w:rPr>
                    <w:t>26</w:t>
                  </w:r>
                  <w:r>
                    <w:rPr>
                      <w:b/>
                      <w:bCs/>
                      <w:szCs w:val="21"/>
                      <w:highlight w:val="none"/>
                    </w:rPr>
                    <w:t>日</w:t>
                  </w:r>
                </w:p>
              </w:tc>
              <w:tc>
                <w:tcPr>
                  <w:tcW w:w="1500" w:type="dxa"/>
                  <w:tcBorders>
                    <w:tl2br w:val="nil"/>
                    <w:tr2bl w:val="nil"/>
                  </w:tcBorders>
                  <w:noWrap w:val="0"/>
                  <w:vAlign w:val="center"/>
                </w:tcPr>
                <w:p>
                  <w:pPr>
                    <w:adjustRightInd w:val="0"/>
                    <w:snapToGrid w:val="0"/>
                    <w:jc w:val="center"/>
                    <w:rPr>
                      <w:b/>
                      <w:bCs/>
                      <w:kern w:val="0"/>
                      <w:szCs w:val="21"/>
                      <w:highlight w:val="none"/>
                    </w:rPr>
                  </w:pPr>
                  <w:r>
                    <w:rPr>
                      <w:rFonts w:hint="eastAsia"/>
                      <w:b/>
                      <w:bCs/>
                      <w:szCs w:val="21"/>
                      <w:highlight w:val="none"/>
                      <w:lang w:val="en-US" w:eastAsia="zh-CN"/>
                    </w:rPr>
                    <w:t>2</w:t>
                  </w:r>
                  <w:r>
                    <w:rPr>
                      <w:b/>
                      <w:bCs/>
                      <w:szCs w:val="21"/>
                      <w:highlight w:val="none"/>
                    </w:rPr>
                    <w:t>月</w:t>
                  </w:r>
                  <w:r>
                    <w:rPr>
                      <w:rFonts w:hint="eastAsia"/>
                      <w:b/>
                      <w:bCs/>
                      <w:szCs w:val="21"/>
                      <w:highlight w:val="none"/>
                      <w:lang w:val="en-US" w:eastAsia="zh-CN"/>
                    </w:rPr>
                    <w:t>27</w:t>
                  </w:r>
                  <w:r>
                    <w:rPr>
                      <w:b/>
                      <w:bCs/>
                      <w:szCs w:val="21"/>
                      <w:highlight w:val="none"/>
                    </w:rPr>
                    <w:t>日</w:t>
                  </w:r>
                </w:p>
              </w:tc>
              <w:tc>
                <w:tcPr>
                  <w:tcW w:w="1690" w:type="dxa"/>
                  <w:tcBorders>
                    <w:tl2br w:val="nil"/>
                    <w:tr2bl w:val="nil"/>
                  </w:tcBorders>
                  <w:noWrap w:val="0"/>
                  <w:vAlign w:val="center"/>
                </w:tcPr>
                <w:p>
                  <w:pPr>
                    <w:adjustRightInd w:val="0"/>
                    <w:snapToGrid w:val="0"/>
                    <w:jc w:val="center"/>
                    <w:rPr>
                      <w:b/>
                      <w:bCs/>
                      <w:kern w:val="0"/>
                      <w:szCs w:val="21"/>
                      <w:highlight w:val="none"/>
                    </w:rPr>
                  </w:pPr>
                  <w:r>
                    <w:rPr>
                      <w:rFonts w:hint="eastAsia"/>
                      <w:b/>
                      <w:bCs/>
                      <w:szCs w:val="21"/>
                      <w:highlight w:val="none"/>
                      <w:lang w:val="en-US" w:eastAsia="zh-CN"/>
                    </w:rPr>
                    <w:t>2</w:t>
                  </w:r>
                  <w:r>
                    <w:rPr>
                      <w:rFonts w:hint="eastAsia"/>
                      <w:b/>
                      <w:bCs/>
                      <w:szCs w:val="21"/>
                      <w:highlight w:val="none"/>
                    </w:rPr>
                    <w:t>月</w:t>
                  </w:r>
                  <w:r>
                    <w:rPr>
                      <w:rFonts w:hint="eastAsia"/>
                      <w:b/>
                      <w:bCs/>
                      <w:szCs w:val="21"/>
                      <w:highlight w:val="none"/>
                      <w:lang w:val="en-US" w:eastAsia="zh-CN"/>
                    </w:rPr>
                    <w:t>26</w:t>
                  </w:r>
                  <w:r>
                    <w:rPr>
                      <w:b/>
                      <w:bCs/>
                      <w:szCs w:val="21"/>
                      <w:highlight w:val="none"/>
                    </w:rPr>
                    <w:t>日</w:t>
                  </w:r>
                </w:p>
              </w:tc>
              <w:tc>
                <w:tcPr>
                  <w:tcW w:w="1711" w:type="dxa"/>
                  <w:tcBorders>
                    <w:tl2br w:val="nil"/>
                    <w:tr2bl w:val="nil"/>
                  </w:tcBorders>
                  <w:noWrap w:val="0"/>
                  <w:vAlign w:val="center"/>
                </w:tcPr>
                <w:p>
                  <w:pPr>
                    <w:adjustRightInd w:val="0"/>
                    <w:snapToGrid w:val="0"/>
                    <w:jc w:val="center"/>
                    <w:rPr>
                      <w:b/>
                      <w:bCs/>
                      <w:kern w:val="0"/>
                      <w:szCs w:val="21"/>
                      <w:highlight w:val="none"/>
                    </w:rPr>
                  </w:pPr>
                  <w:r>
                    <w:rPr>
                      <w:rFonts w:hint="eastAsia"/>
                      <w:b/>
                      <w:bCs/>
                      <w:szCs w:val="21"/>
                      <w:highlight w:val="none"/>
                      <w:lang w:val="en-US" w:eastAsia="zh-CN"/>
                    </w:rPr>
                    <w:t>2</w:t>
                  </w:r>
                  <w:r>
                    <w:rPr>
                      <w:b/>
                      <w:bCs/>
                      <w:szCs w:val="21"/>
                      <w:highlight w:val="none"/>
                    </w:rPr>
                    <w:t>月</w:t>
                  </w:r>
                  <w:r>
                    <w:rPr>
                      <w:rFonts w:hint="eastAsia"/>
                      <w:b/>
                      <w:bCs/>
                      <w:szCs w:val="21"/>
                      <w:highlight w:val="none"/>
                      <w:lang w:val="en-US" w:eastAsia="zh-CN"/>
                    </w:rPr>
                    <w:t>27</w:t>
                  </w:r>
                  <w:r>
                    <w:rPr>
                      <w:b/>
                      <w:bCs/>
                      <w:szCs w:val="21"/>
                      <w:highlight w:val="none"/>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Merge w:val="restart"/>
                  <w:tcBorders>
                    <w:tl2br w:val="nil"/>
                    <w:tr2bl w:val="nil"/>
                  </w:tcBorders>
                  <w:noWrap w:val="0"/>
                  <w:vAlign w:val="center"/>
                </w:tcPr>
                <w:p>
                  <w:pPr>
                    <w:widowControl/>
                    <w:jc w:val="center"/>
                    <w:rPr>
                      <w:rFonts w:hint="default" w:eastAsia="宋体"/>
                      <w:kern w:val="0"/>
                      <w:szCs w:val="21"/>
                      <w:highlight w:val="none"/>
                      <w:lang w:val="en-US" w:eastAsia="zh-CN"/>
                    </w:rPr>
                  </w:pPr>
                  <w:r>
                    <w:rPr>
                      <w:rFonts w:hint="eastAsia"/>
                      <w:kern w:val="0"/>
                      <w:szCs w:val="21"/>
                      <w:highlight w:val="none"/>
                      <w:lang w:val="en-US" w:eastAsia="zh-CN"/>
                    </w:rPr>
                    <w:t>煤炭治理区</w:t>
                  </w:r>
                </w:p>
              </w:tc>
              <w:tc>
                <w:tcPr>
                  <w:tcW w:w="2027" w:type="dxa"/>
                  <w:tcBorders>
                    <w:tl2br w:val="nil"/>
                    <w:tr2bl w:val="nil"/>
                  </w:tcBorders>
                  <w:noWrap w:val="0"/>
                  <w:vAlign w:val="center"/>
                </w:tcPr>
                <w:p>
                  <w:pPr>
                    <w:widowControl/>
                    <w:jc w:val="center"/>
                    <w:rPr>
                      <w:rFonts w:hint="default" w:eastAsia="宋体"/>
                      <w:kern w:val="0"/>
                      <w:szCs w:val="21"/>
                      <w:highlight w:val="none"/>
                      <w:lang w:val="en-US" w:eastAsia="zh-CN"/>
                    </w:rPr>
                  </w:pPr>
                  <w:r>
                    <w:rPr>
                      <w:kern w:val="0"/>
                      <w:szCs w:val="21"/>
                      <w:highlight w:val="none"/>
                    </w:rPr>
                    <w:t>1#</w:t>
                  </w:r>
                  <w:r>
                    <w:rPr>
                      <w:rFonts w:hint="eastAsia"/>
                      <w:kern w:val="0"/>
                      <w:szCs w:val="21"/>
                      <w:highlight w:val="none"/>
                      <w:lang w:eastAsia="zh-CN"/>
                    </w:rPr>
                    <w:t>煤炭治理区</w:t>
                  </w:r>
                  <w:r>
                    <w:rPr>
                      <w:rFonts w:hint="eastAsia"/>
                      <w:kern w:val="0"/>
                      <w:szCs w:val="21"/>
                      <w:highlight w:val="none"/>
                      <w:lang w:val="en-US" w:eastAsia="zh-CN"/>
                    </w:rPr>
                    <w:t>M1</w:t>
                  </w:r>
                </w:p>
              </w:tc>
              <w:tc>
                <w:tcPr>
                  <w:tcW w:w="1355"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46</w:t>
                  </w:r>
                </w:p>
              </w:tc>
              <w:tc>
                <w:tcPr>
                  <w:tcW w:w="1500"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47</w:t>
                  </w:r>
                </w:p>
              </w:tc>
              <w:tc>
                <w:tcPr>
                  <w:tcW w:w="1690"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41</w:t>
                  </w:r>
                </w:p>
              </w:tc>
              <w:tc>
                <w:tcPr>
                  <w:tcW w:w="1711"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Merge w:val="continue"/>
                  <w:tcBorders>
                    <w:tl2br w:val="nil"/>
                    <w:tr2bl w:val="nil"/>
                  </w:tcBorders>
                  <w:noWrap w:val="0"/>
                  <w:vAlign w:val="center"/>
                </w:tcPr>
                <w:p>
                  <w:pPr>
                    <w:widowControl/>
                    <w:jc w:val="center"/>
                    <w:rPr>
                      <w:kern w:val="0"/>
                      <w:szCs w:val="21"/>
                      <w:highlight w:val="none"/>
                    </w:rPr>
                  </w:pPr>
                </w:p>
              </w:tc>
              <w:tc>
                <w:tcPr>
                  <w:tcW w:w="2027" w:type="dxa"/>
                  <w:tcBorders>
                    <w:tl2br w:val="nil"/>
                    <w:tr2bl w:val="nil"/>
                  </w:tcBorders>
                  <w:noWrap w:val="0"/>
                  <w:vAlign w:val="center"/>
                </w:tcPr>
                <w:p>
                  <w:pPr>
                    <w:widowControl/>
                    <w:jc w:val="center"/>
                    <w:rPr>
                      <w:kern w:val="0"/>
                      <w:szCs w:val="21"/>
                      <w:highlight w:val="none"/>
                    </w:rPr>
                  </w:pPr>
                  <w:r>
                    <w:rPr>
                      <w:kern w:val="0"/>
                      <w:szCs w:val="21"/>
                      <w:highlight w:val="none"/>
                    </w:rPr>
                    <w:t>2#</w:t>
                  </w:r>
                  <w:r>
                    <w:rPr>
                      <w:rFonts w:hint="eastAsia"/>
                      <w:kern w:val="0"/>
                      <w:szCs w:val="21"/>
                      <w:highlight w:val="none"/>
                      <w:lang w:eastAsia="zh-CN"/>
                    </w:rPr>
                    <w:t>煤炭治理区</w:t>
                  </w:r>
                  <w:r>
                    <w:rPr>
                      <w:rFonts w:hint="eastAsia"/>
                      <w:kern w:val="0"/>
                      <w:szCs w:val="21"/>
                      <w:highlight w:val="none"/>
                      <w:lang w:val="en-US" w:eastAsia="zh-CN"/>
                    </w:rPr>
                    <w:t>M2</w:t>
                  </w:r>
                </w:p>
              </w:tc>
              <w:tc>
                <w:tcPr>
                  <w:tcW w:w="1355"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45</w:t>
                  </w:r>
                </w:p>
              </w:tc>
              <w:tc>
                <w:tcPr>
                  <w:tcW w:w="1500"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48</w:t>
                  </w:r>
                </w:p>
              </w:tc>
              <w:tc>
                <w:tcPr>
                  <w:tcW w:w="1690"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42</w:t>
                  </w:r>
                </w:p>
              </w:tc>
              <w:tc>
                <w:tcPr>
                  <w:tcW w:w="1711"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Merge w:val="continue"/>
                  <w:tcBorders>
                    <w:tl2br w:val="nil"/>
                    <w:tr2bl w:val="nil"/>
                  </w:tcBorders>
                  <w:noWrap w:val="0"/>
                  <w:vAlign w:val="center"/>
                </w:tcPr>
                <w:p>
                  <w:pPr>
                    <w:widowControl/>
                    <w:jc w:val="center"/>
                    <w:rPr>
                      <w:kern w:val="0"/>
                      <w:szCs w:val="21"/>
                      <w:highlight w:val="none"/>
                    </w:rPr>
                  </w:pPr>
                </w:p>
              </w:tc>
              <w:tc>
                <w:tcPr>
                  <w:tcW w:w="2027" w:type="dxa"/>
                  <w:tcBorders>
                    <w:tl2br w:val="nil"/>
                    <w:tr2bl w:val="nil"/>
                  </w:tcBorders>
                  <w:noWrap w:val="0"/>
                  <w:vAlign w:val="center"/>
                </w:tcPr>
                <w:p>
                  <w:pPr>
                    <w:widowControl/>
                    <w:jc w:val="center"/>
                    <w:rPr>
                      <w:kern w:val="0"/>
                      <w:szCs w:val="21"/>
                      <w:highlight w:val="none"/>
                    </w:rPr>
                  </w:pPr>
                  <w:r>
                    <w:rPr>
                      <w:kern w:val="0"/>
                      <w:szCs w:val="21"/>
                      <w:highlight w:val="none"/>
                    </w:rPr>
                    <w:t>3#</w:t>
                  </w:r>
                  <w:r>
                    <w:rPr>
                      <w:rFonts w:hint="eastAsia"/>
                      <w:kern w:val="0"/>
                      <w:szCs w:val="21"/>
                      <w:highlight w:val="none"/>
                      <w:lang w:eastAsia="zh-CN"/>
                    </w:rPr>
                    <w:t>煤炭治理区</w:t>
                  </w:r>
                  <w:r>
                    <w:rPr>
                      <w:rFonts w:hint="eastAsia"/>
                      <w:kern w:val="0"/>
                      <w:szCs w:val="21"/>
                      <w:highlight w:val="none"/>
                      <w:lang w:val="en-US" w:eastAsia="zh-CN"/>
                    </w:rPr>
                    <w:t>M3</w:t>
                  </w:r>
                </w:p>
              </w:tc>
              <w:tc>
                <w:tcPr>
                  <w:tcW w:w="1355"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43</w:t>
                  </w:r>
                </w:p>
              </w:tc>
              <w:tc>
                <w:tcPr>
                  <w:tcW w:w="1500"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44</w:t>
                  </w:r>
                </w:p>
              </w:tc>
              <w:tc>
                <w:tcPr>
                  <w:tcW w:w="1690"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40</w:t>
                  </w:r>
                </w:p>
              </w:tc>
              <w:tc>
                <w:tcPr>
                  <w:tcW w:w="1711"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Merge w:val="restart"/>
                  <w:tcBorders>
                    <w:tl2br w:val="nil"/>
                    <w:tr2bl w:val="nil"/>
                  </w:tcBorders>
                  <w:noWrap w:val="0"/>
                  <w:vAlign w:val="center"/>
                </w:tcPr>
                <w:p>
                  <w:pPr>
                    <w:widowControl/>
                    <w:jc w:val="center"/>
                    <w:rPr>
                      <w:rFonts w:hint="default" w:eastAsia="宋体"/>
                      <w:kern w:val="0"/>
                      <w:szCs w:val="21"/>
                      <w:highlight w:val="none"/>
                      <w:lang w:val="en-US" w:eastAsia="zh-CN"/>
                    </w:rPr>
                  </w:pPr>
                  <w:r>
                    <w:rPr>
                      <w:rFonts w:hint="eastAsia"/>
                      <w:kern w:val="0"/>
                      <w:szCs w:val="21"/>
                      <w:highlight w:val="none"/>
                      <w:lang w:val="en-US" w:eastAsia="zh-CN"/>
                    </w:rPr>
                    <w:t>建筑用砂治理区</w:t>
                  </w:r>
                </w:p>
              </w:tc>
              <w:tc>
                <w:tcPr>
                  <w:tcW w:w="2027" w:type="dxa"/>
                  <w:tcBorders>
                    <w:tl2br w:val="nil"/>
                    <w:tr2bl w:val="nil"/>
                  </w:tcBorders>
                  <w:noWrap w:val="0"/>
                  <w:vAlign w:val="center"/>
                </w:tcPr>
                <w:p>
                  <w:pPr>
                    <w:widowControl/>
                    <w:jc w:val="center"/>
                    <w:rPr>
                      <w:rFonts w:hint="default" w:eastAsia="宋体"/>
                      <w:kern w:val="0"/>
                      <w:szCs w:val="21"/>
                      <w:highlight w:val="none"/>
                      <w:lang w:val="en-US" w:eastAsia="zh-CN"/>
                    </w:rPr>
                  </w:pPr>
                  <w:r>
                    <w:rPr>
                      <w:rFonts w:hint="eastAsia"/>
                      <w:kern w:val="0"/>
                      <w:szCs w:val="21"/>
                      <w:highlight w:val="none"/>
                      <w:lang w:val="en-US" w:eastAsia="zh-CN"/>
                    </w:rPr>
                    <w:t>1</w:t>
                  </w:r>
                  <w:r>
                    <w:rPr>
                      <w:kern w:val="0"/>
                      <w:szCs w:val="21"/>
                      <w:highlight w:val="none"/>
                    </w:rPr>
                    <w:t>#</w:t>
                  </w:r>
                  <w:r>
                    <w:rPr>
                      <w:rFonts w:hint="eastAsia"/>
                      <w:kern w:val="0"/>
                      <w:szCs w:val="21"/>
                      <w:highlight w:val="none"/>
                      <w:lang w:eastAsia="zh-CN"/>
                    </w:rPr>
                    <w:t>建筑用砂区</w:t>
                  </w:r>
                  <w:r>
                    <w:rPr>
                      <w:rFonts w:hint="eastAsia"/>
                      <w:kern w:val="0"/>
                      <w:szCs w:val="21"/>
                      <w:highlight w:val="none"/>
                      <w:lang w:val="en-US" w:eastAsia="zh-CN"/>
                    </w:rPr>
                    <w:t>S1-1</w:t>
                  </w:r>
                </w:p>
              </w:tc>
              <w:tc>
                <w:tcPr>
                  <w:tcW w:w="1355"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49</w:t>
                  </w:r>
                </w:p>
              </w:tc>
              <w:tc>
                <w:tcPr>
                  <w:tcW w:w="1500"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50</w:t>
                  </w:r>
                </w:p>
              </w:tc>
              <w:tc>
                <w:tcPr>
                  <w:tcW w:w="1690"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43</w:t>
                  </w:r>
                </w:p>
              </w:tc>
              <w:tc>
                <w:tcPr>
                  <w:tcW w:w="1711"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Merge w:val="continue"/>
                  <w:tcBorders>
                    <w:tl2br w:val="nil"/>
                    <w:tr2bl w:val="nil"/>
                  </w:tcBorders>
                  <w:noWrap w:val="0"/>
                  <w:vAlign w:val="center"/>
                </w:tcPr>
                <w:p>
                  <w:pPr>
                    <w:widowControl/>
                    <w:jc w:val="center"/>
                    <w:rPr>
                      <w:kern w:val="0"/>
                      <w:szCs w:val="21"/>
                      <w:highlight w:val="none"/>
                    </w:rPr>
                  </w:pPr>
                </w:p>
              </w:tc>
              <w:tc>
                <w:tcPr>
                  <w:tcW w:w="2027" w:type="dxa"/>
                  <w:tcBorders>
                    <w:tl2br w:val="nil"/>
                    <w:tr2bl w:val="nil"/>
                  </w:tcBorders>
                  <w:noWrap w:val="0"/>
                  <w:vAlign w:val="center"/>
                </w:tcPr>
                <w:p>
                  <w:pPr>
                    <w:widowControl/>
                    <w:jc w:val="center"/>
                    <w:rPr>
                      <w:kern w:val="0"/>
                      <w:szCs w:val="21"/>
                      <w:highlight w:val="none"/>
                    </w:rPr>
                  </w:pPr>
                  <w:r>
                    <w:rPr>
                      <w:rFonts w:hint="eastAsia"/>
                      <w:kern w:val="0"/>
                      <w:szCs w:val="21"/>
                      <w:highlight w:val="none"/>
                      <w:lang w:val="en-US" w:eastAsia="zh-CN"/>
                    </w:rPr>
                    <w:t>2</w:t>
                  </w:r>
                  <w:r>
                    <w:rPr>
                      <w:kern w:val="0"/>
                      <w:szCs w:val="21"/>
                      <w:highlight w:val="none"/>
                    </w:rPr>
                    <w:t>#</w:t>
                  </w:r>
                  <w:r>
                    <w:rPr>
                      <w:rFonts w:hint="eastAsia"/>
                      <w:kern w:val="0"/>
                      <w:szCs w:val="21"/>
                      <w:highlight w:val="none"/>
                      <w:lang w:eastAsia="zh-CN"/>
                    </w:rPr>
                    <w:t>建筑用砂区</w:t>
                  </w:r>
                  <w:r>
                    <w:rPr>
                      <w:rFonts w:hint="eastAsia"/>
                      <w:kern w:val="0"/>
                      <w:szCs w:val="21"/>
                      <w:highlight w:val="none"/>
                      <w:lang w:val="en-US" w:eastAsia="zh-CN"/>
                    </w:rPr>
                    <w:t>S1-2</w:t>
                  </w:r>
                </w:p>
              </w:tc>
              <w:tc>
                <w:tcPr>
                  <w:tcW w:w="1355" w:type="dxa"/>
                  <w:tcBorders>
                    <w:tl2br w:val="nil"/>
                    <w:tr2bl w:val="nil"/>
                  </w:tcBorders>
                  <w:noWrap w:val="0"/>
                  <w:vAlign w:val="center"/>
                </w:tcPr>
                <w:p>
                  <w:pPr>
                    <w:adjustRightInd w:val="0"/>
                    <w:snapToGrid w:val="0"/>
                    <w:spacing w:line="0" w:lineRule="atLeast"/>
                    <w:jc w:val="center"/>
                    <w:rPr>
                      <w:rFonts w:hint="eastAsia"/>
                      <w:kern w:val="0"/>
                      <w:sz w:val="21"/>
                      <w:szCs w:val="21"/>
                      <w:highlight w:val="yellow"/>
                      <w:lang w:val="en-US" w:eastAsia="zh-CN"/>
                    </w:rPr>
                  </w:pPr>
                  <w:r>
                    <w:rPr>
                      <w:rFonts w:hint="eastAsia"/>
                      <w:szCs w:val="21"/>
                      <w:lang w:val="en-US" w:eastAsia="zh-CN"/>
                    </w:rPr>
                    <w:t>50</w:t>
                  </w:r>
                </w:p>
              </w:tc>
              <w:tc>
                <w:tcPr>
                  <w:tcW w:w="1500" w:type="dxa"/>
                  <w:tcBorders>
                    <w:tl2br w:val="nil"/>
                    <w:tr2bl w:val="nil"/>
                  </w:tcBorders>
                  <w:noWrap w:val="0"/>
                  <w:vAlign w:val="center"/>
                </w:tcPr>
                <w:p>
                  <w:pPr>
                    <w:adjustRightInd w:val="0"/>
                    <w:snapToGrid w:val="0"/>
                    <w:spacing w:line="0" w:lineRule="atLeast"/>
                    <w:jc w:val="center"/>
                    <w:rPr>
                      <w:rFonts w:hint="eastAsia"/>
                      <w:kern w:val="0"/>
                      <w:sz w:val="21"/>
                      <w:szCs w:val="21"/>
                      <w:highlight w:val="yellow"/>
                      <w:lang w:val="en-US" w:eastAsia="zh-CN"/>
                    </w:rPr>
                  </w:pPr>
                  <w:r>
                    <w:rPr>
                      <w:rFonts w:hint="eastAsia"/>
                      <w:szCs w:val="21"/>
                      <w:lang w:val="en-US" w:eastAsia="zh-CN"/>
                    </w:rPr>
                    <w:t>51</w:t>
                  </w:r>
                </w:p>
              </w:tc>
              <w:tc>
                <w:tcPr>
                  <w:tcW w:w="1690" w:type="dxa"/>
                  <w:tcBorders>
                    <w:tl2br w:val="nil"/>
                    <w:tr2bl w:val="nil"/>
                  </w:tcBorders>
                  <w:noWrap w:val="0"/>
                  <w:vAlign w:val="center"/>
                </w:tcPr>
                <w:p>
                  <w:pPr>
                    <w:adjustRightInd w:val="0"/>
                    <w:snapToGrid w:val="0"/>
                    <w:spacing w:line="0" w:lineRule="atLeast"/>
                    <w:jc w:val="center"/>
                    <w:rPr>
                      <w:rFonts w:hint="eastAsia"/>
                      <w:kern w:val="0"/>
                      <w:sz w:val="21"/>
                      <w:szCs w:val="21"/>
                      <w:highlight w:val="yellow"/>
                      <w:lang w:val="en-US" w:eastAsia="zh-CN"/>
                    </w:rPr>
                  </w:pPr>
                  <w:r>
                    <w:rPr>
                      <w:rFonts w:hint="eastAsia"/>
                      <w:szCs w:val="21"/>
                      <w:lang w:val="en-US" w:eastAsia="zh-CN"/>
                    </w:rPr>
                    <w:t>46</w:t>
                  </w:r>
                </w:p>
              </w:tc>
              <w:tc>
                <w:tcPr>
                  <w:tcW w:w="1711" w:type="dxa"/>
                  <w:tcBorders>
                    <w:tl2br w:val="nil"/>
                    <w:tr2bl w:val="nil"/>
                  </w:tcBorders>
                  <w:noWrap w:val="0"/>
                  <w:vAlign w:val="center"/>
                </w:tcPr>
                <w:p>
                  <w:pPr>
                    <w:adjustRightInd w:val="0"/>
                    <w:snapToGrid w:val="0"/>
                    <w:spacing w:line="0" w:lineRule="atLeast"/>
                    <w:jc w:val="center"/>
                    <w:rPr>
                      <w:rFonts w:hint="eastAsia"/>
                      <w:kern w:val="0"/>
                      <w:sz w:val="21"/>
                      <w:szCs w:val="21"/>
                      <w:highlight w:val="yellow"/>
                      <w:lang w:val="en-US" w:eastAsia="zh-CN"/>
                    </w:rPr>
                  </w:pPr>
                  <w:r>
                    <w:rPr>
                      <w:rFonts w:hint="eastAsia"/>
                      <w:szCs w:val="21"/>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Merge w:val="continue"/>
                  <w:tcBorders>
                    <w:tl2br w:val="nil"/>
                    <w:tr2bl w:val="nil"/>
                  </w:tcBorders>
                  <w:noWrap w:val="0"/>
                  <w:vAlign w:val="center"/>
                </w:tcPr>
                <w:p>
                  <w:pPr>
                    <w:widowControl/>
                    <w:jc w:val="center"/>
                    <w:rPr>
                      <w:rFonts w:hint="default" w:eastAsia="宋体"/>
                      <w:kern w:val="0"/>
                      <w:szCs w:val="21"/>
                      <w:highlight w:val="none"/>
                      <w:lang w:val="en-US" w:eastAsia="zh-CN"/>
                    </w:rPr>
                  </w:pPr>
                </w:p>
              </w:tc>
              <w:tc>
                <w:tcPr>
                  <w:tcW w:w="2027" w:type="dxa"/>
                  <w:tcBorders>
                    <w:tl2br w:val="nil"/>
                    <w:tr2bl w:val="nil"/>
                  </w:tcBorders>
                  <w:noWrap w:val="0"/>
                  <w:vAlign w:val="center"/>
                </w:tcPr>
                <w:p>
                  <w:pPr>
                    <w:widowControl/>
                    <w:jc w:val="center"/>
                    <w:rPr>
                      <w:rFonts w:hint="default"/>
                      <w:kern w:val="0"/>
                      <w:szCs w:val="21"/>
                      <w:highlight w:val="none"/>
                      <w:lang w:val="en-US"/>
                    </w:rPr>
                  </w:pPr>
                  <w:r>
                    <w:rPr>
                      <w:rFonts w:hint="eastAsia"/>
                      <w:kern w:val="0"/>
                      <w:szCs w:val="21"/>
                      <w:highlight w:val="none"/>
                      <w:lang w:val="en-US" w:eastAsia="zh-CN"/>
                    </w:rPr>
                    <w:t>3</w:t>
                  </w:r>
                  <w:r>
                    <w:rPr>
                      <w:kern w:val="0"/>
                      <w:szCs w:val="21"/>
                      <w:highlight w:val="none"/>
                    </w:rPr>
                    <w:t>#</w:t>
                  </w:r>
                  <w:r>
                    <w:rPr>
                      <w:rFonts w:hint="eastAsia"/>
                      <w:kern w:val="0"/>
                      <w:szCs w:val="21"/>
                      <w:highlight w:val="none"/>
                      <w:lang w:eastAsia="zh-CN"/>
                    </w:rPr>
                    <w:t>建筑用砂区</w:t>
                  </w:r>
                  <w:r>
                    <w:rPr>
                      <w:rFonts w:hint="eastAsia"/>
                      <w:kern w:val="0"/>
                      <w:szCs w:val="21"/>
                      <w:highlight w:val="none"/>
                      <w:lang w:val="en-US" w:eastAsia="zh-CN"/>
                    </w:rPr>
                    <w:t>S1-3</w:t>
                  </w:r>
                </w:p>
              </w:tc>
              <w:tc>
                <w:tcPr>
                  <w:tcW w:w="1355"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51</w:t>
                  </w:r>
                </w:p>
              </w:tc>
              <w:tc>
                <w:tcPr>
                  <w:tcW w:w="1500"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52</w:t>
                  </w:r>
                </w:p>
              </w:tc>
              <w:tc>
                <w:tcPr>
                  <w:tcW w:w="1690"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44</w:t>
                  </w:r>
                </w:p>
              </w:tc>
              <w:tc>
                <w:tcPr>
                  <w:tcW w:w="1711"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Merge w:val="continue"/>
                  <w:tcBorders>
                    <w:tl2br w:val="nil"/>
                    <w:tr2bl w:val="nil"/>
                  </w:tcBorders>
                  <w:noWrap w:val="0"/>
                  <w:vAlign w:val="center"/>
                </w:tcPr>
                <w:p>
                  <w:pPr>
                    <w:widowControl/>
                    <w:jc w:val="center"/>
                    <w:rPr>
                      <w:kern w:val="0"/>
                      <w:szCs w:val="21"/>
                      <w:highlight w:val="none"/>
                    </w:rPr>
                  </w:pPr>
                </w:p>
              </w:tc>
              <w:tc>
                <w:tcPr>
                  <w:tcW w:w="2027" w:type="dxa"/>
                  <w:tcBorders>
                    <w:tl2br w:val="nil"/>
                    <w:tr2bl w:val="nil"/>
                  </w:tcBorders>
                  <w:noWrap w:val="0"/>
                  <w:vAlign w:val="center"/>
                </w:tcPr>
                <w:p>
                  <w:pPr>
                    <w:widowControl/>
                    <w:jc w:val="center"/>
                    <w:rPr>
                      <w:kern w:val="0"/>
                      <w:szCs w:val="21"/>
                      <w:highlight w:val="none"/>
                    </w:rPr>
                  </w:pPr>
                  <w:r>
                    <w:rPr>
                      <w:rFonts w:hint="eastAsia"/>
                      <w:kern w:val="0"/>
                      <w:szCs w:val="21"/>
                      <w:highlight w:val="none"/>
                      <w:lang w:val="en-US" w:eastAsia="zh-CN"/>
                    </w:rPr>
                    <w:t>4</w:t>
                  </w:r>
                  <w:r>
                    <w:rPr>
                      <w:kern w:val="0"/>
                      <w:szCs w:val="21"/>
                      <w:highlight w:val="none"/>
                    </w:rPr>
                    <w:t>#</w:t>
                  </w:r>
                  <w:r>
                    <w:rPr>
                      <w:rFonts w:hint="eastAsia"/>
                      <w:kern w:val="0"/>
                      <w:szCs w:val="21"/>
                      <w:highlight w:val="none"/>
                      <w:lang w:eastAsia="zh-CN"/>
                    </w:rPr>
                    <w:t>建筑用砂区</w:t>
                  </w:r>
                  <w:r>
                    <w:rPr>
                      <w:rFonts w:hint="eastAsia"/>
                      <w:kern w:val="0"/>
                      <w:szCs w:val="21"/>
                      <w:highlight w:val="none"/>
                      <w:lang w:val="en-US" w:eastAsia="zh-CN"/>
                    </w:rPr>
                    <w:t>S1-4</w:t>
                  </w:r>
                </w:p>
              </w:tc>
              <w:tc>
                <w:tcPr>
                  <w:tcW w:w="1355"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48</w:t>
                  </w:r>
                </w:p>
              </w:tc>
              <w:tc>
                <w:tcPr>
                  <w:tcW w:w="1500"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49</w:t>
                  </w:r>
                </w:p>
              </w:tc>
              <w:tc>
                <w:tcPr>
                  <w:tcW w:w="1690"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43</w:t>
                  </w:r>
                </w:p>
              </w:tc>
              <w:tc>
                <w:tcPr>
                  <w:tcW w:w="1711" w:type="dxa"/>
                  <w:tcBorders>
                    <w:tl2br w:val="nil"/>
                    <w:tr2bl w:val="nil"/>
                  </w:tcBorders>
                  <w:noWrap w:val="0"/>
                  <w:vAlign w:val="center"/>
                </w:tcPr>
                <w:p>
                  <w:pPr>
                    <w:adjustRightInd w:val="0"/>
                    <w:snapToGrid w:val="0"/>
                    <w:spacing w:line="0" w:lineRule="atLeast"/>
                    <w:jc w:val="center"/>
                    <w:rPr>
                      <w:rFonts w:hint="default" w:eastAsia="宋体"/>
                      <w:kern w:val="0"/>
                      <w:sz w:val="21"/>
                      <w:szCs w:val="21"/>
                      <w:highlight w:val="yellow"/>
                      <w:lang w:val="en-US" w:eastAsia="zh-CN"/>
                    </w:rPr>
                  </w:pPr>
                  <w:r>
                    <w:rPr>
                      <w:rFonts w:hint="eastAsia"/>
                      <w:szCs w:val="21"/>
                      <w:lang w:val="en-US" w:eastAsia="zh-CN"/>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Merge w:val="continue"/>
                  <w:tcBorders>
                    <w:tl2br w:val="nil"/>
                    <w:tr2bl w:val="nil"/>
                  </w:tcBorders>
                  <w:noWrap w:val="0"/>
                  <w:vAlign w:val="center"/>
                </w:tcPr>
                <w:p>
                  <w:pPr>
                    <w:widowControl/>
                    <w:jc w:val="center"/>
                    <w:rPr>
                      <w:kern w:val="0"/>
                      <w:szCs w:val="21"/>
                      <w:highlight w:val="none"/>
                    </w:rPr>
                  </w:pPr>
                </w:p>
              </w:tc>
              <w:tc>
                <w:tcPr>
                  <w:tcW w:w="2027" w:type="dxa"/>
                  <w:tcBorders>
                    <w:tl2br w:val="nil"/>
                    <w:tr2bl w:val="nil"/>
                  </w:tcBorders>
                  <w:noWrap w:val="0"/>
                  <w:vAlign w:val="center"/>
                </w:tcPr>
                <w:p>
                  <w:pPr>
                    <w:widowControl/>
                    <w:jc w:val="center"/>
                    <w:rPr>
                      <w:rFonts w:hint="default"/>
                      <w:kern w:val="0"/>
                      <w:szCs w:val="21"/>
                      <w:highlight w:val="none"/>
                      <w:lang w:val="en-US"/>
                    </w:rPr>
                  </w:pPr>
                  <w:r>
                    <w:rPr>
                      <w:rFonts w:hint="eastAsia"/>
                      <w:kern w:val="0"/>
                      <w:szCs w:val="21"/>
                      <w:highlight w:val="none"/>
                      <w:lang w:val="en-US" w:eastAsia="zh-CN"/>
                    </w:rPr>
                    <w:t>5</w:t>
                  </w:r>
                  <w:r>
                    <w:rPr>
                      <w:kern w:val="0"/>
                      <w:szCs w:val="21"/>
                      <w:highlight w:val="none"/>
                    </w:rPr>
                    <w:t>#</w:t>
                  </w:r>
                  <w:r>
                    <w:rPr>
                      <w:rFonts w:hint="eastAsia"/>
                      <w:kern w:val="0"/>
                      <w:szCs w:val="21"/>
                      <w:highlight w:val="none"/>
                      <w:lang w:eastAsia="zh-CN"/>
                    </w:rPr>
                    <w:t>建筑用砂区</w:t>
                  </w:r>
                  <w:r>
                    <w:rPr>
                      <w:rFonts w:hint="eastAsia"/>
                      <w:kern w:val="0"/>
                      <w:szCs w:val="21"/>
                      <w:highlight w:val="none"/>
                      <w:lang w:val="en-US" w:eastAsia="zh-CN"/>
                    </w:rPr>
                    <w:t>S1-5</w:t>
                  </w:r>
                </w:p>
              </w:tc>
              <w:tc>
                <w:tcPr>
                  <w:tcW w:w="1355" w:type="dxa"/>
                  <w:tcBorders>
                    <w:tl2br w:val="nil"/>
                    <w:tr2bl w:val="nil"/>
                  </w:tcBorders>
                  <w:noWrap w:val="0"/>
                  <w:vAlign w:val="center"/>
                </w:tcPr>
                <w:p>
                  <w:pPr>
                    <w:widowControl/>
                    <w:jc w:val="center"/>
                    <w:rPr>
                      <w:rFonts w:hint="default" w:eastAsia="宋体"/>
                      <w:kern w:val="0"/>
                      <w:sz w:val="21"/>
                      <w:szCs w:val="21"/>
                      <w:highlight w:val="yellow"/>
                      <w:lang w:val="en-US" w:eastAsia="zh-CN"/>
                    </w:rPr>
                  </w:pPr>
                  <w:r>
                    <w:rPr>
                      <w:rFonts w:hint="eastAsia"/>
                      <w:szCs w:val="21"/>
                      <w:lang w:val="en-US" w:eastAsia="zh-CN"/>
                    </w:rPr>
                    <w:t>46</w:t>
                  </w:r>
                </w:p>
              </w:tc>
              <w:tc>
                <w:tcPr>
                  <w:tcW w:w="1500" w:type="dxa"/>
                  <w:tcBorders>
                    <w:tl2br w:val="nil"/>
                    <w:tr2bl w:val="nil"/>
                  </w:tcBorders>
                  <w:noWrap w:val="0"/>
                  <w:vAlign w:val="center"/>
                </w:tcPr>
                <w:p>
                  <w:pPr>
                    <w:widowControl/>
                    <w:jc w:val="center"/>
                    <w:rPr>
                      <w:rFonts w:hint="default" w:eastAsia="宋体"/>
                      <w:kern w:val="0"/>
                      <w:sz w:val="21"/>
                      <w:szCs w:val="21"/>
                      <w:highlight w:val="yellow"/>
                      <w:lang w:val="en-US" w:eastAsia="zh-CN"/>
                    </w:rPr>
                  </w:pPr>
                  <w:r>
                    <w:rPr>
                      <w:rFonts w:hint="eastAsia"/>
                      <w:szCs w:val="21"/>
                      <w:lang w:val="en-US" w:eastAsia="zh-CN"/>
                    </w:rPr>
                    <w:t>47</w:t>
                  </w:r>
                </w:p>
              </w:tc>
              <w:tc>
                <w:tcPr>
                  <w:tcW w:w="1690" w:type="dxa"/>
                  <w:tcBorders>
                    <w:tl2br w:val="nil"/>
                    <w:tr2bl w:val="nil"/>
                  </w:tcBorders>
                  <w:noWrap w:val="0"/>
                  <w:vAlign w:val="center"/>
                </w:tcPr>
                <w:p>
                  <w:pPr>
                    <w:widowControl/>
                    <w:jc w:val="center"/>
                    <w:rPr>
                      <w:rFonts w:hint="default" w:eastAsia="宋体"/>
                      <w:kern w:val="0"/>
                      <w:sz w:val="21"/>
                      <w:szCs w:val="21"/>
                      <w:highlight w:val="yellow"/>
                      <w:lang w:val="en-US" w:eastAsia="zh-CN"/>
                    </w:rPr>
                  </w:pPr>
                  <w:r>
                    <w:rPr>
                      <w:rFonts w:hint="eastAsia"/>
                      <w:szCs w:val="21"/>
                      <w:lang w:val="en-US" w:eastAsia="zh-CN"/>
                    </w:rPr>
                    <w:t>44</w:t>
                  </w:r>
                </w:p>
              </w:tc>
              <w:tc>
                <w:tcPr>
                  <w:tcW w:w="1711" w:type="dxa"/>
                  <w:tcBorders>
                    <w:tl2br w:val="nil"/>
                    <w:tr2bl w:val="nil"/>
                  </w:tcBorders>
                  <w:noWrap w:val="0"/>
                  <w:vAlign w:val="center"/>
                </w:tcPr>
                <w:p>
                  <w:pPr>
                    <w:widowControl/>
                    <w:jc w:val="center"/>
                    <w:rPr>
                      <w:rFonts w:hint="default" w:eastAsia="宋体"/>
                      <w:kern w:val="0"/>
                      <w:sz w:val="21"/>
                      <w:szCs w:val="21"/>
                      <w:highlight w:val="yellow"/>
                      <w:lang w:val="en-US" w:eastAsia="zh-CN"/>
                    </w:rPr>
                  </w:pPr>
                  <w:r>
                    <w:rPr>
                      <w:rFonts w:hint="eastAsia"/>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8" w:type="dxa"/>
                  <w:gridSpan w:val="2"/>
                  <w:tcBorders>
                    <w:tl2br w:val="nil"/>
                    <w:tr2bl w:val="nil"/>
                  </w:tcBorders>
                  <w:noWrap w:val="0"/>
                  <w:vAlign w:val="center"/>
                </w:tcPr>
                <w:p>
                  <w:pPr>
                    <w:widowControl/>
                    <w:jc w:val="center"/>
                    <w:rPr>
                      <w:kern w:val="0"/>
                      <w:szCs w:val="21"/>
                      <w:highlight w:val="none"/>
                    </w:rPr>
                  </w:pPr>
                  <w:r>
                    <w:rPr>
                      <w:rFonts w:hint="eastAsia"/>
                      <w:kern w:val="0"/>
                      <w:szCs w:val="21"/>
                      <w:highlight w:val="none"/>
                    </w:rPr>
                    <w:t>标准值</w:t>
                  </w:r>
                </w:p>
              </w:tc>
              <w:tc>
                <w:tcPr>
                  <w:tcW w:w="2855" w:type="dxa"/>
                  <w:gridSpan w:val="2"/>
                  <w:tcBorders>
                    <w:tl2br w:val="nil"/>
                    <w:tr2bl w:val="nil"/>
                  </w:tcBorders>
                  <w:noWrap w:val="0"/>
                  <w:vAlign w:val="center"/>
                </w:tcPr>
                <w:p>
                  <w:pPr>
                    <w:widowControl/>
                    <w:jc w:val="center"/>
                    <w:rPr>
                      <w:rFonts w:hint="default" w:eastAsia="宋体"/>
                      <w:kern w:val="0"/>
                      <w:sz w:val="21"/>
                      <w:szCs w:val="21"/>
                      <w:highlight w:val="none"/>
                      <w:lang w:val="en-US" w:eastAsia="zh-CN"/>
                    </w:rPr>
                  </w:pPr>
                  <w:r>
                    <w:rPr>
                      <w:rFonts w:hint="eastAsia"/>
                      <w:kern w:val="0"/>
                      <w:sz w:val="21"/>
                      <w:szCs w:val="21"/>
                      <w:highlight w:val="none"/>
                      <w:lang w:val="en-US" w:eastAsia="zh-CN"/>
                    </w:rPr>
                    <w:t>60</w:t>
                  </w:r>
                </w:p>
              </w:tc>
              <w:tc>
                <w:tcPr>
                  <w:tcW w:w="3401" w:type="dxa"/>
                  <w:gridSpan w:val="2"/>
                  <w:tcBorders>
                    <w:tl2br w:val="nil"/>
                    <w:tr2bl w:val="nil"/>
                  </w:tcBorders>
                  <w:noWrap w:val="0"/>
                  <w:vAlign w:val="center"/>
                </w:tcPr>
                <w:p>
                  <w:pPr>
                    <w:widowControl/>
                    <w:jc w:val="center"/>
                    <w:rPr>
                      <w:rFonts w:hint="default" w:eastAsia="宋体"/>
                      <w:kern w:val="0"/>
                      <w:sz w:val="21"/>
                      <w:szCs w:val="21"/>
                      <w:highlight w:val="none"/>
                      <w:lang w:val="en-US" w:eastAsia="zh-CN"/>
                    </w:rPr>
                  </w:pPr>
                  <w:r>
                    <w:rPr>
                      <w:rFonts w:hint="eastAsia"/>
                      <w:kern w:val="0"/>
                      <w:sz w:val="21"/>
                      <w:szCs w:val="21"/>
                      <w:highlight w:val="none"/>
                      <w:lang w:val="en-US" w:eastAsia="zh-CN"/>
                    </w:rPr>
                    <w:t>50</w:t>
                  </w:r>
                </w:p>
              </w:tc>
            </w:tr>
          </w:tbl>
          <w:p>
            <w:pPr>
              <w:adjustRightInd w:val="0"/>
              <w:spacing w:line="360" w:lineRule="auto"/>
              <w:ind w:firstLine="480" w:firstLineChars="200"/>
              <w:jc w:val="left"/>
              <w:rPr>
                <w:rFonts w:hint="eastAsia" w:eastAsia="宋体"/>
                <w:sz w:val="24"/>
                <w:highlight w:val="none"/>
                <w:lang w:eastAsia="zh-CN"/>
              </w:rPr>
            </w:pPr>
            <w:r>
              <w:rPr>
                <w:rFonts w:hint="eastAsia"/>
                <w:sz w:val="24"/>
                <w:highlight w:val="none"/>
              </w:rPr>
              <w:t>由表</w:t>
            </w:r>
            <w:r>
              <w:rPr>
                <w:rFonts w:hint="eastAsia"/>
                <w:sz w:val="24"/>
                <w:highlight w:val="none"/>
                <w:lang w:val="en-US" w:eastAsia="zh-CN"/>
              </w:rPr>
              <w:t>3-8</w:t>
            </w:r>
            <w:r>
              <w:rPr>
                <w:rFonts w:hint="eastAsia"/>
                <w:sz w:val="24"/>
                <w:highlight w:val="none"/>
              </w:rPr>
              <w:t>可知，</w:t>
            </w:r>
            <w:r>
              <w:rPr>
                <w:rFonts w:hint="eastAsia"/>
                <w:kern w:val="0"/>
                <w:sz w:val="24"/>
                <w:szCs w:val="24"/>
                <w:highlight w:val="none"/>
                <w:lang w:val="en-US" w:eastAsia="zh-CN"/>
              </w:rPr>
              <w:t>煤炭治理区</w:t>
            </w:r>
            <w:r>
              <w:rPr>
                <w:rFonts w:hint="eastAsia"/>
                <w:sz w:val="24"/>
                <w:highlight w:val="none"/>
              </w:rPr>
              <w:t>噪声值昼间在</w:t>
            </w:r>
            <w:r>
              <w:rPr>
                <w:rFonts w:hint="eastAsia"/>
                <w:sz w:val="24"/>
                <w:highlight w:val="none"/>
                <w:lang w:val="en-US" w:eastAsia="zh-CN"/>
              </w:rPr>
              <w:t>43</w:t>
            </w:r>
            <w:r>
              <w:rPr>
                <w:rFonts w:hint="eastAsia"/>
                <w:sz w:val="24"/>
                <w:highlight w:val="none"/>
              </w:rPr>
              <w:t>~</w:t>
            </w:r>
            <w:r>
              <w:rPr>
                <w:rFonts w:hint="eastAsia"/>
                <w:sz w:val="24"/>
                <w:highlight w:val="none"/>
                <w:lang w:val="en-US" w:eastAsia="zh-CN"/>
              </w:rPr>
              <w:t>48</w:t>
            </w:r>
            <w:r>
              <w:rPr>
                <w:rFonts w:hint="eastAsia"/>
                <w:sz w:val="24"/>
                <w:highlight w:val="none"/>
              </w:rPr>
              <w:t>dB(A)之间、夜间在</w:t>
            </w:r>
            <w:r>
              <w:rPr>
                <w:rFonts w:hint="eastAsia"/>
                <w:sz w:val="24"/>
                <w:highlight w:val="none"/>
                <w:lang w:val="en-US" w:eastAsia="zh-CN"/>
              </w:rPr>
              <w:t>40</w:t>
            </w:r>
            <w:r>
              <w:rPr>
                <w:sz w:val="24"/>
                <w:highlight w:val="none"/>
              </w:rPr>
              <w:t>~</w:t>
            </w:r>
            <w:r>
              <w:rPr>
                <w:rFonts w:hint="eastAsia"/>
                <w:sz w:val="24"/>
                <w:highlight w:val="none"/>
                <w:lang w:val="en-US" w:eastAsia="zh-CN"/>
              </w:rPr>
              <w:t>43</w:t>
            </w:r>
            <w:r>
              <w:rPr>
                <w:rFonts w:hint="eastAsia"/>
                <w:sz w:val="24"/>
                <w:highlight w:val="none"/>
              </w:rPr>
              <w:t>dB(A)之间，</w:t>
            </w:r>
            <w:r>
              <w:rPr>
                <w:rFonts w:hint="eastAsia"/>
                <w:kern w:val="0"/>
                <w:sz w:val="24"/>
                <w:szCs w:val="24"/>
                <w:highlight w:val="none"/>
                <w:lang w:val="en-US" w:eastAsia="zh-CN"/>
              </w:rPr>
              <w:t>建筑用砂治理区</w:t>
            </w:r>
            <w:r>
              <w:rPr>
                <w:rFonts w:hint="eastAsia"/>
                <w:sz w:val="24"/>
                <w:highlight w:val="none"/>
              </w:rPr>
              <w:t>噪声值昼间在</w:t>
            </w:r>
            <w:r>
              <w:rPr>
                <w:rFonts w:hint="eastAsia"/>
                <w:sz w:val="24"/>
                <w:highlight w:val="none"/>
                <w:lang w:val="en-US" w:eastAsia="zh-CN"/>
              </w:rPr>
              <w:t>46</w:t>
            </w:r>
            <w:r>
              <w:rPr>
                <w:rFonts w:hint="eastAsia"/>
                <w:sz w:val="24"/>
                <w:highlight w:val="none"/>
              </w:rPr>
              <w:t>~</w:t>
            </w:r>
            <w:r>
              <w:rPr>
                <w:rFonts w:hint="eastAsia"/>
                <w:sz w:val="24"/>
                <w:highlight w:val="none"/>
                <w:lang w:val="en-US" w:eastAsia="zh-CN"/>
              </w:rPr>
              <w:t>52</w:t>
            </w:r>
            <w:r>
              <w:rPr>
                <w:rFonts w:hint="eastAsia"/>
                <w:sz w:val="24"/>
                <w:highlight w:val="none"/>
              </w:rPr>
              <w:t>dB(A)之间、夜间在</w:t>
            </w:r>
            <w:r>
              <w:rPr>
                <w:rFonts w:hint="eastAsia"/>
                <w:sz w:val="24"/>
                <w:highlight w:val="none"/>
                <w:lang w:val="en-US" w:eastAsia="zh-CN"/>
              </w:rPr>
              <w:t>43</w:t>
            </w:r>
            <w:r>
              <w:rPr>
                <w:sz w:val="24"/>
                <w:highlight w:val="none"/>
              </w:rPr>
              <w:t>~</w:t>
            </w:r>
            <w:r>
              <w:rPr>
                <w:rFonts w:hint="eastAsia"/>
                <w:sz w:val="24"/>
                <w:highlight w:val="none"/>
                <w:lang w:val="en-US" w:eastAsia="zh-CN"/>
              </w:rPr>
              <w:t>47</w:t>
            </w:r>
            <w:r>
              <w:rPr>
                <w:rFonts w:hint="eastAsia"/>
                <w:sz w:val="24"/>
                <w:highlight w:val="none"/>
              </w:rPr>
              <w:t>dB(A)之间</w:t>
            </w:r>
            <w:r>
              <w:rPr>
                <w:rFonts w:hint="eastAsia"/>
                <w:sz w:val="24"/>
                <w:highlight w:val="none"/>
                <w:lang w:eastAsia="zh-CN"/>
              </w:rPr>
              <w:t>，均</w:t>
            </w:r>
            <w:r>
              <w:rPr>
                <w:rFonts w:hint="eastAsia"/>
                <w:sz w:val="24"/>
                <w:highlight w:val="none"/>
              </w:rPr>
              <w:t>满足《声环境质量标准》(GB</w:t>
            </w:r>
            <w:r>
              <w:rPr>
                <w:sz w:val="24"/>
                <w:highlight w:val="none"/>
              </w:rPr>
              <w:t>3096</w:t>
            </w:r>
            <w:r>
              <w:rPr>
                <w:rFonts w:hint="eastAsia"/>
                <w:sz w:val="24"/>
                <w:highlight w:val="none"/>
              </w:rPr>
              <w:t>-2008)中</w:t>
            </w:r>
            <w:r>
              <w:rPr>
                <w:rFonts w:hint="eastAsia"/>
                <w:sz w:val="24"/>
                <w:highlight w:val="none"/>
                <w:lang w:val="en-US" w:eastAsia="zh-CN"/>
              </w:rPr>
              <w:t>2</w:t>
            </w:r>
            <w:r>
              <w:rPr>
                <w:rFonts w:hint="eastAsia"/>
                <w:sz w:val="24"/>
                <w:highlight w:val="none"/>
              </w:rPr>
              <w:t>类标准</w:t>
            </w:r>
            <w:r>
              <w:rPr>
                <w:rFonts w:hint="eastAsia"/>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黑体" w:cs="Times New Roman"/>
                <w:color w:val="000000"/>
                <w:sz w:val="24"/>
                <w:szCs w:val="24"/>
              </w:rPr>
            </w:pPr>
            <w:r>
              <w:rPr>
                <w:rFonts w:hint="eastAsia" w:ascii="Times New Roman" w:hAnsi="Times New Roman" w:eastAsia="黑体" w:cs="Times New Roman"/>
                <w:color w:val="000000"/>
                <w:sz w:val="24"/>
                <w:szCs w:val="24"/>
                <w:lang w:val="en-US" w:eastAsia="zh-CN"/>
              </w:rPr>
              <w:t>5</w:t>
            </w:r>
            <w:r>
              <w:rPr>
                <w:rFonts w:hint="default" w:ascii="Times New Roman" w:hAnsi="Times New Roman" w:eastAsia="黑体" w:cs="Times New Roman"/>
                <w:color w:val="000000"/>
                <w:sz w:val="24"/>
                <w:szCs w:val="24"/>
              </w:rPr>
              <w:t>、土壤环境质量现状</w:t>
            </w:r>
          </w:p>
          <w:p>
            <w:pPr>
              <w:spacing w:line="360" w:lineRule="auto"/>
              <w:ind w:firstLine="480" w:firstLineChars="200"/>
              <w:rPr>
                <w:rFonts w:hint="default" w:ascii="Times New Roman" w:hAnsi="Times New Roman" w:cs="Times New Roman"/>
                <w:sz w:val="24"/>
                <w:szCs w:val="24"/>
              </w:rPr>
            </w:pPr>
            <w:r>
              <w:rPr>
                <w:rFonts w:hint="eastAsia"/>
                <w:sz w:val="24"/>
                <w:highlight w:val="none"/>
                <w:lang w:val="en-US" w:eastAsia="zh-CN"/>
              </w:rPr>
              <w:t>（一）</w:t>
            </w:r>
            <w:r>
              <w:rPr>
                <w:rFonts w:hint="default" w:ascii="Times New Roman" w:hAnsi="Times New Roman" w:cs="Times New Roman"/>
                <w:sz w:val="24"/>
                <w:szCs w:val="24"/>
              </w:rPr>
              <w:t>土壤类型及分布</w:t>
            </w:r>
          </w:p>
          <w:p>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本项目建设地点位于</w:t>
            </w:r>
            <w:r>
              <w:rPr>
                <w:rFonts w:hint="eastAsia" w:ascii="Times New Roman" w:hAnsi="Times New Roman" w:cs="Times New Roman"/>
                <w:sz w:val="24"/>
                <w:szCs w:val="24"/>
                <w:lang w:eastAsia="zh-CN"/>
              </w:rPr>
              <w:t>红寺堡区</w:t>
            </w:r>
            <w:r>
              <w:rPr>
                <w:rFonts w:hint="default" w:ascii="Times New Roman" w:hAnsi="Times New Roman" w:cs="Times New Roman"/>
                <w:sz w:val="24"/>
                <w:szCs w:val="24"/>
              </w:rPr>
              <w:t>，</w:t>
            </w:r>
            <w:r>
              <w:rPr>
                <w:rFonts w:hint="eastAsia"/>
                <w:sz w:val="24"/>
                <w:szCs w:val="24"/>
                <w:lang w:eastAsia="zh-CN"/>
              </w:rPr>
              <w:t>煤炭</w:t>
            </w:r>
            <w:r>
              <w:rPr>
                <w:rFonts w:hint="default"/>
                <w:sz w:val="24"/>
                <w:szCs w:val="24"/>
                <w:lang w:eastAsia="zh-CN"/>
              </w:rPr>
              <w:t>治理区地理坐标为10</w:t>
            </w:r>
            <w:r>
              <w:rPr>
                <w:rFonts w:hint="eastAsia"/>
                <w:sz w:val="24"/>
                <w:szCs w:val="24"/>
                <w:lang w:val="en-US" w:eastAsia="zh-CN"/>
              </w:rPr>
              <w:t>5</w:t>
            </w:r>
            <w:r>
              <w:rPr>
                <w:rFonts w:hint="default"/>
                <w:sz w:val="24"/>
                <w:szCs w:val="24"/>
                <w:lang w:eastAsia="zh-CN"/>
              </w:rPr>
              <w:t>°</w:t>
            </w:r>
            <w:r>
              <w:rPr>
                <w:rFonts w:hint="eastAsia"/>
                <w:sz w:val="24"/>
                <w:szCs w:val="24"/>
                <w:lang w:val="en-US" w:eastAsia="zh-CN"/>
              </w:rPr>
              <w:t>54</w:t>
            </w:r>
            <w:r>
              <w:rPr>
                <w:rFonts w:hint="default"/>
                <w:sz w:val="24"/>
                <w:szCs w:val="24"/>
                <w:lang w:eastAsia="zh-CN"/>
              </w:rPr>
              <w:t>′</w:t>
            </w:r>
            <w:r>
              <w:rPr>
                <w:rFonts w:hint="eastAsia"/>
                <w:sz w:val="24"/>
                <w:szCs w:val="24"/>
                <w:lang w:val="en-US" w:eastAsia="zh-CN"/>
              </w:rPr>
              <w:t>54.4</w:t>
            </w:r>
            <w:r>
              <w:rPr>
                <w:rFonts w:hint="default"/>
                <w:sz w:val="24"/>
                <w:szCs w:val="24"/>
                <w:lang w:eastAsia="zh-CN"/>
              </w:rPr>
              <w:t>″-10</w:t>
            </w:r>
            <w:r>
              <w:rPr>
                <w:rFonts w:hint="eastAsia"/>
                <w:sz w:val="24"/>
                <w:szCs w:val="24"/>
                <w:lang w:val="en-US" w:eastAsia="zh-CN"/>
              </w:rPr>
              <w:t>5</w:t>
            </w:r>
            <w:r>
              <w:rPr>
                <w:rFonts w:hint="default"/>
                <w:sz w:val="24"/>
                <w:szCs w:val="24"/>
                <w:lang w:eastAsia="zh-CN"/>
              </w:rPr>
              <w:t>°</w:t>
            </w:r>
            <w:r>
              <w:rPr>
                <w:rFonts w:hint="eastAsia"/>
                <w:sz w:val="24"/>
                <w:szCs w:val="24"/>
                <w:lang w:val="en-US" w:eastAsia="zh-CN"/>
              </w:rPr>
              <w:t>56</w:t>
            </w:r>
            <w:r>
              <w:rPr>
                <w:rFonts w:hint="default"/>
                <w:sz w:val="24"/>
                <w:szCs w:val="24"/>
                <w:lang w:eastAsia="zh-CN"/>
              </w:rPr>
              <w:t>′</w:t>
            </w:r>
            <w:r>
              <w:rPr>
                <w:rFonts w:hint="eastAsia"/>
                <w:sz w:val="24"/>
                <w:szCs w:val="24"/>
                <w:lang w:val="en-US" w:eastAsia="zh-CN"/>
              </w:rPr>
              <w:t>5.24</w:t>
            </w:r>
            <w:r>
              <w:rPr>
                <w:rFonts w:hint="default"/>
                <w:sz w:val="24"/>
                <w:szCs w:val="24"/>
                <w:lang w:eastAsia="zh-CN"/>
              </w:rPr>
              <w:t>″，北纬37°</w:t>
            </w:r>
            <w:r>
              <w:rPr>
                <w:rFonts w:hint="eastAsia"/>
                <w:sz w:val="24"/>
                <w:szCs w:val="24"/>
                <w:lang w:val="en-US" w:eastAsia="zh-CN"/>
              </w:rPr>
              <w:t>13</w:t>
            </w:r>
            <w:r>
              <w:rPr>
                <w:rFonts w:hint="default"/>
                <w:sz w:val="24"/>
                <w:szCs w:val="24"/>
                <w:lang w:eastAsia="zh-CN"/>
              </w:rPr>
              <w:t>′</w:t>
            </w:r>
            <w:r>
              <w:rPr>
                <w:rFonts w:hint="eastAsia"/>
                <w:sz w:val="24"/>
                <w:szCs w:val="24"/>
                <w:lang w:val="en-US" w:eastAsia="zh-CN"/>
              </w:rPr>
              <w:t>29</w:t>
            </w:r>
            <w:r>
              <w:rPr>
                <w:rFonts w:hint="default"/>
                <w:sz w:val="24"/>
                <w:szCs w:val="24"/>
                <w:lang w:eastAsia="zh-CN"/>
              </w:rPr>
              <w:t>″-37°</w:t>
            </w:r>
            <w:r>
              <w:rPr>
                <w:rFonts w:hint="eastAsia"/>
                <w:sz w:val="24"/>
                <w:szCs w:val="24"/>
                <w:lang w:val="en-US" w:eastAsia="zh-CN"/>
              </w:rPr>
              <w:t>13</w:t>
            </w:r>
            <w:r>
              <w:rPr>
                <w:rFonts w:hint="default"/>
                <w:sz w:val="24"/>
                <w:szCs w:val="24"/>
                <w:lang w:eastAsia="zh-CN"/>
              </w:rPr>
              <w:t>′5</w:t>
            </w:r>
            <w:r>
              <w:rPr>
                <w:rFonts w:hint="eastAsia"/>
                <w:sz w:val="24"/>
                <w:szCs w:val="24"/>
                <w:lang w:val="en-US" w:eastAsia="zh-CN"/>
              </w:rPr>
              <w:t>2.1</w:t>
            </w:r>
            <w:r>
              <w:rPr>
                <w:rFonts w:hint="default"/>
                <w:sz w:val="24"/>
                <w:szCs w:val="24"/>
                <w:lang w:eastAsia="zh-CN"/>
              </w:rPr>
              <w:t>″，</w:t>
            </w:r>
            <w:r>
              <w:rPr>
                <w:rFonts w:hint="eastAsia"/>
                <w:sz w:val="24"/>
                <w:szCs w:val="24"/>
                <w:lang w:eastAsia="zh-CN"/>
              </w:rPr>
              <w:t>建筑用砂</w:t>
            </w:r>
            <w:r>
              <w:rPr>
                <w:rFonts w:hint="default"/>
                <w:sz w:val="24"/>
                <w:szCs w:val="24"/>
                <w:lang w:eastAsia="zh-CN"/>
              </w:rPr>
              <w:t>治理区地理坐标为东经10</w:t>
            </w:r>
            <w:r>
              <w:rPr>
                <w:rFonts w:hint="eastAsia"/>
                <w:sz w:val="24"/>
                <w:szCs w:val="24"/>
                <w:lang w:val="en-US" w:eastAsia="zh-CN"/>
              </w:rPr>
              <w:t>5</w:t>
            </w:r>
            <w:r>
              <w:rPr>
                <w:rFonts w:hint="default"/>
                <w:sz w:val="24"/>
                <w:szCs w:val="24"/>
                <w:lang w:eastAsia="zh-CN"/>
              </w:rPr>
              <w:t>°</w:t>
            </w:r>
            <w:r>
              <w:rPr>
                <w:rFonts w:hint="eastAsia"/>
                <w:sz w:val="24"/>
                <w:szCs w:val="24"/>
                <w:lang w:val="en-US" w:eastAsia="zh-CN"/>
              </w:rPr>
              <w:t>59</w:t>
            </w:r>
            <w:r>
              <w:rPr>
                <w:rFonts w:hint="default"/>
                <w:sz w:val="24"/>
                <w:szCs w:val="24"/>
                <w:lang w:eastAsia="zh-CN"/>
              </w:rPr>
              <w:t>′</w:t>
            </w:r>
            <w:r>
              <w:rPr>
                <w:rFonts w:hint="eastAsia"/>
                <w:sz w:val="24"/>
                <w:szCs w:val="24"/>
                <w:lang w:val="en-US" w:eastAsia="zh-CN"/>
              </w:rPr>
              <w:t>30.7</w:t>
            </w:r>
            <w:r>
              <w:rPr>
                <w:rFonts w:hint="default"/>
                <w:sz w:val="24"/>
                <w:szCs w:val="24"/>
                <w:lang w:eastAsia="zh-CN"/>
              </w:rPr>
              <w:t>″-10</w:t>
            </w:r>
            <w:r>
              <w:rPr>
                <w:rFonts w:hint="eastAsia"/>
                <w:sz w:val="24"/>
                <w:szCs w:val="24"/>
                <w:lang w:val="en-US" w:eastAsia="zh-CN"/>
              </w:rPr>
              <w:t>6</w:t>
            </w:r>
            <w:r>
              <w:rPr>
                <w:rFonts w:hint="default"/>
                <w:sz w:val="24"/>
                <w:szCs w:val="24"/>
                <w:lang w:eastAsia="zh-CN"/>
              </w:rPr>
              <w:t>°</w:t>
            </w:r>
            <w:r>
              <w:rPr>
                <w:rFonts w:hint="eastAsia"/>
                <w:sz w:val="24"/>
                <w:szCs w:val="24"/>
                <w:lang w:val="en-US" w:eastAsia="zh-CN"/>
              </w:rPr>
              <w:t>0</w:t>
            </w:r>
            <w:r>
              <w:rPr>
                <w:rFonts w:hint="default"/>
                <w:sz w:val="24"/>
                <w:szCs w:val="24"/>
                <w:lang w:eastAsia="zh-CN"/>
              </w:rPr>
              <w:t>′</w:t>
            </w:r>
            <w:r>
              <w:rPr>
                <w:rFonts w:hint="eastAsia"/>
                <w:sz w:val="24"/>
                <w:szCs w:val="24"/>
                <w:lang w:val="en-US" w:eastAsia="zh-CN"/>
              </w:rPr>
              <w:t>23.5</w:t>
            </w:r>
            <w:r>
              <w:rPr>
                <w:rFonts w:hint="default"/>
                <w:sz w:val="24"/>
                <w:szCs w:val="24"/>
                <w:lang w:eastAsia="zh-CN"/>
              </w:rPr>
              <w:t>″，北纬37°2</w:t>
            </w:r>
            <w:r>
              <w:rPr>
                <w:rFonts w:hint="eastAsia"/>
                <w:sz w:val="24"/>
                <w:szCs w:val="24"/>
                <w:lang w:val="en-US" w:eastAsia="zh-CN"/>
              </w:rPr>
              <w:t>6</w:t>
            </w:r>
            <w:r>
              <w:rPr>
                <w:rFonts w:hint="default"/>
                <w:sz w:val="24"/>
                <w:szCs w:val="24"/>
                <w:lang w:eastAsia="zh-CN"/>
              </w:rPr>
              <w:t>′</w:t>
            </w:r>
            <w:r>
              <w:rPr>
                <w:rFonts w:hint="eastAsia"/>
                <w:sz w:val="24"/>
                <w:szCs w:val="24"/>
                <w:lang w:val="en-US" w:eastAsia="zh-CN"/>
              </w:rPr>
              <w:t>52.2</w:t>
            </w:r>
            <w:r>
              <w:rPr>
                <w:rFonts w:hint="default"/>
                <w:sz w:val="24"/>
                <w:szCs w:val="24"/>
                <w:lang w:eastAsia="zh-CN"/>
              </w:rPr>
              <w:t>″-37°</w:t>
            </w:r>
            <w:r>
              <w:rPr>
                <w:rFonts w:hint="eastAsia"/>
                <w:sz w:val="24"/>
                <w:szCs w:val="24"/>
                <w:lang w:val="en-US" w:eastAsia="zh-CN"/>
              </w:rPr>
              <w:t>27</w:t>
            </w:r>
            <w:r>
              <w:rPr>
                <w:rFonts w:hint="default"/>
                <w:sz w:val="24"/>
                <w:szCs w:val="24"/>
                <w:lang w:eastAsia="zh-CN"/>
              </w:rPr>
              <w:t>′</w:t>
            </w:r>
            <w:r>
              <w:rPr>
                <w:rFonts w:hint="eastAsia"/>
                <w:sz w:val="24"/>
                <w:szCs w:val="24"/>
                <w:lang w:val="en-US" w:eastAsia="zh-CN"/>
              </w:rPr>
              <w:t>36.8</w:t>
            </w:r>
            <w:r>
              <w:rPr>
                <w:rFonts w:hint="default"/>
                <w:sz w:val="24"/>
                <w:szCs w:val="24"/>
                <w:lang w:eastAsia="zh-CN"/>
              </w:rPr>
              <w:t>″</w:t>
            </w:r>
            <w:r>
              <w:rPr>
                <w:rFonts w:hint="default" w:ascii="Times New Roman" w:hAnsi="Times New Roman" w:cs="Times New Roman"/>
                <w:sz w:val="24"/>
                <w:szCs w:val="24"/>
              </w:rPr>
              <w:t>，</w:t>
            </w:r>
            <w:r>
              <w:rPr>
                <w:rFonts w:hint="eastAsia" w:ascii="Times New Roman" w:hAnsi="Times New Roman" w:eastAsia="宋体" w:cs="Times New Roman"/>
                <w:kern w:val="0"/>
                <w:sz w:val="24"/>
                <w:szCs w:val="24"/>
                <w:lang w:eastAsia="zh-CN"/>
              </w:rPr>
              <w:t>煤炭治理区</w:t>
            </w:r>
            <w:r>
              <w:rPr>
                <w:rFonts w:hint="eastAsia" w:ascii="Times New Roman" w:hAnsi="Times New Roman" w:eastAsia="宋体" w:cs="Times New Roman"/>
                <w:kern w:val="0"/>
                <w:sz w:val="24"/>
                <w:szCs w:val="24"/>
              </w:rPr>
              <w:t>土壤类型为</w:t>
            </w:r>
            <w:r>
              <w:rPr>
                <w:rFonts w:hint="eastAsia" w:cs="Times New Roman"/>
                <w:kern w:val="0"/>
                <w:sz w:val="24"/>
                <w:szCs w:val="24"/>
                <w:lang w:eastAsia="zh-CN"/>
              </w:rPr>
              <w:t>普通灰钙</w:t>
            </w: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eastAsia="zh-CN"/>
              </w:rPr>
              <w:t>建筑用砂治理区</w:t>
            </w:r>
            <w:r>
              <w:rPr>
                <w:rFonts w:hint="eastAsia" w:ascii="Times New Roman" w:hAnsi="Times New Roman" w:eastAsia="宋体" w:cs="Times New Roman"/>
                <w:kern w:val="0"/>
                <w:sz w:val="24"/>
                <w:szCs w:val="24"/>
              </w:rPr>
              <w:t>土壤类型为</w:t>
            </w:r>
            <w:r>
              <w:rPr>
                <w:rFonts w:hint="eastAsia" w:cs="Times New Roman"/>
                <w:kern w:val="0"/>
                <w:sz w:val="24"/>
                <w:szCs w:val="24"/>
                <w:lang w:eastAsia="zh-CN"/>
              </w:rPr>
              <w:t>水耕灌淤</w:t>
            </w:r>
            <w:r>
              <w:rPr>
                <w:rFonts w:hint="default" w:ascii="Times New Roman" w:hAnsi="Times New Roman" w:cs="Times New Roman"/>
                <w:sz w:val="24"/>
                <w:szCs w:val="24"/>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项目区土壤类型见图</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w:t>
            </w:r>
            <w:r>
              <w:rPr>
                <w:rFonts w:hint="eastAsia" w:cs="Times New Roman"/>
                <w:sz w:val="24"/>
                <w:szCs w:val="24"/>
                <w:lang w:val="en-US" w:eastAsia="zh-CN"/>
              </w:rPr>
              <w:t>3、图3-4</w:t>
            </w:r>
            <w:r>
              <w:rPr>
                <w:rFonts w:hint="default" w:ascii="Times New Roman" w:hAnsi="Times New Roman" w:cs="Times New Roman"/>
                <w:sz w:val="24"/>
                <w:szCs w:val="24"/>
              </w:rPr>
              <w:t>。</w:t>
            </w:r>
          </w:p>
          <w:p>
            <w:pPr>
              <w:pStyle w:val="2"/>
              <w:ind w:left="0" w:leftChars="0" w:firstLine="0" w:firstLineChars="0"/>
              <w:jc w:val="center"/>
              <w:rPr>
                <w:rFonts w:hint="default"/>
              </w:rPr>
            </w:pPr>
            <w:r>
              <w:rPr>
                <w:rFonts w:hint="eastAsia" w:ascii="Times New Roman" w:hAnsi="Times New Roman" w:eastAsia="宋体" w:cs="Times New Roman"/>
                <w:lang w:eastAsia="zh-CN"/>
              </w:rPr>
              <w:drawing>
                <wp:inline distT="0" distB="0" distL="114300" distR="114300">
                  <wp:extent cx="4959985" cy="2409825"/>
                  <wp:effectExtent l="0" t="0" r="12065" b="9525"/>
                  <wp:docPr id="6" name="图片 6" descr="WMKX6KG1OY]MI3PX1ZX47E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WMKX6KG1OY]MI3PX1ZX47E5"/>
                          <pic:cNvPicPr>
                            <a:picLocks noChangeAspect="true"/>
                          </pic:cNvPicPr>
                        </pic:nvPicPr>
                        <pic:blipFill>
                          <a:blip r:embed="rId15"/>
                          <a:stretch>
                            <a:fillRect/>
                          </a:stretch>
                        </pic:blipFill>
                        <pic:spPr>
                          <a:xfrm>
                            <a:off x="0" y="0"/>
                            <a:ext cx="4959985" cy="2409825"/>
                          </a:xfrm>
                          <a:prstGeom prst="rect">
                            <a:avLst/>
                          </a:prstGeom>
                        </pic:spPr>
                      </pic:pic>
                    </a:graphicData>
                  </a:graphic>
                </wp:inline>
              </w:drawing>
            </w:r>
          </w:p>
          <w:p>
            <w:pPr>
              <w:spacing w:line="360" w:lineRule="auto"/>
              <w:jc w:val="center"/>
              <w:rPr>
                <w:rFonts w:hint="eastAsia" w:ascii="Times New Roman" w:hAnsi="Times New Roman" w:cs="Times New Roman"/>
                <w:sz w:val="24"/>
                <w:szCs w:val="24"/>
                <w:lang w:val="en-US" w:eastAsia="zh-CN"/>
              </w:rPr>
            </w:pPr>
            <w:r>
              <w:rPr>
                <w:rFonts w:hint="default" w:ascii="Times New Roman" w:hAnsi="Times New Roman" w:eastAsia="宋体" w:cs="Times New Roman"/>
                <w:b/>
                <w:bCs/>
                <w:sz w:val="24"/>
                <w:szCs w:val="24"/>
              </w:rPr>
              <w:t>图3-</w:t>
            </w:r>
            <w:r>
              <w:rPr>
                <w:rFonts w:hint="eastAsia"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cs="Times New Roman"/>
                <w:b/>
                <w:bCs/>
                <w:sz w:val="24"/>
                <w:szCs w:val="24"/>
                <w:lang w:eastAsia="zh-CN"/>
              </w:rPr>
              <w:t>建筑用砂治理区</w:t>
            </w:r>
            <w:r>
              <w:rPr>
                <w:rFonts w:hint="default" w:ascii="Times New Roman" w:hAnsi="Times New Roman" w:eastAsia="宋体" w:cs="Times New Roman"/>
                <w:b/>
                <w:bCs/>
                <w:sz w:val="24"/>
                <w:szCs w:val="24"/>
              </w:rPr>
              <w:t>土壤类型图</w:t>
            </w:r>
          </w:p>
          <w:p>
            <w:pPr>
              <w:spacing w:line="360" w:lineRule="auto"/>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4962525" cy="2406015"/>
                  <wp:effectExtent l="0" t="0" r="9525" b="13335"/>
                  <wp:docPr id="7" name="图片 7" descr="JUT@~RYDN281S}E132_S4KQ"/>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JUT@~RYDN281S}E132_S4KQ"/>
                          <pic:cNvPicPr>
                            <a:picLocks noChangeAspect="true"/>
                          </pic:cNvPicPr>
                        </pic:nvPicPr>
                        <pic:blipFill>
                          <a:blip r:embed="rId16"/>
                          <a:stretch>
                            <a:fillRect/>
                          </a:stretch>
                        </pic:blipFill>
                        <pic:spPr>
                          <a:xfrm>
                            <a:off x="0" y="0"/>
                            <a:ext cx="4962525" cy="2406015"/>
                          </a:xfrm>
                          <a:prstGeom prst="rect">
                            <a:avLst/>
                          </a:prstGeom>
                        </pic:spPr>
                      </pic:pic>
                    </a:graphicData>
                  </a:graphic>
                </wp:inline>
              </w:drawing>
            </w:r>
          </w:p>
          <w:p>
            <w:pPr>
              <w:spacing w:line="360" w:lineRule="auto"/>
              <w:jc w:val="center"/>
              <w:rPr>
                <w:rFonts w:hint="eastAsia" w:ascii="Times New Roman" w:hAnsi="Times New Roman" w:cs="Times New Roman"/>
                <w:sz w:val="24"/>
                <w:szCs w:val="24"/>
                <w:lang w:val="en-US" w:eastAsia="zh-CN"/>
              </w:rPr>
            </w:pPr>
            <w:r>
              <w:rPr>
                <w:rFonts w:hint="default" w:ascii="Times New Roman" w:hAnsi="Times New Roman" w:eastAsia="宋体" w:cs="Times New Roman"/>
                <w:b/>
                <w:bCs/>
                <w:sz w:val="24"/>
                <w:szCs w:val="24"/>
              </w:rPr>
              <w:t>图3-</w:t>
            </w:r>
            <w:r>
              <w:rPr>
                <w:rFonts w:hint="eastAsia" w:cs="Times New Roman"/>
                <w:b/>
                <w:bCs/>
                <w:sz w:val="24"/>
                <w:szCs w:val="24"/>
                <w:lang w:val="en-US" w:eastAsia="zh-CN"/>
              </w:rPr>
              <w:t>4</w:t>
            </w:r>
            <w:r>
              <w:rPr>
                <w:rFonts w:hint="default" w:ascii="Times New Roman" w:hAnsi="Times New Roman" w:eastAsia="宋体" w:cs="Times New Roman"/>
                <w:b/>
                <w:bCs/>
                <w:sz w:val="24"/>
                <w:szCs w:val="24"/>
              </w:rPr>
              <w:t xml:space="preserve">   </w:t>
            </w:r>
            <w:r>
              <w:rPr>
                <w:rFonts w:hint="eastAsia" w:cs="Times New Roman"/>
                <w:b/>
                <w:bCs/>
                <w:sz w:val="24"/>
                <w:szCs w:val="24"/>
                <w:lang w:eastAsia="zh-CN"/>
              </w:rPr>
              <w:t>煤炭治理区</w:t>
            </w:r>
            <w:r>
              <w:rPr>
                <w:rFonts w:hint="default" w:ascii="Times New Roman" w:hAnsi="Times New Roman" w:eastAsia="宋体" w:cs="Times New Roman"/>
                <w:b/>
                <w:bCs/>
                <w:sz w:val="24"/>
                <w:szCs w:val="24"/>
              </w:rPr>
              <w:t>土壤类型图</w:t>
            </w:r>
          </w:p>
          <w:p>
            <w:pPr>
              <w:spacing w:line="360" w:lineRule="auto"/>
              <w:ind w:firstLine="480" w:firstLineChars="200"/>
              <w:rPr>
                <w:rFonts w:hint="default" w:ascii="Times New Roman" w:hAnsi="Times New Roman" w:cs="Times New Roman"/>
                <w:sz w:val="24"/>
                <w:szCs w:val="24"/>
              </w:rPr>
            </w:pPr>
            <w:r>
              <w:rPr>
                <w:rFonts w:hint="eastAsia"/>
                <w:sz w:val="24"/>
                <w:highlight w:val="none"/>
                <w:lang w:eastAsia="zh-CN"/>
              </w:rPr>
              <w:t>（二）</w:t>
            </w:r>
            <w:r>
              <w:rPr>
                <w:rFonts w:hint="default" w:ascii="Times New Roman" w:hAnsi="Times New Roman" w:cs="Times New Roman"/>
                <w:sz w:val="24"/>
                <w:szCs w:val="24"/>
              </w:rPr>
              <w:t>土壤环境质量现状监测</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rPr>
              <w:t>宁夏中环国安咨询有限公司</w:t>
            </w:r>
            <w:r>
              <w:rPr>
                <w:rFonts w:hint="default" w:ascii="Times New Roman" w:hAnsi="Times New Roman" w:cs="Times New Roman"/>
                <w:sz w:val="24"/>
                <w:szCs w:val="24"/>
                <w:highlight w:val="none"/>
              </w:rPr>
              <w:t>于202</w:t>
            </w:r>
            <w:r>
              <w:rPr>
                <w:rFonts w:hint="eastAsia" w:cs="Times New Roman"/>
                <w:sz w:val="24"/>
                <w:szCs w:val="24"/>
                <w:highlight w:val="none"/>
                <w:lang w:val="en-US" w:eastAsia="zh-CN"/>
              </w:rPr>
              <w:t>1</w:t>
            </w:r>
            <w:r>
              <w:rPr>
                <w:rFonts w:hint="default" w:ascii="Times New Roman" w:hAnsi="Times New Roman" w:cs="Times New Roman"/>
                <w:sz w:val="24"/>
                <w:szCs w:val="24"/>
                <w:highlight w:val="none"/>
              </w:rPr>
              <w:t>年</w:t>
            </w:r>
            <w:r>
              <w:rPr>
                <w:rFonts w:hint="eastAsia" w:cs="Times New Roman"/>
                <w:sz w:val="24"/>
                <w:szCs w:val="24"/>
                <w:highlight w:val="none"/>
                <w:lang w:val="en-US" w:eastAsia="zh-CN"/>
              </w:rPr>
              <w:t>2</w:t>
            </w:r>
            <w:r>
              <w:rPr>
                <w:rFonts w:hint="default" w:ascii="Times New Roman" w:hAnsi="Times New Roman" w:cs="Times New Roman"/>
                <w:sz w:val="24"/>
                <w:szCs w:val="24"/>
                <w:highlight w:val="none"/>
              </w:rPr>
              <w:t>月</w:t>
            </w:r>
            <w:r>
              <w:rPr>
                <w:rFonts w:hint="eastAsia" w:cs="Times New Roman"/>
                <w:sz w:val="24"/>
                <w:szCs w:val="24"/>
                <w:highlight w:val="none"/>
                <w:lang w:val="en-US" w:eastAsia="zh-CN"/>
              </w:rPr>
              <w:t>26</w:t>
            </w:r>
            <w:r>
              <w:rPr>
                <w:rFonts w:hint="default" w:ascii="Times New Roman" w:hAnsi="Times New Roman" w:cs="Times New Roman"/>
                <w:sz w:val="24"/>
                <w:szCs w:val="24"/>
                <w:highlight w:val="none"/>
              </w:rPr>
              <w:t>日进行了土壤采样， 于202</w:t>
            </w:r>
            <w:r>
              <w:rPr>
                <w:rFonts w:hint="eastAsia" w:cs="Times New Roman"/>
                <w:sz w:val="24"/>
                <w:szCs w:val="24"/>
                <w:highlight w:val="none"/>
                <w:lang w:val="en-US" w:eastAsia="zh-CN"/>
              </w:rPr>
              <w:t>1</w:t>
            </w:r>
            <w:r>
              <w:rPr>
                <w:rFonts w:hint="default" w:ascii="Times New Roman" w:hAnsi="Times New Roman" w:cs="Times New Roman"/>
                <w:sz w:val="24"/>
                <w:szCs w:val="24"/>
                <w:highlight w:val="none"/>
              </w:rPr>
              <w:t>年2月</w:t>
            </w:r>
            <w:r>
              <w:rPr>
                <w:rFonts w:hint="eastAsia" w:cs="Times New Roman"/>
                <w:sz w:val="24"/>
                <w:szCs w:val="24"/>
                <w:highlight w:val="none"/>
                <w:lang w:val="en-US" w:eastAsia="zh-CN"/>
              </w:rPr>
              <w:t>26</w:t>
            </w:r>
            <w:r>
              <w:rPr>
                <w:rFonts w:hint="default" w:ascii="Times New Roman" w:hAnsi="Times New Roman" w:cs="Times New Roman"/>
                <w:sz w:val="24"/>
                <w:szCs w:val="24"/>
                <w:highlight w:val="none"/>
              </w:rPr>
              <w:t>日~202</w:t>
            </w:r>
            <w:r>
              <w:rPr>
                <w:rFonts w:hint="eastAsia" w:cs="Times New Roman"/>
                <w:sz w:val="24"/>
                <w:szCs w:val="24"/>
                <w:highlight w:val="none"/>
                <w:lang w:val="en-US" w:eastAsia="zh-CN"/>
              </w:rPr>
              <w:t>1</w:t>
            </w:r>
            <w:r>
              <w:rPr>
                <w:rFonts w:hint="default" w:ascii="Times New Roman" w:hAnsi="Times New Roman" w:cs="Times New Roman"/>
                <w:sz w:val="24"/>
                <w:szCs w:val="24"/>
                <w:highlight w:val="none"/>
              </w:rPr>
              <w:t>年</w:t>
            </w:r>
            <w:r>
              <w:rPr>
                <w:rFonts w:hint="eastAsia" w:cs="Times New Roman"/>
                <w:sz w:val="24"/>
                <w:szCs w:val="24"/>
                <w:highlight w:val="none"/>
                <w:lang w:val="en-US" w:eastAsia="zh-CN"/>
              </w:rPr>
              <w:t>3</w:t>
            </w:r>
            <w:r>
              <w:rPr>
                <w:rFonts w:hint="default" w:ascii="Times New Roman" w:hAnsi="Times New Roman" w:cs="Times New Roman"/>
                <w:sz w:val="24"/>
                <w:szCs w:val="24"/>
                <w:highlight w:val="none"/>
              </w:rPr>
              <w:t>月</w:t>
            </w:r>
            <w:r>
              <w:rPr>
                <w:rFonts w:hint="eastAsia" w:cs="Times New Roman"/>
                <w:sz w:val="24"/>
                <w:szCs w:val="24"/>
                <w:highlight w:val="none"/>
                <w:lang w:val="en-US" w:eastAsia="zh-CN"/>
              </w:rPr>
              <w:t>11</w:t>
            </w:r>
            <w:r>
              <w:rPr>
                <w:rFonts w:hint="default" w:ascii="Times New Roman" w:hAnsi="Times New Roman" w:cs="Times New Roman"/>
                <w:sz w:val="24"/>
                <w:szCs w:val="24"/>
                <w:highlight w:val="none"/>
              </w:rPr>
              <w:t>日进行了土壤分析。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⑴监测点位</w:t>
            </w:r>
          </w:p>
          <w:p>
            <w:pPr>
              <w:spacing w:line="360" w:lineRule="auto"/>
              <w:ind w:firstLine="480" w:firstLineChars="200"/>
              <w:rPr>
                <w:rFonts w:hint="default" w:ascii="Times New Roman" w:hAnsi="Times New Roman" w:eastAsia="黑体" w:cs="Times New Roman"/>
                <w:color w:val="000000"/>
                <w:kern w:val="2"/>
                <w:sz w:val="24"/>
                <w:szCs w:val="24"/>
                <w:lang w:val="en-US" w:eastAsia="zh-CN" w:bidi="ar-SA"/>
              </w:rPr>
            </w:pPr>
            <w:bookmarkStart w:id="0" w:name="_Hlk57727059"/>
            <w:r>
              <w:rPr>
                <w:rFonts w:hint="eastAsia" w:ascii="Times New Roman" w:hAnsi="宋体" w:eastAsia="宋体"/>
                <w:sz w:val="24"/>
                <w:szCs w:val="24"/>
              </w:rPr>
              <w:t>本次土壤环境质量现状调查共布设6个采样点，其中</w:t>
            </w:r>
            <w:r>
              <w:rPr>
                <w:rFonts w:hint="eastAsia" w:ascii="Times New Roman" w:hAnsi="Times New Roman" w:eastAsia="宋体"/>
                <w:sz w:val="24"/>
                <w:szCs w:val="24"/>
                <w:lang w:eastAsia="zh-CN"/>
              </w:rPr>
              <w:t>煤炭治理区</w:t>
            </w:r>
            <w:r>
              <w:rPr>
                <w:rFonts w:hint="eastAsia" w:ascii="Times New Roman" w:hAnsi="宋体" w:eastAsia="宋体"/>
                <w:sz w:val="24"/>
                <w:szCs w:val="24"/>
                <w:lang w:eastAsia="zh-CN"/>
              </w:rPr>
              <w:t>内</w:t>
            </w:r>
            <w:r>
              <w:rPr>
                <w:rFonts w:hint="eastAsia" w:ascii="Times New Roman" w:hAnsi="宋体" w:eastAsia="宋体"/>
                <w:sz w:val="24"/>
                <w:szCs w:val="24"/>
              </w:rPr>
              <w:t>布设</w:t>
            </w:r>
            <w:r>
              <w:rPr>
                <w:rFonts w:hint="eastAsia" w:ascii="Times New Roman" w:hAnsi="宋体" w:eastAsia="宋体"/>
                <w:sz w:val="24"/>
                <w:szCs w:val="24"/>
                <w:lang w:val="en-US" w:eastAsia="zh-CN"/>
              </w:rPr>
              <w:t>1</w:t>
            </w:r>
            <w:r>
              <w:rPr>
                <w:rFonts w:hint="eastAsia" w:ascii="Times New Roman" w:hAnsi="宋体" w:eastAsia="宋体"/>
                <w:sz w:val="24"/>
                <w:szCs w:val="24"/>
              </w:rPr>
              <w:t>个表层样，</w:t>
            </w:r>
            <w:r>
              <w:rPr>
                <w:rFonts w:hint="eastAsia" w:ascii="Times New Roman" w:hAnsi="宋体" w:eastAsia="宋体"/>
                <w:sz w:val="24"/>
                <w:szCs w:val="24"/>
                <w:lang w:eastAsia="zh-CN"/>
              </w:rPr>
              <w:t>治理区</w:t>
            </w:r>
            <w:r>
              <w:rPr>
                <w:rFonts w:hint="eastAsia" w:ascii="Times New Roman" w:hAnsi="宋体" w:eastAsia="宋体"/>
                <w:sz w:val="24"/>
                <w:szCs w:val="24"/>
              </w:rPr>
              <w:t>外围空地布设</w:t>
            </w:r>
            <w:r>
              <w:rPr>
                <w:rFonts w:hint="eastAsia" w:ascii="Times New Roman" w:hAnsi="宋体" w:eastAsia="宋体"/>
                <w:sz w:val="24"/>
                <w:szCs w:val="24"/>
                <w:lang w:val="en-US" w:eastAsia="zh-CN"/>
              </w:rPr>
              <w:t>2</w:t>
            </w:r>
            <w:r>
              <w:rPr>
                <w:rFonts w:hint="eastAsia" w:ascii="Times New Roman" w:hAnsi="宋体" w:eastAsia="宋体"/>
                <w:sz w:val="24"/>
                <w:szCs w:val="24"/>
              </w:rPr>
              <w:t>个表层样，</w:t>
            </w:r>
            <w:r>
              <w:rPr>
                <w:rFonts w:hint="eastAsia" w:ascii="Times New Roman" w:hAnsi="Times New Roman" w:eastAsia="宋体"/>
                <w:sz w:val="24"/>
                <w:szCs w:val="24"/>
                <w:lang w:eastAsia="zh-CN"/>
              </w:rPr>
              <w:t>建筑用砂治理区</w:t>
            </w:r>
            <w:r>
              <w:rPr>
                <w:rFonts w:hint="eastAsia" w:ascii="Times New Roman" w:hAnsi="宋体" w:eastAsia="宋体"/>
                <w:sz w:val="24"/>
                <w:szCs w:val="24"/>
                <w:lang w:eastAsia="zh-CN"/>
              </w:rPr>
              <w:t>内</w:t>
            </w:r>
            <w:r>
              <w:rPr>
                <w:rFonts w:hint="eastAsia" w:ascii="Times New Roman" w:hAnsi="宋体" w:eastAsia="宋体"/>
                <w:sz w:val="24"/>
                <w:szCs w:val="24"/>
              </w:rPr>
              <w:t>布设</w:t>
            </w:r>
            <w:r>
              <w:rPr>
                <w:rFonts w:hint="eastAsia" w:ascii="Times New Roman" w:hAnsi="宋体" w:eastAsia="宋体"/>
                <w:sz w:val="24"/>
                <w:szCs w:val="24"/>
                <w:lang w:val="en-US" w:eastAsia="zh-CN"/>
              </w:rPr>
              <w:t>1</w:t>
            </w:r>
            <w:r>
              <w:rPr>
                <w:rFonts w:hint="eastAsia" w:ascii="Times New Roman" w:hAnsi="宋体" w:eastAsia="宋体"/>
                <w:sz w:val="24"/>
                <w:szCs w:val="24"/>
              </w:rPr>
              <w:t>个表层样，</w:t>
            </w:r>
            <w:r>
              <w:rPr>
                <w:rFonts w:hint="eastAsia" w:ascii="Times New Roman" w:hAnsi="宋体" w:eastAsia="宋体"/>
                <w:sz w:val="24"/>
                <w:szCs w:val="24"/>
                <w:lang w:eastAsia="zh-CN"/>
              </w:rPr>
              <w:t>治理区</w:t>
            </w:r>
            <w:r>
              <w:rPr>
                <w:rFonts w:hint="eastAsia" w:ascii="Times New Roman" w:hAnsi="宋体" w:eastAsia="宋体"/>
                <w:sz w:val="24"/>
                <w:szCs w:val="24"/>
              </w:rPr>
              <w:t>外围空地布设</w:t>
            </w:r>
            <w:r>
              <w:rPr>
                <w:rFonts w:hint="eastAsia" w:ascii="Times New Roman" w:hAnsi="宋体" w:eastAsia="宋体"/>
                <w:sz w:val="24"/>
                <w:szCs w:val="24"/>
                <w:lang w:val="en-US" w:eastAsia="zh-CN"/>
              </w:rPr>
              <w:t>2</w:t>
            </w:r>
            <w:r>
              <w:rPr>
                <w:rFonts w:hint="eastAsia" w:ascii="Times New Roman" w:hAnsi="宋体" w:eastAsia="宋体"/>
                <w:sz w:val="24"/>
                <w:szCs w:val="24"/>
              </w:rPr>
              <w:t>个表层样</w:t>
            </w:r>
            <w:r>
              <w:rPr>
                <w:rFonts w:hint="default" w:ascii="Times New Roman" w:hAnsi="Times New Roman" w:cs="Times New Roman"/>
                <w:sz w:val="24"/>
                <w:szCs w:val="24"/>
              </w:rPr>
              <w:t>，见表3-</w:t>
            </w:r>
            <w:r>
              <w:rPr>
                <w:rFonts w:hint="eastAsia" w:cs="Times New Roman"/>
                <w:sz w:val="24"/>
                <w:szCs w:val="24"/>
                <w:lang w:val="en-US" w:eastAsia="zh-CN"/>
              </w:rPr>
              <w:t>9</w:t>
            </w:r>
            <w:r>
              <w:rPr>
                <w:rFonts w:hint="default" w:ascii="Times New Roman" w:hAnsi="Times New Roman" w:cs="Times New Roman"/>
                <w:sz w:val="24"/>
                <w:szCs w:val="24"/>
              </w:rPr>
              <w:t>、</w:t>
            </w:r>
            <w:r>
              <w:rPr>
                <w:rFonts w:hint="default" w:ascii="Times New Roman" w:hAnsi="Times New Roman" w:cs="Times New Roman"/>
                <w:sz w:val="24"/>
                <w:szCs w:val="24"/>
                <w:highlight w:val="none"/>
              </w:rPr>
              <w:t>图3-</w:t>
            </w:r>
            <w:r>
              <w:rPr>
                <w:rFonts w:hint="eastAsia" w:cs="Times New Roman"/>
                <w:sz w:val="24"/>
                <w:szCs w:val="24"/>
                <w:highlight w:val="none"/>
                <w:lang w:val="en-US" w:eastAsia="zh-CN"/>
              </w:rPr>
              <w:t>1、图3-2</w:t>
            </w:r>
            <w:r>
              <w:rPr>
                <w:rFonts w:hint="default" w:ascii="Times New Roman" w:hAnsi="Times New Roman" w:cs="Times New Roman"/>
                <w:sz w:val="24"/>
                <w:szCs w:val="24"/>
                <w:highlight w:val="none"/>
              </w:rPr>
              <w:t>。</w:t>
            </w:r>
            <w:bookmarkEnd w:id="0"/>
            <w:bookmarkStart w:id="1" w:name="_Hlk57727145"/>
          </w:p>
          <w:p>
            <w:pPr>
              <w:pStyle w:val="30"/>
              <w:spacing w:line="360" w:lineRule="auto"/>
              <w:rPr>
                <w:rFonts w:hint="default" w:ascii="Times New Roman" w:hAnsi="Times New Roman" w:eastAsia="黑体" w:cs="Times New Roman"/>
                <w:color w:val="000000"/>
                <w:kern w:val="2"/>
                <w:sz w:val="24"/>
                <w:szCs w:val="24"/>
                <w:lang w:val="en-US" w:eastAsia="zh-CN" w:bidi="ar-SA"/>
              </w:rPr>
            </w:pPr>
            <w:r>
              <w:rPr>
                <w:rFonts w:hint="default" w:ascii="Times New Roman" w:hAnsi="Times New Roman" w:eastAsia="黑体" w:cs="Times New Roman"/>
                <w:color w:val="000000"/>
                <w:kern w:val="2"/>
                <w:sz w:val="24"/>
                <w:szCs w:val="24"/>
                <w:lang w:val="en-US" w:eastAsia="zh-CN" w:bidi="ar-SA"/>
              </w:rPr>
              <w:t>表3-</w:t>
            </w:r>
            <w:r>
              <w:rPr>
                <w:rFonts w:hint="eastAsia" w:ascii="Times New Roman" w:hAnsi="Times New Roman" w:cs="Times New Roman"/>
                <w:color w:val="000000"/>
                <w:kern w:val="2"/>
                <w:sz w:val="24"/>
                <w:szCs w:val="24"/>
                <w:lang w:val="en-US" w:eastAsia="zh-CN" w:bidi="ar-SA"/>
              </w:rPr>
              <w:t>9</w:t>
            </w:r>
            <w:r>
              <w:rPr>
                <w:rFonts w:hint="default" w:ascii="Times New Roman" w:hAnsi="Times New Roman" w:cs="Times New Roman"/>
                <w:color w:val="000000"/>
                <w:kern w:val="2"/>
                <w:sz w:val="24"/>
                <w:szCs w:val="24"/>
                <w:lang w:val="en-US" w:eastAsia="zh-CN" w:bidi="ar-SA"/>
              </w:rPr>
              <w:t xml:space="preserve"> </w:t>
            </w:r>
            <w:r>
              <w:rPr>
                <w:rFonts w:hint="default" w:ascii="Times New Roman" w:hAnsi="Times New Roman" w:eastAsia="黑体" w:cs="Times New Roman"/>
                <w:color w:val="000000"/>
                <w:kern w:val="2"/>
                <w:sz w:val="24"/>
                <w:szCs w:val="24"/>
                <w:lang w:val="en-US" w:eastAsia="zh-CN" w:bidi="ar-SA"/>
              </w:rPr>
              <w:t xml:space="preserve">   土壤现状取样点</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4"/>
              <w:gridCol w:w="2454"/>
              <w:gridCol w:w="1499"/>
              <w:gridCol w:w="1412"/>
              <w:gridCol w:w="1385"/>
              <w:gridCol w:w="16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3" w:type="pct"/>
                  <w:vMerge w:val="restart"/>
                  <w:noWrap w:val="0"/>
                  <w:vAlign w:val="center"/>
                </w:tcPr>
                <w:p>
                  <w:pPr>
                    <w:widowControl/>
                    <w:spacing w:line="240" w:lineRule="exact"/>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编号</w:t>
                  </w:r>
                </w:p>
              </w:tc>
              <w:tc>
                <w:tcPr>
                  <w:tcW w:w="1352" w:type="pct"/>
                  <w:vMerge w:val="restart"/>
                  <w:noWrap w:val="0"/>
                  <w:vAlign w:val="center"/>
                </w:tcPr>
                <w:p>
                  <w:pPr>
                    <w:widowControl/>
                    <w:spacing w:line="240" w:lineRule="exact"/>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监测点位</w:t>
                  </w:r>
                </w:p>
              </w:tc>
              <w:tc>
                <w:tcPr>
                  <w:tcW w:w="1604" w:type="pct"/>
                  <w:gridSpan w:val="2"/>
                  <w:noWrap w:val="0"/>
                  <w:vAlign w:val="center"/>
                </w:tcPr>
                <w:p>
                  <w:pPr>
                    <w:widowControl/>
                    <w:spacing w:line="240" w:lineRule="exact"/>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坐标(m)</w:t>
                  </w:r>
                </w:p>
              </w:tc>
              <w:tc>
                <w:tcPr>
                  <w:tcW w:w="763" w:type="pct"/>
                  <w:vMerge w:val="restart"/>
                  <w:noWrap w:val="0"/>
                  <w:vAlign w:val="center"/>
                </w:tcPr>
                <w:p>
                  <w:pPr>
                    <w:widowControl/>
                    <w:spacing w:line="240" w:lineRule="exact"/>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取样层次</w:t>
                  </w:r>
                </w:p>
              </w:tc>
              <w:tc>
                <w:tcPr>
                  <w:tcW w:w="896" w:type="pct"/>
                  <w:vMerge w:val="restart"/>
                  <w:noWrap w:val="0"/>
                  <w:vAlign w:val="center"/>
                </w:tcPr>
                <w:p>
                  <w:pPr>
                    <w:widowControl/>
                    <w:spacing w:line="240" w:lineRule="exact"/>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widowControl/>
                    <w:spacing w:line="240" w:lineRule="exact"/>
                    <w:contextualSpacing/>
                    <w:jc w:val="center"/>
                    <w:rPr>
                      <w:rFonts w:hint="default" w:ascii="Times New Roman" w:hAnsi="Times New Roman" w:cs="Times New Roman"/>
                      <w:b/>
                      <w:sz w:val="21"/>
                      <w:szCs w:val="21"/>
                    </w:rPr>
                  </w:pPr>
                </w:p>
              </w:tc>
              <w:tc>
                <w:tcPr>
                  <w:tcW w:w="1352" w:type="pct"/>
                  <w:vMerge w:val="continue"/>
                  <w:noWrap w:val="0"/>
                  <w:vAlign w:val="center"/>
                </w:tcPr>
                <w:p>
                  <w:pPr>
                    <w:widowControl/>
                    <w:spacing w:line="240" w:lineRule="exact"/>
                    <w:contextualSpacing/>
                    <w:jc w:val="center"/>
                    <w:rPr>
                      <w:rFonts w:hint="default" w:ascii="Times New Roman" w:hAnsi="Times New Roman" w:cs="Times New Roman"/>
                      <w:b/>
                      <w:sz w:val="21"/>
                      <w:szCs w:val="21"/>
                    </w:rPr>
                  </w:pPr>
                </w:p>
              </w:tc>
              <w:tc>
                <w:tcPr>
                  <w:tcW w:w="826" w:type="pct"/>
                  <w:noWrap w:val="0"/>
                  <w:vAlign w:val="center"/>
                </w:tcPr>
                <w:p>
                  <w:pPr>
                    <w:widowControl/>
                    <w:spacing w:line="240" w:lineRule="exact"/>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X</w:t>
                  </w:r>
                </w:p>
              </w:tc>
              <w:tc>
                <w:tcPr>
                  <w:tcW w:w="777" w:type="pct"/>
                  <w:noWrap w:val="0"/>
                  <w:vAlign w:val="center"/>
                </w:tcPr>
                <w:p>
                  <w:pPr>
                    <w:widowControl/>
                    <w:spacing w:line="240" w:lineRule="exact"/>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Y</w:t>
                  </w:r>
                </w:p>
              </w:tc>
              <w:tc>
                <w:tcPr>
                  <w:tcW w:w="763" w:type="pct"/>
                  <w:vMerge w:val="continue"/>
                  <w:noWrap w:val="0"/>
                  <w:vAlign w:val="center"/>
                </w:tcPr>
                <w:p>
                  <w:pPr>
                    <w:widowControl/>
                    <w:spacing w:line="240" w:lineRule="exact"/>
                    <w:contextualSpacing/>
                    <w:jc w:val="center"/>
                    <w:rPr>
                      <w:rFonts w:hint="default" w:ascii="Times New Roman" w:hAnsi="Times New Roman" w:cs="Times New Roman"/>
                      <w:b/>
                      <w:sz w:val="21"/>
                      <w:szCs w:val="21"/>
                    </w:rPr>
                  </w:pPr>
                </w:p>
              </w:tc>
              <w:tc>
                <w:tcPr>
                  <w:tcW w:w="896" w:type="pct"/>
                  <w:vMerge w:val="continue"/>
                  <w:noWrap w:val="0"/>
                  <w:vAlign w:val="center"/>
                </w:tcPr>
                <w:p>
                  <w:pPr>
                    <w:widowControl/>
                    <w:spacing w:line="240" w:lineRule="exact"/>
                    <w:contextualSpacing/>
                    <w:jc w:val="center"/>
                    <w:rPr>
                      <w:rFonts w:hint="default" w:ascii="Times New Roman" w:hAnsi="Times New Roman" w:cs="Times New Roman"/>
                      <w:b/>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3" w:type="pct"/>
                  <w:vMerge w:val="restart"/>
                  <w:noWrap w:val="0"/>
                  <w:vAlign w:val="center"/>
                </w:tcPr>
                <w:p>
                  <w:pPr>
                    <w:jc w:val="center"/>
                    <w:rPr>
                      <w:rFonts w:hint="default" w:ascii="Times New Roman" w:hAnsi="Times New Roman" w:cs="Times New Roman"/>
                      <w:sz w:val="21"/>
                      <w:szCs w:val="21"/>
                    </w:rPr>
                  </w:pPr>
                  <w:r>
                    <w:rPr>
                      <w:rFonts w:hint="eastAsia" w:ascii="Times New Roman" w:hAnsi="Times New Roman" w:eastAsia="宋体"/>
                      <w:sz w:val="21"/>
                      <w:szCs w:val="21"/>
                      <w:lang w:eastAsia="zh-CN"/>
                    </w:rPr>
                    <w:t>煤炭治理区</w:t>
                  </w:r>
                </w:p>
              </w:tc>
              <w:tc>
                <w:tcPr>
                  <w:tcW w:w="2454" w:type="dxa"/>
                  <w:noWrap w:val="0"/>
                  <w:vAlign w:val="center"/>
                </w:tcPr>
                <w:p>
                  <w:pPr>
                    <w:spacing w:line="0" w:lineRule="atLeast"/>
                    <w:jc w:val="center"/>
                    <w:rPr>
                      <w:rFonts w:hint="default" w:ascii="Times New Roman" w:hAnsi="Times New Roman" w:cs="Times New Roman"/>
                      <w:sz w:val="21"/>
                      <w:szCs w:val="21"/>
                    </w:rPr>
                  </w:pPr>
                  <w:r>
                    <w:rPr>
                      <w:rFonts w:hint="eastAsia"/>
                      <w:color w:val="000000" w:themeColor="text1"/>
                      <w:kern w:val="0"/>
                      <w:szCs w:val="21"/>
                      <w:lang w:val="en-US" w:eastAsia="zh-CN"/>
                      <w14:textFill>
                        <w14:solidFill>
                          <w14:schemeClr w14:val="tx1"/>
                        </w14:solidFill>
                      </w14:textFill>
                    </w:rPr>
                    <w:t>M3南侧50m处空地</w:t>
                  </w:r>
                </w:p>
              </w:tc>
              <w:tc>
                <w:tcPr>
                  <w:tcW w:w="826" w:type="pct"/>
                  <w:noWrap w:val="0"/>
                  <w:vAlign w:val="center"/>
                </w:tcPr>
                <w:p>
                  <w:pPr>
                    <w:widowControl/>
                    <w:jc w:val="center"/>
                    <w:rPr>
                      <w:rFonts w:hint="default" w:ascii="Times New Roman" w:hAnsi="Times New Roman" w:cs="Times New Roman"/>
                      <w:sz w:val="21"/>
                      <w:szCs w:val="21"/>
                    </w:rPr>
                  </w:pPr>
                  <w:r>
                    <w:rPr>
                      <w:color w:val="auto"/>
                      <w:kern w:val="0"/>
                      <w:szCs w:val="21"/>
                    </w:rPr>
                    <w:t xml:space="preserve"> 37°</w:t>
                  </w:r>
                  <w:r>
                    <w:rPr>
                      <w:rFonts w:hint="eastAsia"/>
                      <w:color w:val="auto"/>
                      <w:kern w:val="0"/>
                      <w:szCs w:val="21"/>
                      <w:lang w:val="en-US" w:eastAsia="zh-CN"/>
                    </w:rPr>
                    <w:t>13</w:t>
                  </w:r>
                  <w:r>
                    <w:rPr>
                      <w:color w:val="auto"/>
                      <w:kern w:val="0"/>
                      <w:szCs w:val="21"/>
                    </w:rPr>
                    <w:t>′</w:t>
                  </w:r>
                  <w:r>
                    <w:rPr>
                      <w:rFonts w:hint="eastAsia"/>
                      <w:color w:val="auto"/>
                      <w:kern w:val="0"/>
                      <w:szCs w:val="21"/>
                      <w:lang w:val="en-US" w:eastAsia="zh-CN"/>
                    </w:rPr>
                    <w:t>17.5</w:t>
                  </w:r>
                  <w:r>
                    <w:rPr>
                      <w:color w:val="auto"/>
                      <w:kern w:val="0"/>
                      <w:szCs w:val="21"/>
                    </w:rPr>
                    <w:t>″</w:t>
                  </w:r>
                </w:p>
              </w:tc>
              <w:tc>
                <w:tcPr>
                  <w:tcW w:w="777" w:type="pct"/>
                  <w:noWrap w:val="0"/>
                  <w:vAlign w:val="center"/>
                </w:tcPr>
                <w:p>
                  <w:pPr>
                    <w:widowControl/>
                    <w:spacing w:line="240" w:lineRule="exact"/>
                    <w:jc w:val="center"/>
                    <w:rPr>
                      <w:rFonts w:hint="default" w:ascii="Times New Roman" w:hAnsi="Times New Roman" w:cs="Times New Roman"/>
                      <w:sz w:val="21"/>
                      <w:szCs w:val="21"/>
                    </w:rPr>
                  </w:pPr>
                  <w:r>
                    <w:rPr>
                      <w:color w:val="auto"/>
                      <w:kern w:val="0"/>
                      <w:szCs w:val="21"/>
                    </w:rPr>
                    <w:t>10</w:t>
                  </w:r>
                  <w:r>
                    <w:rPr>
                      <w:rFonts w:hint="eastAsia"/>
                      <w:color w:val="auto"/>
                      <w:kern w:val="0"/>
                      <w:szCs w:val="21"/>
                      <w:lang w:val="en-US" w:eastAsia="zh-CN"/>
                    </w:rPr>
                    <w:t>5</w:t>
                  </w:r>
                  <w:r>
                    <w:rPr>
                      <w:color w:val="auto"/>
                      <w:kern w:val="0"/>
                      <w:szCs w:val="21"/>
                    </w:rPr>
                    <w:t>°</w:t>
                  </w:r>
                  <w:r>
                    <w:rPr>
                      <w:rFonts w:hint="eastAsia"/>
                      <w:color w:val="auto"/>
                      <w:kern w:val="0"/>
                      <w:szCs w:val="21"/>
                      <w:lang w:val="en-US" w:eastAsia="zh-CN"/>
                    </w:rPr>
                    <w:t>56</w:t>
                  </w:r>
                  <w:r>
                    <w:rPr>
                      <w:color w:val="auto"/>
                      <w:kern w:val="0"/>
                      <w:szCs w:val="21"/>
                    </w:rPr>
                    <w:t>′</w:t>
                  </w:r>
                  <w:r>
                    <w:rPr>
                      <w:rFonts w:hint="eastAsia"/>
                      <w:color w:val="auto"/>
                      <w:kern w:val="0"/>
                      <w:szCs w:val="21"/>
                      <w:lang w:val="en-US" w:eastAsia="zh-CN"/>
                    </w:rPr>
                    <w:t>12.3</w:t>
                  </w:r>
                  <w:r>
                    <w:rPr>
                      <w:color w:val="auto"/>
                      <w:kern w:val="0"/>
                      <w:szCs w:val="21"/>
                    </w:rPr>
                    <w:t>″</w:t>
                  </w:r>
                </w:p>
              </w:tc>
              <w:tc>
                <w:tcPr>
                  <w:tcW w:w="763" w:type="pct"/>
                  <w:noWrap w:val="0"/>
                  <w:vAlign w:val="center"/>
                </w:tcPr>
                <w:p>
                  <w:pPr>
                    <w:widowControl/>
                    <w:spacing w:line="240" w:lineRule="exact"/>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表层样</w:t>
                  </w:r>
                </w:p>
              </w:tc>
              <w:tc>
                <w:tcPr>
                  <w:tcW w:w="896" w:type="pct"/>
                  <w:noWrap w:val="0"/>
                  <w:vAlign w:val="center"/>
                </w:tcPr>
                <w:p>
                  <w:pPr>
                    <w:jc w:val="center"/>
                    <w:rPr>
                      <w:rFonts w:hint="default" w:ascii="Times New Roman" w:hAnsi="Times New Roman" w:cs="Times New Roman"/>
                      <w:sz w:val="21"/>
                      <w:szCs w:val="21"/>
                    </w:rPr>
                  </w:pPr>
                  <w:r>
                    <w:rPr>
                      <w:rFonts w:hint="eastAsia" w:ascii="Times New Roman" w:hAnsi="Times New Roman" w:eastAsia="宋体"/>
                      <w:sz w:val="21"/>
                      <w:szCs w:val="21"/>
                    </w:rPr>
                    <w:t>B</w:t>
                  </w:r>
                  <w:r>
                    <w:rPr>
                      <w:rFonts w:ascii="Times New Roman" w:hAnsi="Times New Roman" w:eastAsia="宋体"/>
                      <w:sz w:val="21"/>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widowControl/>
                    <w:spacing w:line="240" w:lineRule="exact"/>
                    <w:contextualSpacing/>
                    <w:jc w:val="center"/>
                    <w:rPr>
                      <w:rFonts w:hint="default" w:ascii="Times New Roman" w:hAnsi="Times New Roman" w:cs="Times New Roman"/>
                      <w:sz w:val="21"/>
                      <w:szCs w:val="21"/>
                    </w:rPr>
                  </w:pPr>
                </w:p>
              </w:tc>
              <w:tc>
                <w:tcPr>
                  <w:tcW w:w="2454" w:type="dxa"/>
                  <w:noWrap w:val="0"/>
                  <w:vAlign w:val="center"/>
                </w:tcPr>
                <w:p>
                  <w:pPr>
                    <w:spacing w:line="0" w:lineRule="atLeast"/>
                    <w:jc w:val="center"/>
                    <w:rPr>
                      <w:rFonts w:hint="default" w:ascii="Times New Roman" w:hAnsi="Times New Roman" w:cs="Times New Roman"/>
                      <w:sz w:val="21"/>
                      <w:szCs w:val="21"/>
                    </w:rPr>
                  </w:pPr>
                  <w:r>
                    <w:rPr>
                      <w:rFonts w:hint="eastAsia"/>
                      <w:color w:val="000000" w:themeColor="text1"/>
                      <w:kern w:val="0"/>
                      <w:szCs w:val="21"/>
                      <w:lang w:eastAsia="zh-CN"/>
                      <w14:textFill>
                        <w14:solidFill>
                          <w14:schemeClr w14:val="tx1"/>
                        </w14:solidFill>
                      </w14:textFill>
                    </w:rPr>
                    <w:t>项目区</w:t>
                  </w:r>
                  <w:r>
                    <w:rPr>
                      <w:rFonts w:hint="eastAsia"/>
                      <w:color w:val="000000" w:themeColor="text1"/>
                      <w:kern w:val="0"/>
                      <w:szCs w:val="21"/>
                      <w:lang w:val="en-US" w:eastAsia="zh-CN"/>
                      <w14:textFill>
                        <w14:solidFill>
                          <w14:schemeClr w14:val="tx1"/>
                        </w14:solidFill>
                      </w14:textFill>
                    </w:rPr>
                    <w:t>M2内</w:t>
                  </w:r>
                </w:p>
              </w:tc>
              <w:tc>
                <w:tcPr>
                  <w:tcW w:w="826" w:type="pct"/>
                  <w:noWrap w:val="0"/>
                  <w:vAlign w:val="center"/>
                </w:tcPr>
                <w:p>
                  <w:pPr>
                    <w:widowControl/>
                    <w:jc w:val="center"/>
                    <w:rPr>
                      <w:rFonts w:hint="default" w:ascii="Times New Roman" w:hAnsi="Times New Roman" w:cs="Times New Roman"/>
                      <w:sz w:val="21"/>
                      <w:szCs w:val="21"/>
                    </w:rPr>
                  </w:pPr>
                  <w:r>
                    <w:rPr>
                      <w:color w:val="auto"/>
                      <w:kern w:val="0"/>
                      <w:szCs w:val="21"/>
                    </w:rPr>
                    <w:t xml:space="preserve"> 37°</w:t>
                  </w:r>
                  <w:r>
                    <w:rPr>
                      <w:rFonts w:hint="eastAsia"/>
                      <w:color w:val="auto"/>
                      <w:kern w:val="0"/>
                      <w:szCs w:val="21"/>
                      <w:lang w:val="en-US" w:eastAsia="zh-CN"/>
                    </w:rPr>
                    <w:t>13</w:t>
                  </w:r>
                  <w:r>
                    <w:rPr>
                      <w:color w:val="auto"/>
                      <w:kern w:val="0"/>
                      <w:szCs w:val="21"/>
                    </w:rPr>
                    <w:t>′</w:t>
                  </w:r>
                  <w:r>
                    <w:rPr>
                      <w:rFonts w:hint="eastAsia"/>
                      <w:color w:val="auto"/>
                      <w:kern w:val="0"/>
                      <w:szCs w:val="21"/>
                      <w:lang w:val="en-US" w:eastAsia="zh-CN"/>
                    </w:rPr>
                    <w:t>43.7</w:t>
                  </w:r>
                  <w:r>
                    <w:rPr>
                      <w:color w:val="auto"/>
                      <w:kern w:val="0"/>
                      <w:szCs w:val="21"/>
                    </w:rPr>
                    <w:t>″</w:t>
                  </w:r>
                </w:p>
              </w:tc>
              <w:tc>
                <w:tcPr>
                  <w:tcW w:w="777" w:type="pct"/>
                  <w:noWrap w:val="0"/>
                  <w:vAlign w:val="center"/>
                </w:tcPr>
                <w:p>
                  <w:pPr>
                    <w:widowControl/>
                    <w:jc w:val="center"/>
                    <w:rPr>
                      <w:rFonts w:hint="default" w:ascii="Times New Roman" w:hAnsi="Times New Roman" w:cs="Times New Roman"/>
                      <w:sz w:val="21"/>
                      <w:szCs w:val="21"/>
                    </w:rPr>
                  </w:pPr>
                  <w:r>
                    <w:rPr>
                      <w:color w:val="auto"/>
                      <w:kern w:val="0"/>
                      <w:szCs w:val="21"/>
                    </w:rPr>
                    <w:t>10</w:t>
                  </w:r>
                  <w:r>
                    <w:rPr>
                      <w:rFonts w:hint="eastAsia"/>
                      <w:color w:val="auto"/>
                      <w:kern w:val="0"/>
                      <w:szCs w:val="21"/>
                      <w:lang w:val="en-US" w:eastAsia="zh-CN"/>
                    </w:rPr>
                    <w:t>5</w:t>
                  </w:r>
                  <w:r>
                    <w:rPr>
                      <w:color w:val="auto"/>
                      <w:kern w:val="0"/>
                      <w:szCs w:val="21"/>
                    </w:rPr>
                    <w:t>°</w:t>
                  </w:r>
                  <w:r>
                    <w:rPr>
                      <w:rFonts w:hint="eastAsia"/>
                      <w:color w:val="auto"/>
                      <w:kern w:val="0"/>
                      <w:szCs w:val="21"/>
                      <w:lang w:val="en-US" w:eastAsia="zh-CN"/>
                    </w:rPr>
                    <w:t>55</w:t>
                  </w:r>
                  <w:r>
                    <w:rPr>
                      <w:color w:val="auto"/>
                      <w:kern w:val="0"/>
                      <w:szCs w:val="21"/>
                    </w:rPr>
                    <w:t>′</w:t>
                  </w:r>
                  <w:r>
                    <w:rPr>
                      <w:rFonts w:hint="eastAsia"/>
                      <w:color w:val="auto"/>
                      <w:kern w:val="0"/>
                      <w:szCs w:val="21"/>
                      <w:lang w:val="en-US" w:eastAsia="zh-CN"/>
                    </w:rPr>
                    <w:t>32.4</w:t>
                  </w:r>
                  <w:r>
                    <w:rPr>
                      <w:color w:val="auto"/>
                      <w:kern w:val="0"/>
                      <w:szCs w:val="21"/>
                    </w:rPr>
                    <w:t>″</w:t>
                  </w:r>
                </w:p>
              </w:tc>
              <w:tc>
                <w:tcPr>
                  <w:tcW w:w="763" w:type="pct"/>
                  <w:noWrap w:val="0"/>
                  <w:vAlign w:val="center"/>
                </w:tcPr>
                <w:p>
                  <w:pPr>
                    <w:widowControl/>
                    <w:spacing w:line="240" w:lineRule="exact"/>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表层样</w:t>
                  </w:r>
                </w:p>
              </w:tc>
              <w:tc>
                <w:tcPr>
                  <w:tcW w:w="896" w:type="pct"/>
                  <w:noWrap w:val="0"/>
                  <w:vAlign w:val="center"/>
                </w:tcPr>
                <w:p>
                  <w:pPr>
                    <w:jc w:val="center"/>
                    <w:rPr>
                      <w:rFonts w:hint="default" w:ascii="Times New Roman" w:hAnsi="Times New Roman" w:cs="Times New Roman"/>
                      <w:sz w:val="21"/>
                      <w:szCs w:val="21"/>
                    </w:rPr>
                  </w:pPr>
                  <w:r>
                    <w:rPr>
                      <w:rFonts w:hint="eastAsia" w:ascii="Times New Roman" w:hAnsi="Times New Roman" w:eastAsia="宋体"/>
                      <w:sz w:val="21"/>
                      <w:szCs w:val="21"/>
                    </w:rPr>
                    <w:t>B2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widowControl/>
                    <w:spacing w:line="240" w:lineRule="exact"/>
                    <w:contextualSpacing/>
                    <w:jc w:val="center"/>
                    <w:rPr>
                      <w:rFonts w:hint="default" w:ascii="Times New Roman" w:hAnsi="Times New Roman" w:cs="Times New Roman"/>
                      <w:sz w:val="21"/>
                      <w:szCs w:val="21"/>
                    </w:rPr>
                  </w:pPr>
                </w:p>
              </w:tc>
              <w:tc>
                <w:tcPr>
                  <w:tcW w:w="2454" w:type="dxa"/>
                  <w:noWrap w:val="0"/>
                  <w:vAlign w:val="center"/>
                </w:tcPr>
                <w:p>
                  <w:pPr>
                    <w:spacing w:line="0" w:lineRule="atLeast"/>
                    <w:jc w:val="center"/>
                    <w:rPr>
                      <w:rFonts w:hint="default" w:ascii="Times New Roman" w:hAnsi="Times New Roman" w:cs="Times New Roman"/>
                      <w:sz w:val="21"/>
                      <w:szCs w:val="21"/>
                    </w:rPr>
                  </w:pPr>
                  <w:r>
                    <w:rPr>
                      <w:rFonts w:hint="eastAsia"/>
                      <w:color w:val="000000" w:themeColor="text1"/>
                      <w:kern w:val="0"/>
                      <w:szCs w:val="21"/>
                      <w:lang w:val="en-US" w:eastAsia="zh-CN"/>
                      <w14:textFill>
                        <w14:solidFill>
                          <w14:schemeClr w14:val="tx1"/>
                        </w14:solidFill>
                      </w14:textFill>
                    </w:rPr>
                    <w:t>M1南侧50m处空地</w:t>
                  </w:r>
                </w:p>
              </w:tc>
              <w:tc>
                <w:tcPr>
                  <w:tcW w:w="826" w:type="pct"/>
                  <w:noWrap w:val="0"/>
                  <w:vAlign w:val="center"/>
                </w:tcPr>
                <w:p>
                  <w:pPr>
                    <w:widowControl/>
                    <w:jc w:val="center"/>
                    <w:rPr>
                      <w:rFonts w:hint="default" w:ascii="Times New Roman" w:hAnsi="Times New Roman" w:cs="Times New Roman"/>
                      <w:sz w:val="21"/>
                      <w:szCs w:val="21"/>
                    </w:rPr>
                  </w:pPr>
                  <w:r>
                    <w:rPr>
                      <w:color w:val="auto"/>
                      <w:kern w:val="0"/>
                      <w:szCs w:val="21"/>
                    </w:rPr>
                    <w:t>37°</w:t>
                  </w:r>
                  <w:r>
                    <w:rPr>
                      <w:rFonts w:hint="eastAsia"/>
                      <w:color w:val="auto"/>
                      <w:kern w:val="0"/>
                      <w:szCs w:val="21"/>
                      <w:lang w:val="en-US" w:eastAsia="zh-CN"/>
                    </w:rPr>
                    <w:t>13</w:t>
                  </w:r>
                  <w:r>
                    <w:rPr>
                      <w:color w:val="auto"/>
                      <w:kern w:val="0"/>
                      <w:szCs w:val="21"/>
                    </w:rPr>
                    <w:t>′</w:t>
                  </w:r>
                  <w:r>
                    <w:rPr>
                      <w:rFonts w:hint="eastAsia"/>
                      <w:color w:val="auto"/>
                      <w:kern w:val="0"/>
                      <w:szCs w:val="21"/>
                      <w:lang w:val="en-US" w:eastAsia="zh-CN"/>
                    </w:rPr>
                    <w:t>43.6</w:t>
                  </w:r>
                  <w:r>
                    <w:rPr>
                      <w:color w:val="auto"/>
                      <w:kern w:val="0"/>
                      <w:szCs w:val="21"/>
                    </w:rPr>
                    <w:t>″</w:t>
                  </w:r>
                </w:p>
              </w:tc>
              <w:tc>
                <w:tcPr>
                  <w:tcW w:w="777" w:type="pct"/>
                  <w:noWrap w:val="0"/>
                  <w:vAlign w:val="center"/>
                </w:tcPr>
                <w:p>
                  <w:pPr>
                    <w:widowControl/>
                    <w:jc w:val="center"/>
                    <w:rPr>
                      <w:rFonts w:hint="default" w:ascii="Times New Roman" w:hAnsi="Times New Roman" w:cs="Times New Roman"/>
                      <w:sz w:val="21"/>
                      <w:szCs w:val="21"/>
                    </w:rPr>
                  </w:pPr>
                  <w:r>
                    <w:rPr>
                      <w:color w:val="auto"/>
                      <w:kern w:val="0"/>
                      <w:szCs w:val="21"/>
                    </w:rPr>
                    <w:t>10</w:t>
                  </w:r>
                  <w:r>
                    <w:rPr>
                      <w:rFonts w:hint="eastAsia"/>
                      <w:color w:val="auto"/>
                      <w:kern w:val="0"/>
                      <w:szCs w:val="21"/>
                      <w:lang w:val="en-US" w:eastAsia="zh-CN"/>
                    </w:rPr>
                    <w:t>5</w:t>
                  </w:r>
                  <w:r>
                    <w:rPr>
                      <w:color w:val="auto"/>
                      <w:kern w:val="0"/>
                      <w:szCs w:val="21"/>
                    </w:rPr>
                    <w:t>°</w:t>
                  </w:r>
                  <w:r>
                    <w:rPr>
                      <w:rFonts w:hint="eastAsia"/>
                      <w:color w:val="auto"/>
                      <w:kern w:val="0"/>
                      <w:szCs w:val="21"/>
                      <w:lang w:val="en-US" w:eastAsia="zh-CN"/>
                    </w:rPr>
                    <w:t>54</w:t>
                  </w:r>
                  <w:r>
                    <w:rPr>
                      <w:color w:val="auto"/>
                      <w:kern w:val="0"/>
                      <w:szCs w:val="21"/>
                    </w:rPr>
                    <w:t>′</w:t>
                  </w:r>
                  <w:r>
                    <w:rPr>
                      <w:rFonts w:hint="eastAsia"/>
                      <w:color w:val="auto"/>
                      <w:kern w:val="0"/>
                      <w:szCs w:val="21"/>
                      <w:lang w:val="en-US" w:eastAsia="zh-CN"/>
                    </w:rPr>
                    <w:t>56.1</w:t>
                  </w:r>
                  <w:r>
                    <w:rPr>
                      <w:color w:val="auto"/>
                      <w:kern w:val="0"/>
                      <w:szCs w:val="21"/>
                    </w:rPr>
                    <w:t>″</w:t>
                  </w:r>
                </w:p>
              </w:tc>
              <w:tc>
                <w:tcPr>
                  <w:tcW w:w="763" w:type="pct"/>
                  <w:noWrap w:val="0"/>
                  <w:vAlign w:val="center"/>
                </w:tcPr>
                <w:p>
                  <w:pPr>
                    <w:widowControl/>
                    <w:spacing w:line="240" w:lineRule="exact"/>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表层样</w:t>
                  </w:r>
                </w:p>
              </w:tc>
              <w:tc>
                <w:tcPr>
                  <w:tcW w:w="896" w:type="pct"/>
                  <w:noWrap w:val="0"/>
                  <w:vAlign w:val="center"/>
                </w:tcPr>
                <w:p>
                  <w:pPr>
                    <w:jc w:val="center"/>
                    <w:rPr>
                      <w:rFonts w:hint="default" w:ascii="Times New Roman" w:hAnsi="Times New Roman" w:cs="Times New Roman"/>
                      <w:sz w:val="21"/>
                      <w:szCs w:val="21"/>
                    </w:rPr>
                  </w:pPr>
                  <w:r>
                    <w:rPr>
                      <w:rFonts w:hint="eastAsia" w:ascii="Times New Roman" w:hAnsi="Times New Roman" w:eastAsia="宋体"/>
                      <w:sz w:val="21"/>
                      <w:szCs w:val="21"/>
                    </w:rPr>
                    <w:t>B3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3" w:type="pct"/>
                  <w:vMerge w:val="restart"/>
                  <w:noWrap w:val="0"/>
                  <w:vAlign w:val="center"/>
                </w:tcPr>
                <w:p>
                  <w:pPr>
                    <w:jc w:val="center"/>
                    <w:rPr>
                      <w:rFonts w:hint="default" w:ascii="Times New Roman" w:hAnsi="Times New Roman" w:cs="Times New Roman"/>
                      <w:sz w:val="21"/>
                      <w:szCs w:val="21"/>
                    </w:rPr>
                  </w:pPr>
                  <w:r>
                    <w:rPr>
                      <w:rFonts w:hint="eastAsia" w:ascii="Times New Roman" w:hAnsi="Times New Roman" w:eastAsia="宋体"/>
                      <w:sz w:val="21"/>
                      <w:szCs w:val="21"/>
                      <w:lang w:eastAsia="zh-CN"/>
                    </w:rPr>
                    <w:t>建筑用砂治理区</w:t>
                  </w:r>
                </w:p>
              </w:tc>
              <w:tc>
                <w:tcPr>
                  <w:tcW w:w="2454" w:type="dxa"/>
                  <w:noWrap w:val="0"/>
                  <w:vAlign w:val="center"/>
                </w:tcPr>
                <w:p>
                  <w:pPr>
                    <w:spacing w:line="0" w:lineRule="atLeast"/>
                    <w:jc w:val="center"/>
                    <w:rPr>
                      <w:rFonts w:hint="default" w:ascii="Times New Roman" w:hAnsi="Times New Roman" w:cs="Times New Roman"/>
                      <w:sz w:val="21"/>
                      <w:szCs w:val="21"/>
                    </w:rPr>
                  </w:pPr>
                  <w:r>
                    <w:rPr>
                      <w:rFonts w:hint="eastAsia"/>
                      <w:color w:val="000000" w:themeColor="text1"/>
                      <w:kern w:val="0"/>
                      <w:szCs w:val="21"/>
                      <w:lang w:val="en-US" w:eastAsia="zh-CN"/>
                      <w14:textFill>
                        <w14:solidFill>
                          <w14:schemeClr w14:val="tx1"/>
                        </w14:solidFill>
                      </w14:textFill>
                    </w:rPr>
                    <w:t>S1-1西北侧50m处空地</w:t>
                  </w:r>
                </w:p>
              </w:tc>
              <w:tc>
                <w:tcPr>
                  <w:tcW w:w="826" w:type="pct"/>
                  <w:noWrap w:val="0"/>
                  <w:vAlign w:val="center"/>
                </w:tcPr>
                <w:p>
                  <w:pPr>
                    <w:jc w:val="center"/>
                    <w:rPr>
                      <w:rFonts w:hint="default" w:ascii="Times New Roman" w:hAnsi="Times New Roman" w:cs="Times New Roman"/>
                      <w:sz w:val="21"/>
                      <w:szCs w:val="21"/>
                    </w:rPr>
                  </w:pPr>
                  <w:r>
                    <w:rPr>
                      <w:color w:val="auto"/>
                      <w:kern w:val="0"/>
                      <w:szCs w:val="21"/>
                    </w:rPr>
                    <w:t>37°</w:t>
                  </w:r>
                  <w:r>
                    <w:rPr>
                      <w:rFonts w:hint="eastAsia"/>
                      <w:color w:val="auto"/>
                      <w:kern w:val="0"/>
                      <w:szCs w:val="21"/>
                      <w:lang w:val="en-US" w:eastAsia="zh-CN"/>
                    </w:rPr>
                    <w:t>26</w:t>
                  </w:r>
                  <w:r>
                    <w:rPr>
                      <w:color w:val="auto"/>
                      <w:kern w:val="0"/>
                      <w:szCs w:val="21"/>
                    </w:rPr>
                    <w:t>′</w:t>
                  </w:r>
                  <w:r>
                    <w:rPr>
                      <w:rFonts w:hint="eastAsia"/>
                      <w:color w:val="auto"/>
                      <w:kern w:val="0"/>
                      <w:szCs w:val="21"/>
                      <w:lang w:val="en-US" w:eastAsia="zh-CN"/>
                    </w:rPr>
                    <w:t>54</w:t>
                  </w:r>
                  <w:r>
                    <w:rPr>
                      <w:color w:val="auto"/>
                      <w:kern w:val="0"/>
                      <w:szCs w:val="21"/>
                    </w:rPr>
                    <w:t>″</w:t>
                  </w:r>
                </w:p>
              </w:tc>
              <w:tc>
                <w:tcPr>
                  <w:tcW w:w="777" w:type="pct"/>
                  <w:noWrap w:val="0"/>
                  <w:vAlign w:val="center"/>
                </w:tcPr>
                <w:p>
                  <w:pPr>
                    <w:jc w:val="center"/>
                    <w:rPr>
                      <w:rFonts w:hint="default" w:ascii="Times New Roman" w:hAnsi="Times New Roman" w:cs="Times New Roman"/>
                      <w:sz w:val="21"/>
                      <w:szCs w:val="21"/>
                    </w:rPr>
                  </w:pPr>
                  <w:r>
                    <w:rPr>
                      <w:color w:val="auto"/>
                      <w:kern w:val="0"/>
                      <w:szCs w:val="21"/>
                    </w:rPr>
                    <w:t>10</w:t>
                  </w:r>
                  <w:r>
                    <w:rPr>
                      <w:rFonts w:hint="eastAsia"/>
                      <w:color w:val="auto"/>
                      <w:kern w:val="0"/>
                      <w:szCs w:val="21"/>
                    </w:rPr>
                    <w:t>6</w:t>
                  </w:r>
                  <w:r>
                    <w:rPr>
                      <w:color w:val="auto"/>
                      <w:kern w:val="0"/>
                      <w:szCs w:val="21"/>
                    </w:rPr>
                    <w:t>°</w:t>
                  </w:r>
                  <w:r>
                    <w:rPr>
                      <w:rFonts w:hint="eastAsia"/>
                      <w:color w:val="auto"/>
                      <w:kern w:val="0"/>
                      <w:szCs w:val="21"/>
                      <w:lang w:val="en-US" w:eastAsia="zh-CN"/>
                    </w:rPr>
                    <w:t>0</w:t>
                  </w:r>
                  <w:r>
                    <w:rPr>
                      <w:color w:val="auto"/>
                      <w:kern w:val="0"/>
                      <w:szCs w:val="21"/>
                    </w:rPr>
                    <w:t>′</w:t>
                  </w:r>
                  <w:r>
                    <w:rPr>
                      <w:rFonts w:hint="eastAsia"/>
                      <w:color w:val="auto"/>
                      <w:kern w:val="0"/>
                      <w:szCs w:val="21"/>
                      <w:lang w:val="en-US" w:eastAsia="zh-CN"/>
                    </w:rPr>
                    <w:t>6.02</w:t>
                  </w:r>
                  <w:r>
                    <w:rPr>
                      <w:color w:val="auto"/>
                      <w:kern w:val="0"/>
                      <w:szCs w:val="21"/>
                    </w:rPr>
                    <w:t>″</w:t>
                  </w:r>
                </w:p>
              </w:tc>
              <w:tc>
                <w:tcPr>
                  <w:tcW w:w="763" w:type="pct"/>
                  <w:noWrap w:val="0"/>
                  <w:vAlign w:val="center"/>
                </w:tcPr>
                <w:p>
                  <w:pPr>
                    <w:widowControl/>
                    <w:spacing w:line="240" w:lineRule="exact"/>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表层样</w:t>
                  </w:r>
                </w:p>
              </w:tc>
              <w:tc>
                <w:tcPr>
                  <w:tcW w:w="896" w:type="pct"/>
                  <w:noWrap w:val="0"/>
                  <w:vAlign w:val="center"/>
                </w:tcPr>
                <w:p>
                  <w:pPr>
                    <w:jc w:val="center"/>
                    <w:rPr>
                      <w:rFonts w:hint="default" w:ascii="Times New Roman" w:hAnsi="Times New Roman" w:cs="Times New Roman"/>
                      <w:sz w:val="21"/>
                      <w:szCs w:val="21"/>
                    </w:rPr>
                  </w:pPr>
                  <w:r>
                    <w:rPr>
                      <w:rFonts w:hint="eastAsia" w:ascii="Times New Roman" w:hAnsi="Times New Roman" w:eastAsia="宋体"/>
                      <w:sz w:val="21"/>
                      <w:szCs w:val="21"/>
                    </w:rPr>
                    <w:t>B</w:t>
                  </w:r>
                  <w:r>
                    <w:rPr>
                      <w:rFonts w:hint="eastAsia"/>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widowControl/>
                    <w:spacing w:line="240" w:lineRule="exact"/>
                    <w:contextualSpacing/>
                    <w:jc w:val="center"/>
                    <w:rPr>
                      <w:rFonts w:hint="default" w:ascii="Times New Roman" w:hAnsi="Times New Roman" w:cs="Times New Roman"/>
                      <w:sz w:val="21"/>
                      <w:szCs w:val="21"/>
                    </w:rPr>
                  </w:pPr>
                </w:p>
              </w:tc>
              <w:tc>
                <w:tcPr>
                  <w:tcW w:w="2454" w:type="dxa"/>
                  <w:noWrap w:val="0"/>
                  <w:vAlign w:val="center"/>
                </w:tcPr>
                <w:p>
                  <w:pPr>
                    <w:spacing w:line="0" w:lineRule="atLeast"/>
                    <w:jc w:val="center"/>
                    <w:rPr>
                      <w:rFonts w:hint="default" w:ascii="Times New Roman" w:hAnsi="Times New Roman" w:cs="Times New Roman"/>
                      <w:sz w:val="21"/>
                      <w:szCs w:val="21"/>
                    </w:rPr>
                  </w:pPr>
                  <w:r>
                    <w:rPr>
                      <w:rFonts w:hint="eastAsia"/>
                      <w:color w:val="000000" w:themeColor="text1"/>
                      <w:kern w:val="0"/>
                      <w:szCs w:val="21"/>
                      <w:lang w:eastAsia="zh-CN"/>
                      <w14:textFill>
                        <w14:solidFill>
                          <w14:schemeClr w14:val="tx1"/>
                        </w14:solidFill>
                      </w14:textFill>
                    </w:rPr>
                    <w:t>项目区</w:t>
                  </w:r>
                  <w:r>
                    <w:rPr>
                      <w:rFonts w:hint="eastAsia"/>
                      <w:color w:val="000000" w:themeColor="text1"/>
                      <w:kern w:val="0"/>
                      <w:szCs w:val="21"/>
                      <w:lang w:val="en-US" w:eastAsia="zh-CN"/>
                      <w14:textFill>
                        <w14:solidFill>
                          <w14:schemeClr w14:val="tx1"/>
                        </w14:solidFill>
                      </w14:textFill>
                    </w:rPr>
                    <w:t>S1-3内</w:t>
                  </w:r>
                </w:p>
              </w:tc>
              <w:tc>
                <w:tcPr>
                  <w:tcW w:w="826" w:type="pct"/>
                  <w:noWrap w:val="0"/>
                  <w:vAlign w:val="center"/>
                </w:tcPr>
                <w:p>
                  <w:pPr>
                    <w:jc w:val="center"/>
                    <w:rPr>
                      <w:rFonts w:hint="default" w:ascii="Times New Roman" w:hAnsi="Times New Roman" w:cs="Times New Roman"/>
                      <w:sz w:val="21"/>
                      <w:szCs w:val="21"/>
                    </w:rPr>
                  </w:pPr>
                  <w:r>
                    <w:rPr>
                      <w:color w:val="auto"/>
                      <w:kern w:val="0"/>
                      <w:szCs w:val="21"/>
                    </w:rPr>
                    <w:t>37°</w:t>
                  </w:r>
                  <w:r>
                    <w:rPr>
                      <w:rFonts w:hint="eastAsia"/>
                      <w:color w:val="auto"/>
                      <w:kern w:val="0"/>
                      <w:szCs w:val="21"/>
                    </w:rPr>
                    <w:t>2</w:t>
                  </w:r>
                  <w:r>
                    <w:rPr>
                      <w:rFonts w:hint="eastAsia"/>
                      <w:color w:val="auto"/>
                      <w:kern w:val="0"/>
                      <w:szCs w:val="21"/>
                      <w:lang w:val="en-US" w:eastAsia="zh-CN"/>
                    </w:rPr>
                    <w:t>7</w:t>
                  </w:r>
                  <w:r>
                    <w:rPr>
                      <w:color w:val="auto"/>
                      <w:kern w:val="0"/>
                      <w:szCs w:val="21"/>
                    </w:rPr>
                    <w:t>′</w:t>
                  </w:r>
                  <w:r>
                    <w:rPr>
                      <w:rFonts w:hint="eastAsia"/>
                      <w:color w:val="auto"/>
                      <w:kern w:val="0"/>
                      <w:szCs w:val="21"/>
                      <w:lang w:val="en-US" w:eastAsia="zh-CN"/>
                    </w:rPr>
                    <w:t>12.4</w:t>
                  </w:r>
                  <w:r>
                    <w:rPr>
                      <w:color w:val="auto"/>
                      <w:kern w:val="0"/>
                      <w:szCs w:val="21"/>
                    </w:rPr>
                    <w:t>″</w:t>
                  </w:r>
                </w:p>
              </w:tc>
              <w:tc>
                <w:tcPr>
                  <w:tcW w:w="777" w:type="pct"/>
                  <w:noWrap w:val="0"/>
                  <w:vAlign w:val="center"/>
                </w:tcPr>
                <w:p>
                  <w:pPr>
                    <w:jc w:val="center"/>
                    <w:rPr>
                      <w:rFonts w:hint="default" w:ascii="Times New Roman" w:hAnsi="Times New Roman" w:cs="Times New Roman"/>
                      <w:sz w:val="21"/>
                      <w:szCs w:val="21"/>
                    </w:rPr>
                  </w:pPr>
                  <w:r>
                    <w:rPr>
                      <w:rFonts w:hint="eastAsia"/>
                      <w:color w:val="auto"/>
                      <w:kern w:val="0"/>
                      <w:szCs w:val="21"/>
                      <w:lang w:val="en-US" w:eastAsia="zh-CN"/>
                    </w:rPr>
                    <w:t>105</w:t>
                  </w:r>
                  <w:r>
                    <w:rPr>
                      <w:color w:val="auto"/>
                      <w:kern w:val="0"/>
                      <w:szCs w:val="21"/>
                    </w:rPr>
                    <w:t>°</w:t>
                  </w:r>
                  <w:r>
                    <w:rPr>
                      <w:rFonts w:hint="eastAsia"/>
                      <w:color w:val="auto"/>
                      <w:kern w:val="0"/>
                      <w:szCs w:val="21"/>
                      <w:lang w:val="en-US" w:eastAsia="zh-CN"/>
                    </w:rPr>
                    <w:t>59</w:t>
                  </w:r>
                  <w:r>
                    <w:rPr>
                      <w:color w:val="auto"/>
                      <w:kern w:val="0"/>
                      <w:szCs w:val="21"/>
                    </w:rPr>
                    <w:t>′</w:t>
                  </w:r>
                  <w:r>
                    <w:rPr>
                      <w:rFonts w:hint="eastAsia"/>
                      <w:color w:val="auto"/>
                      <w:kern w:val="0"/>
                      <w:szCs w:val="21"/>
                      <w:lang w:val="en-US" w:eastAsia="zh-CN"/>
                    </w:rPr>
                    <w:t>55.4</w:t>
                  </w:r>
                  <w:r>
                    <w:rPr>
                      <w:color w:val="auto"/>
                      <w:kern w:val="0"/>
                      <w:szCs w:val="21"/>
                    </w:rPr>
                    <w:t>″</w:t>
                  </w:r>
                </w:p>
              </w:tc>
              <w:tc>
                <w:tcPr>
                  <w:tcW w:w="763" w:type="pct"/>
                  <w:noWrap w:val="0"/>
                  <w:vAlign w:val="center"/>
                </w:tcPr>
                <w:p>
                  <w:pPr>
                    <w:widowControl/>
                    <w:spacing w:line="240" w:lineRule="exact"/>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表层样</w:t>
                  </w:r>
                </w:p>
              </w:tc>
              <w:tc>
                <w:tcPr>
                  <w:tcW w:w="896" w:type="pct"/>
                  <w:noWrap w:val="0"/>
                  <w:vAlign w:val="center"/>
                </w:tcPr>
                <w:p>
                  <w:pPr>
                    <w:jc w:val="center"/>
                    <w:rPr>
                      <w:rFonts w:hint="default" w:ascii="Times New Roman" w:hAnsi="Times New Roman" w:cs="Times New Roman"/>
                      <w:sz w:val="21"/>
                      <w:szCs w:val="21"/>
                    </w:rPr>
                  </w:pPr>
                  <w:r>
                    <w:rPr>
                      <w:rFonts w:hint="eastAsia" w:ascii="Times New Roman" w:hAnsi="Times New Roman" w:eastAsia="宋体"/>
                      <w:sz w:val="21"/>
                      <w:szCs w:val="21"/>
                    </w:rPr>
                    <w:t>B</w:t>
                  </w:r>
                  <w:r>
                    <w:rPr>
                      <w:rFonts w:hint="eastAsia"/>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widowControl/>
                    <w:spacing w:line="240" w:lineRule="exact"/>
                    <w:contextualSpacing/>
                    <w:jc w:val="center"/>
                    <w:rPr>
                      <w:rFonts w:hint="default" w:ascii="Times New Roman" w:hAnsi="Times New Roman" w:cs="Times New Roman"/>
                      <w:sz w:val="21"/>
                      <w:szCs w:val="21"/>
                    </w:rPr>
                  </w:pPr>
                </w:p>
              </w:tc>
              <w:tc>
                <w:tcPr>
                  <w:tcW w:w="2454" w:type="dxa"/>
                  <w:noWrap w:val="0"/>
                  <w:vAlign w:val="center"/>
                </w:tcPr>
                <w:p>
                  <w:pPr>
                    <w:spacing w:line="0" w:lineRule="atLeast"/>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S1-4东侧50m处</w:t>
                  </w:r>
                </w:p>
                <w:p>
                  <w:pPr>
                    <w:spacing w:line="0" w:lineRule="atLeast"/>
                    <w:jc w:val="center"/>
                    <w:rPr>
                      <w:rFonts w:hint="default" w:ascii="Times New Roman" w:hAnsi="Times New Roman" w:cs="Times New Roman"/>
                      <w:sz w:val="21"/>
                      <w:szCs w:val="21"/>
                    </w:rPr>
                  </w:pPr>
                  <w:r>
                    <w:rPr>
                      <w:rFonts w:hint="eastAsia"/>
                      <w:color w:val="000000" w:themeColor="text1"/>
                      <w:kern w:val="0"/>
                      <w:szCs w:val="21"/>
                      <w:lang w:val="en-US" w:eastAsia="zh-CN"/>
                      <w14:textFill>
                        <w14:solidFill>
                          <w14:schemeClr w14:val="tx1"/>
                        </w14:solidFill>
                      </w14:textFill>
                    </w:rPr>
                    <w:t>空地</w:t>
                  </w:r>
                </w:p>
              </w:tc>
              <w:tc>
                <w:tcPr>
                  <w:tcW w:w="826" w:type="pct"/>
                  <w:noWrap w:val="0"/>
                  <w:vAlign w:val="center"/>
                </w:tcPr>
                <w:p>
                  <w:pPr>
                    <w:jc w:val="center"/>
                    <w:rPr>
                      <w:rFonts w:hint="default" w:ascii="Times New Roman" w:hAnsi="Times New Roman" w:cs="Times New Roman"/>
                      <w:sz w:val="21"/>
                      <w:szCs w:val="21"/>
                    </w:rPr>
                  </w:pPr>
                  <w:r>
                    <w:rPr>
                      <w:color w:val="auto"/>
                      <w:kern w:val="0"/>
                      <w:szCs w:val="21"/>
                    </w:rPr>
                    <w:t>37°</w:t>
                  </w:r>
                  <w:r>
                    <w:rPr>
                      <w:rFonts w:hint="eastAsia"/>
                      <w:color w:val="auto"/>
                      <w:kern w:val="0"/>
                      <w:szCs w:val="21"/>
                    </w:rPr>
                    <w:t>2</w:t>
                  </w:r>
                  <w:r>
                    <w:rPr>
                      <w:rFonts w:hint="eastAsia"/>
                      <w:color w:val="auto"/>
                      <w:kern w:val="0"/>
                      <w:szCs w:val="21"/>
                      <w:lang w:val="en-US" w:eastAsia="zh-CN"/>
                    </w:rPr>
                    <w:t>7</w:t>
                  </w:r>
                  <w:r>
                    <w:rPr>
                      <w:color w:val="auto"/>
                      <w:kern w:val="0"/>
                      <w:szCs w:val="21"/>
                    </w:rPr>
                    <w:t>′</w:t>
                  </w:r>
                  <w:r>
                    <w:rPr>
                      <w:rFonts w:hint="eastAsia"/>
                      <w:color w:val="auto"/>
                      <w:kern w:val="0"/>
                      <w:szCs w:val="21"/>
                      <w:lang w:val="en-US" w:eastAsia="zh-CN"/>
                    </w:rPr>
                    <w:t>26.2</w:t>
                  </w:r>
                  <w:r>
                    <w:rPr>
                      <w:color w:val="auto"/>
                      <w:kern w:val="0"/>
                      <w:szCs w:val="21"/>
                    </w:rPr>
                    <w:t>″</w:t>
                  </w:r>
                </w:p>
              </w:tc>
              <w:tc>
                <w:tcPr>
                  <w:tcW w:w="777" w:type="pct"/>
                  <w:noWrap w:val="0"/>
                  <w:vAlign w:val="center"/>
                </w:tcPr>
                <w:p>
                  <w:pPr>
                    <w:jc w:val="center"/>
                    <w:rPr>
                      <w:rFonts w:hint="default" w:ascii="Times New Roman" w:hAnsi="Times New Roman" w:cs="Times New Roman"/>
                      <w:sz w:val="21"/>
                      <w:szCs w:val="21"/>
                    </w:rPr>
                  </w:pPr>
                  <w:r>
                    <w:rPr>
                      <w:color w:val="auto"/>
                      <w:kern w:val="0"/>
                      <w:szCs w:val="21"/>
                    </w:rPr>
                    <w:t xml:space="preserve"> 10</w:t>
                  </w:r>
                  <w:r>
                    <w:rPr>
                      <w:rFonts w:hint="eastAsia"/>
                      <w:color w:val="auto"/>
                      <w:kern w:val="0"/>
                      <w:szCs w:val="21"/>
                    </w:rPr>
                    <w:t>6</w:t>
                  </w:r>
                  <w:r>
                    <w:rPr>
                      <w:color w:val="auto"/>
                      <w:kern w:val="0"/>
                      <w:szCs w:val="21"/>
                    </w:rPr>
                    <w:t>°</w:t>
                  </w:r>
                  <w:r>
                    <w:rPr>
                      <w:rFonts w:hint="eastAsia"/>
                      <w:color w:val="auto"/>
                      <w:kern w:val="0"/>
                      <w:szCs w:val="21"/>
                      <w:lang w:val="en-US" w:eastAsia="zh-CN"/>
                    </w:rPr>
                    <w:t>0</w:t>
                  </w:r>
                  <w:r>
                    <w:rPr>
                      <w:color w:val="auto"/>
                      <w:kern w:val="0"/>
                      <w:szCs w:val="21"/>
                    </w:rPr>
                    <w:t>′</w:t>
                  </w:r>
                  <w:r>
                    <w:rPr>
                      <w:rFonts w:hint="eastAsia"/>
                      <w:color w:val="auto"/>
                      <w:kern w:val="0"/>
                      <w:szCs w:val="21"/>
                      <w:lang w:val="en-US" w:eastAsia="zh-CN"/>
                    </w:rPr>
                    <w:t>7.56</w:t>
                  </w:r>
                  <w:r>
                    <w:rPr>
                      <w:color w:val="auto"/>
                      <w:kern w:val="0"/>
                      <w:szCs w:val="21"/>
                    </w:rPr>
                    <w:t>″</w:t>
                  </w:r>
                </w:p>
              </w:tc>
              <w:tc>
                <w:tcPr>
                  <w:tcW w:w="763" w:type="pct"/>
                  <w:noWrap w:val="0"/>
                  <w:vAlign w:val="center"/>
                </w:tcPr>
                <w:p>
                  <w:pPr>
                    <w:widowControl/>
                    <w:spacing w:line="240" w:lineRule="exact"/>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表层样</w:t>
                  </w:r>
                </w:p>
              </w:tc>
              <w:tc>
                <w:tcPr>
                  <w:tcW w:w="896" w:type="pct"/>
                  <w:noWrap w:val="0"/>
                  <w:vAlign w:val="center"/>
                </w:tcPr>
                <w:p>
                  <w:pPr>
                    <w:jc w:val="center"/>
                    <w:rPr>
                      <w:rFonts w:hint="default" w:ascii="Times New Roman" w:hAnsi="Times New Roman" w:cs="Times New Roman"/>
                      <w:sz w:val="21"/>
                      <w:szCs w:val="21"/>
                    </w:rPr>
                  </w:pPr>
                  <w:r>
                    <w:rPr>
                      <w:rFonts w:hint="eastAsia" w:ascii="Times New Roman" w:hAnsi="Times New Roman" w:eastAsia="宋体"/>
                      <w:sz w:val="21"/>
                      <w:szCs w:val="21"/>
                    </w:rPr>
                    <w:t>B</w:t>
                  </w:r>
                  <w:r>
                    <w:rPr>
                      <w:rFonts w:hint="eastAsia" w:ascii="Times New Roman" w:hAnsi="Times New Roman" w:eastAsia="宋体"/>
                      <w:sz w:val="21"/>
                      <w:szCs w:val="21"/>
                      <w:lang w:val="en-US" w:eastAsia="zh-CN"/>
                    </w:rPr>
                    <w:t>6</w:t>
                  </w:r>
                </w:p>
              </w:tc>
            </w:tr>
            <w:bookmarkEnd w:id="1"/>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⑵监测因子</w:t>
            </w:r>
          </w:p>
          <w:p>
            <w:pPr>
              <w:spacing w:line="360" w:lineRule="auto"/>
              <w:ind w:firstLine="480" w:firstLineChars="200"/>
              <w:rPr>
                <w:rFonts w:hint="default" w:ascii="Times New Roman" w:hAnsi="Times New Roman" w:cs="Times New Roman"/>
                <w:sz w:val="24"/>
                <w:szCs w:val="24"/>
              </w:rPr>
            </w:pPr>
            <w:bookmarkStart w:id="2" w:name="_Hlk57727085"/>
            <w:r>
              <w:rPr>
                <w:rFonts w:hint="eastAsia" w:ascii="Times New Roman" w:hAnsi="Times New Roman" w:eastAsia="宋体"/>
                <w:sz w:val="24"/>
                <w:szCs w:val="24"/>
              </w:rPr>
              <w:t>本项目监测点</w:t>
            </w:r>
            <w:r>
              <w:rPr>
                <w:rFonts w:ascii="Times New Roman" w:hAnsi="Times New Roman" w:eastAsia="宋体"/>
                <w:sz w:val="24"/>
                <w:szCs w:val="24"/>
              </w:rPr>
              <w:t>B</w:t>
            </w:r>
            <w:r>
              <w:rPr>
                <w:rFonts w:hint="eastAsia" w:ascii="Times New Roman" w:hAnsi="Times New Roman" w:eastAsia="宋体"/>
                <w:sz w:val="24"/>
                <w:szCs w:val="24"/>
                <w:lang w:val="en-US" w:eastAsia="zh-CN"/>
              </w:rPr>
              <w:t>2、B5</w:t>
            </w:r>
            <w:r>
              <w:rPr>
                <w:rFonts w:hint="eastAsia" w:ascii="Times New Roman" w:hAnsi="Times New Roman" w:eastAsia="宋体"/>
                <w:sz w:val="24"/>
                <w:szCs w:val="24"/>
              </w:rPr>
              <w:t>监测三大类及特征污染因子共计</w:t>
            </w:r>
            <w:r>
              <w:rPr>
                <w:rFonts w:ascii="Times New Roman" w:hAnsi="Times New Roman" w:eastAsia="宋体"/>
                <w:sz w:val="24"/>
                <w:szCs w:val="24"/>
              </w:rPr>
              <w:t>4</w:t>
            </w:r>
            <w:r>
              <w:rPr>
                <w:rFonts w:hint="eastAsia" w:ascii="Times New Roman" w:hAnsi="Times New Roman" w:eastAsia="宋体"/>
                <w:sz w:val="24"/>
                <w:szCs w:val="24"/>
              </w:rPr>
              <w:t>5</w:t>
            </w:r>
            <w:r>
              <w:rPr>
                <w:rFonts w:ascii="Times New Roman" w:hAnsi="Times New Roman" w:eastAsia="宋体"/>
                <w:sz w:val="24"/>
                <w:szCs w:val="24"/>
              </w:rPr>
              <w:t>项污染因子</w:t>
            </w:r>
            <w:r>
              <w:rPr>
                <w:rFonts w:hint="default" w:ascii="Times New Roman" w:hAnsi="Times New Roman" w:cs="Times New Roman"/>
                <w:sz w:val="24"/>
                <w:szCs w:val="24"/>
              </w:rPr>
              <w:t>，</w:t>
            </w:r>
            <w:r>
              <w:rPr>
                <w:rFonts w:hint="eastAsia" w:ascii="Times New Roman" w:hAnsi="Times New Roman" w:eastAsia="宋体"/>
                <w:sz w:val="24"/>
                <w:szCs w:val="24"/>
              </w:rPr>
              <w:t>监测点</w:t>
            </w:r>
            <w:r>
              <w:rPr>
                <w:rFonts w:ascii="Times New Roman" w:hAnsi="Times New Roman" w:eastAsia="宋体"/>
                <w:sz w:val="24"/>
                <w:szCs w:val="24"/>
              </w:rPr>
              <w:t>B</w:t>
            </w:r>
            <w:r>
              <w:rPr>
                <w:rFonts w:hint="eastAsia" w:ascii="Times New Roman" w:hAnsi="Times New Roman" w:eastAsia="宋体"/>
                <w:sz w:val="24"/>
                <w:szCs w:val="24"/>
                <w:lang w:val="en-US" w:eastAsia="zh-CN"/>
              </w:rPr>
              <w:t>1</w:t>
            </w:r>
            <w:r>
              <w:rPr>
                <w:rFonts w:hint="eastAsia" w:ascii="Times New Roman" w:hAnsi="Times New Roman" w:eastAsia="宋体"/>
                <w:sz w:val="24"/>
                <w:szCs w:val="24"/>
                <w:lang w:eastAsia="zh-CN"/>
              </w:rPr>
              <w:t>、</w:t>
            </w:r>
            <w:r>
              <w:rPr>
                <w:rFonts w:hint="eastAsia" w:ascii="Times New Roman" w:hAnsi="Times New Roman" w:eastAsia="宋体"/>
                <w:sz w:val="24"/>
                <w:szCs w:val="24"/>
              </w:rPr>
              <w:t>B</w:t>
            </w:r>
            <w:r>
              <w:rPr>
                <w:rFonts w:hint="eastAsia" w:ascii="Times New Roman" w:hAnsi="Times New Roman" w:eastAsia="宋体"/>
                <w:sz w:val="24"/>
                <w:szCs w:val="24"/>
                <w:lang w:val="en-US" w:eastAsia="zh-CN"/>
              </w:rPr>
              <w:t>3</w:t>
            </w:r>
            <w:r>
              <w:rPr>
                <w:rFonts w:hint="eastAsia" w:ascii="Times New Roman" w:hAnsi="Times New Roman" w:eastAsia="宋体"/>
                <w:sz w:val="24"/>
                <w:szCs w:val="24"/>
                <w:lang w:eastAsia="zh-CN"/>
              </w:rPr>
              <w:t>、</w:t>
            </w:r>
            <w:r>
              <w:rPr>
                <w:rFonts w:ascii="Times New Roman" w:hAnsi="Times New Roman" w:eastAsia="宋体"/>
                <w:sz w:val="24"/>
                <w:szCs w:val="24"/>
              </w:rPr>
              <w:t>B</w:t>
            </w:r>
            <w:r>
              <w:rPr>
                <w:rFonts w:hint="eastAsia" w:ascii="Times New Roman" w:hAnsi="Times New Roman" w:eastAsia="宋体"/>
                <w:sz w:val="24"/>
                <w:szCs w:val="24"/>
                <w:lang w:val="en-US" w:eastAsia="zh-CN"/>
              </w:rPr>
              <w:t>4</w:t>
            </w:r>
            <w:r>
              <w:rPr>
                <w:rFonts w:hint="eastAsia" w:ascii="Times New Roman" w:hAnsi="Times New Roman" w:eastAsia="宋体"/>
                <w:sz w:val="24"/>
                <w:szCs w:val="24"/>
                <w:lang w:eastAsia="zh-CN"/>
              </w:rPr>
              <w:t>、</w:t>
            </w:r>
            <w:r>
              <w:rPr>
                <w:rFonts w:hint="eastAsia" w:ascii="Times New Roman" w:hAnsi="Times New Roman" w:eastAsia="宋体"/>
                <w:sz w:val="24"/>
                <w:szCs w:val="24"/>
              </w:rPr>
              <w:t>B</w:t>
            </w: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监测</w:t>
            </w:r>
            <w:r>
              <w:rPr>
                <w:rFonts w:hint="default" w:ascii="Times New Roman" w:hAnsi="Times New Roman" w:cs="Times New Roman"/>
                <w:sz w:val="24"/>
                <w:szCs w:val="24"/>
              </w:rPr>
              <w:t>砷、镉、铬(六价)、铜、铅、汞、镍，共7项。具体见表</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-1</w:t>
            </w:r>
            <w:r>
              <w:rPr>
                <w:rFonts w:hint="eastAsia" w:cs="Times New Roman"/>
                <w:sz w:val="24"/>
                <w:szCs w:val="24"/>
                <w:lang w:val="en-US" w:eastAsia="zh-CN"/>
              </w:rPr>
              <w:t>0</w:t>
            </w:r>
            <w:r>
              <w:rPr>
                <w:rFonts w:hint="default" w:ascii="Times New Roman" w:hAnsi="Times New Roman" w:cs="Times New Roman"/>
                <w:sz w:val="24"/>
                <w:szCs w:val="24"/>
              </w:rPr>
              <w:t>。</w:t>
            </w:r>
          </w:p>
          <w:p>
            <w:pPr>
              <w:pStyle w:val="30"/>
              <w:spacing w:line="360" w:lineRule="auto"/>
              <w:rPr>
                <w:rFonts w:hint="default" w:ascii="Times New Roman" w:hAnsi="Times New Roman" w:eastAsia="黑体" w:cs="Times New Roman"/>
                <w:color w:val="000000"/>
                <w:kern w:val="2"/>
                <w:sz w:val="24"/>
                <w:szCs w:val="24"/>
                <w:lang w:val="en-US" w:eastAsia="zh-CN" w:bidi="ar-SA"/>
              </w:rPr>
            </w:pPr>
            <w:r>
              <w:rPr>
                <w:rFonts w:hint="default" w:ascii="Times New Roman" w:hAnsi="Times New Roman" w:eastAsia="黑体" w:cs="Times New Roman"/>
                <w:color w:val="000000"/>
                <w:kern w:val="2"/>
                <w:sz w:val="24"/>
                <w:szCs w:val="24"/>
                <w:lang w:val="en-US" w:eastAsia="zh-CN" w:bidi="ar-SA"/>
              </w:rPr>
              <w:t>表3-</w:t>
            </w:r>
            <w:r>
              <w:rPr>
                <w:rFonts w:hint="eastAsia" w:ascii="Times New Roman" w:hAnsi="Times New Roman" w:cs="Times New Roman"/>
                <w:color w:val="000000"/>
                <w:kern w:val="2"/>
                <w:sz w:val="24"/>
                <w:szCs w:val="24"/>
                <w:lang w:val="en-US" w:eastAsia="zh-CN" w:bidi="ar-SA"/>
              </w:rPr>
              <w:t>10</w:t>
            </w:r>
            <w:r>
              <w:rPr>
                <w:rFonts w:hint="default" w:ascii="Times New Roman" w:hAnsi="Times New Roman" w:eastAsia="黑体" w:cs="Times New Roman"/>
                <w:color w:val="000000"/>
                <w:kern w:val="2"/>
                <w:sz w:val="24"/>
                <w:szCs w:val="24"/>
                <w:lang w:val="en-US" w:eastAsia="zh-CN" w:bidi="ar-SA"/>
              </w:rPr>
              <w:t xml:space="preserve">    土壤监测因子表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62"/>
              <w:gridCol w:w="590"/>
              <w:gridCol w:w="2827"/>
              <w:gridCol w:w="1252"/>
              <w:gridCol w:w="559"/>
              <w:gridCol w:w="27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586" w:type="pct"/>
                  <w:noWrap w:val="0"/>
                  <w:vAlign w:val="center"/>
                </w:tcPr>
                <w:p>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1883" w:type="pct"/>
                  <w:gridSpan w:val="2"/>
                  <w:noWrap w:val="0"/>
                  <w:vAlign w:val="center"/>
                </w:tcPr>
                <w:p>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监测因子</w:t>
                  </w:r>
                </w:p>
              </w:tc>
              <w:tc>
                <w:tcPr>
                  <w:tcW w:w="690" w:type="pct"/>
                  <w:noWrap w:val="0"/>
                  <w:vAlign w:val="center"/>
                </w:tcPr>
                <w:p>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1840" w:type="pct"/>
                  <w:gridSpan w:val="2"/>
                  <w:noWrap w:val="0"/>
                  <w:vAlign w:val="center"/>
                </w:tcPr>
                <w:p>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监测因子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325" w:type="pct"/>
                  <w:vMerge w:val="restar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重金属和无机物</w:t>
                  </w: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砷</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24</w:t>
                  </w:r>
                </w:p>
              </w:tc>
              <w:tc>
                <w:tcPr>
                  <w:tcW w:w="308" w:type="pct"/>
                  <w:vMerge w:val="restar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挥发性有机物</w:t>
                  </w: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1，2，3-三氯丙烷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2"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镉</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25</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氯乙烯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2"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铬(六价)</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26</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铜</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27</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氯苯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3"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铅</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28</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1，2-二氯苯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汞</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29</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1，4-二氯苯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1"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镍</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30</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乙苯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325" w:type="pct"/>
                  <w:vMerge w:val="restar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挥发性有机物</w:t>
                  </w: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四氯化碳</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31</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苯乙烯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氯仿</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32</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甲苯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氯甲烷</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33</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间二甲苯+对二甲苯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1，1-二氯乙烷</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34</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邻二甲苯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8"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1，2-二氯乙烷</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35</w:t>
                  </w:r>
                </w:p>
              </w:tc>
              <w:tc>
                <w:tcPr>
                  <w:tcW w:w="308" w:type="pct"/>
                  <w:vMerge w:val="restar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半挥发性有机物</w:t>
                  </w: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硝基苯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13</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1，1-二氯乙烯</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36</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苯胺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14</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顺-1，2-二氯乙烯</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37</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2-氯酚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反-1，2-二氯乙烯</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38</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苯并[a]蒽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16</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二氯甲烷</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39</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苯并[a]芘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17</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1，2-二氯丙烷</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40</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苯并[b]荧蒽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18</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1，1，1，2-四氯乙烷</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41</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苯并[k]荧蒽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19</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1，1，2，2-四氯乙烷</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42</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四氯乙烯</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43</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二苯并[a,h]蒽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21</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1，1，1-三氯乙烷</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44</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茚并[1,2,3-cd]芘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22</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1，1，2-三氯乙烷</w:t>
                  </w:r>
                </w:p>
              </w:tc>
              <w:tc>
                <w:tcPr>
                  <w:tcW w:w="69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45</w:t>
                  </w:r>
                </w:p>
              </w:tc>
              <w:tc>
                <w:tcPr>
                  <w:tcW w:w="308"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8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23</w:t>
                  </w:r>
                </w:p>
              </w:tc>
              <w:tc>
                <w:tcPr>
                  <w:tcW w:w="325" w:type="pct"/>
                  <w:vMerge w:val="continue"/>
                  <w:noWrap w:val="0"/>
                  <w:vAlign w:val="center"/>
                </w:tcPr>
                <w:p>
                  <w:pPr>
                    <w:widowControl/>
                    <w:spacing w:line="240" w:lineRule="auto"/>
                    <w:jc w:val="left"/>
                    <w:rPr>
                      <w:rFonts w:hint="default" w:ascii="Times New Roman" w:hAnsi="Times New Roman" w:cs="Times New Roman"/>
                      <w:sz w:val="21"/>
                      <w:szCs w:val="21"/>
                    </w:rPr>
                  </w:pPr>
                </w:p>
              </w:tc>
              <w:tc>
                <w:tcPr>
                  <w:tcW w:w="15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三氯乙烯</w:t>
                  </w:r>
                </w:p>
              </w:tc>
              <w:tc>
                <w:tcPr>
                  <w:tcW w:w="690" w:type="pct"/>
                  <w:noWrap w:val="0"/>
                  <w:vAlign w:val="center"/>
                </w:tcPr>
                <w:p>
                  <w:pPr>
                    <w:spacing w:line="240" w:lineRule="auto"/>
                    <w:jc w:val="center"/>
                    <w:rPr>
                      <w:rFonts w:hint="default" w:ascii="Times New Roman" w:hAnsi="Times New Roman" w:cs="Times New Roman"/>
                      <w:sz w:val="21"/>
                      <w:szCs w:val="21"/>
                    </w:rPr>
                  </w:pPr>
                </w:p>
              </w:tc>
              <w:tc>
                <w:tcPr>
                  <w:tcW w:w="308" w:type="pct"/>
                  <w:noWrap w:val="0"/>
                  <w:vAlign w:val="center"/>
                </w:tcPr>
                <w:p>
                  <w:pPr>
                    <w:spacing w:line="240" w:lineRule="auto"/>
                    <w:jc w:val="center"/>
                    <w:rPr>
                      <w:rFonts w:hint="default" w:ascii="Times New Roman" w:hAnsi="Times New Roman" w:cs="Times New Roman"/>
                      <w:sz w:val="21"/>
                      <w:szCs w:val="21"/>
                    </w:rPr>
                  </w:pPr>
                </w:p>
              </w:tc>
              <w:tc>
                <w:tcPr>
                  <w:tcW w:w="1532" w:type="pct"/>
                  <w:noWrap w:val="0"/>
                  <w:vAlign w:val="center"/>
                </w:tcPr>
                <w:p>
                  <w:pPr>
                    <w:spacing w:line="240" w:lineRule="auto"/>
                    <w:jc w:val="center"/>
                    <w:rPr>
                      <w:rFonts w:hint="default" w:ascii="Times New Roman" w:hAnsi="Times New Roman" w:cs="Times New Roman"/>
                      <w:sz w:val="21"/>
                      <w:szCs w:val="21"/>
                    </w:rPr>
                  </w:pPr>
                </w:p>
              </w:tc>
            </w:tr>
            <w:bookmarkEnd w:id="2"/>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⑶监测频次及取样</w:t>
            </w:r>
          </w:p>
          <w:p>
            <w:pPr>
              <w:spacing w:line="360" w:lineRule="auto"/>
              <w:ind w:firstLine="480" w:firstLineChars="200"/>
              <w:rPr>
                <w:rFonts w:hint="default" w:ascii="Times New Roman" w:hAnsi="Times New Roman" w:cs="Times New Roman"/>
                <w:sz w:val="24"/>
                <w:szCs w:val="24"/>
              </w:rPr>
            </w:pPr>
            <w:bookmarkStart w:id="3" w:name="_Hlk57727105"/>
            <w:r>
              <w:rPr>
                <w:rFonts w:hint="default" w:ascii="Times New Roman" w:hAnsi="Times New Roman" w:cs="Times New Roman"/>
                <w:sz w:val="24"/>
                <w:szCs w:val="24"/>
              </w:rPr>
              <w:t>一次采样，应保证采样点土壤未受人为污染或自然因素影响；表层样在0~0.2m取样。</w:t>
            </w:r>
          </w:p>
          <w:bookmarkEnd w:id="3"/>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⑷监测分析方法</w:t>
            </w:r>
          </w:p>
          <w:p>
            <w:pPr>
              <w:spacing w:line="360" w:lineRule="auto"/>
              <w:ind w:firstLine="480" w:firstLineChars="200"/>
              <w:rPr>
                <w:rFonts w:hint="default" w:ascii="Times New Roman" w:hAnsi="Times New Roman" w:cs="Times New Roman"/>
              </w:rPr>
            </w:pPr>
            <w:r>
              <w:rPr>
                <w:rFonts w:hint="default" w:ascii="Times New Roman" w:hAnsi="Times New Roman" w:cs="Times New Roman"/>
                <w:sz w:val="24"/>
                <w:szCs w:val="24"/>
              </w:rPr>
              <w:t>具体监测分析方法详见表3-</w:t>
            </w:r>
            <w:r>
              <w:rPr>
                <w:rFonts w:hint="default" w:ascii="Times New Roman" w:hAnsi="Times New Roman" w:cs="Times New Roman"/>
                <w:sz w:val="24"/>
                <w:szCs w:val="24"/>
                <w:lang w:val="en-US" w:eastAsia="zh-CN"/>
              </w:rPr>
              <w:t>1</w:t>
            </w:r>
            <w:r>
              <w:rPr>
                <w:rFonts w:hint="eastAsia" w:cs="Times New Roman"/>
                <w:sz w:val="24"/>
                <w:szCs w:val="24"/>
                <w:lang w:val="en-US" w:eastAsia="zh-CN"/>
              </w:rPr>
              <w:t>1</w:t>
            </w:r>
            <w:r>
              <w:rPr>
                <w:rFonts w:hint="default" w:ascii="Times New Roman" w:hAnsi="Times New Roman" w:cs="Times New Roman"/>
                <w:sz w:val="24"/>
                <w:szCs w:val="24"/>
              </w:rPr>
              <w:t>。</w:t>
            </w:r>
          </w:p>
          <w:p>
            <w:pPr>
              <w:pStyle w:val="30"/>
              <w:spacing w:line="360" w:lineRule="auto"/>
              <w:rPr>
                <w:rFonts w:hint="default" w:ascii="Times New Roman" w:hAnsi="Times New Roman" w:eastAsia="黑体" w:cs="Times New Roman"/>
                <w:color w:val="000000"/>
                <w:kern w:val="2"/>
                <w:sz w:val="24"/>
                <w:szCs w:val="24"/>
                <w:lang w:val="en-US" w:eastAsia="zh-CN" w:bidi="ar-SA"/>
              </w:rPr>
            </w:pPr>
            <w:r>
              <w:rPr>
                <w:rFonts w:hint="default" w:ascii="Times New Roman" w:hAnsi="Times New Roman" w:eastAsia="黑体" w:cs="Times New Roman"/>
                <w:color w:val="000000"/>
                <w:kern w:val="2"/>
                <w:sz w:val="24"/>
                <w:szCs w:val="24"/>
                <w:lang w:val="en-US" w:eastAsia="zh-CN" w:bidi="ar-SA"/>
              </w:rPr>
              <w:t>表3-1</w:t>
            </w:r>
            <w:r>
              <w:rPr>
                <w:rFonts w:hint="eastAsia" w:ascii="Times New Roman" w:hAnsi="Times New Roman" w:cs="Times New Roman"/>
                <w:color w:val="000000"/>
                <w:kern w:val="2"/>
                <w:sz w:val="24"/>
                <w:szCs w:val="24"/>
                <w:lang w:val="en-US" w:eastAsia="zh-CN" w:bidi="ar-SA"/>
              </w:rPr>
              <w:t>1</w:t>
            </w:r>
            <w:r>
              <w:rPr>
                <w:rFonts w:hint="default" w:ascii="Times New Roman" w:hAnsi="Times New Roman" w:eastAsia="黑体" w:cs="Times New Roman"/>
                <w:color w:val="000000"/>
                <w:kern w:val="2"/>
                <w:sz w:val="24"/>
                <w:szCs w:val="24"/>
                <w:lang w:val="en-US" w:eastAsia="zh-CN" w:bidi="ar-SA"/>
              </w:rPr>
              <w:t xml:space="preserve">    土壤监测项目及分析方法表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0" w:type="dxa"/>
              </w:tblCellMar>
            </w:tblPr>
            <w:tblGrid>
              <w:gridCol w:w="796"/>
              <w:gridCol w:w="1796"/>
              <w:gridCol w:w="970"/>
              <w:gridCol w:w="3078"/>
              <w:gridCol w:w="1215"/>
              <w:gridCol w:w="12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71"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b/>
                      <w:sz w:val="21"/>
                      <w:szCs w:val="21"/>
                      <w:lang w:val="zh-CN"/>
                    </w:rPr>
                  </w:pPr>
                  <w:r>
                    <w:rPr>
                      <w:rFonts w:hint="default" w:ascii="Times New Roman" w:hAnsi="Times New Roman" w:cs="Times New Roman"/>
                      <w:b/>
                      <w:sz w:val="21"/>
                      <w:szCs w:val="21"/>
                      <w:lang w:val="zh-CN"/>
                    </w:rPr>
                    <w:t>序号</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b/>
                      <w:sz w:val="21"/>
                      <w:szCs w:val="21"/>
                      <w:lang w:val="zh-CN"/>
                    </w:rPr>
                  </w:pPr>
                  <w:r>
                    <w:rPr>
                      <w:rFonts w:hint="default" w:ascii="Times New Roman" w:hAnsi="Times New Roman" w:cs="Times New Roman"/>
                      <w:b/>
                      <w:sz w:val="21"/>
                      <w:szCs w:val="21"/>
                      <w:lang w:val="zh-CN"/>
                    </w:rPr>
                    <w:t>项目</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b/>
                      <w:sz w:val="21"/>
                      <w:szCs w:val="21"/>
                      <w:lang w:val="zh-CN"/>
                    </w:rPr>
                  </w:pPr>
                  <w:r>
                    <w:rPr>
                      <w:rFonts w:hint="default" w:ascii="Times New Roman" w:hAnsi="Times New Roman" w:cs="Times New Roman"/>
                      <w:b/>
                      <w:sz w:val="21"/>
                      <w:szCs w:val="21"/>
                      <w:lang w:val="zh-CN"/>
                    </w:rPr>
                    <w:t>单位</w:t>
                  </w:r>
                </w:p>
              </w:tc>
              <w:tc>
                <w:tcPr>
                  <w:tcW w:w="1697" w:type="pct"/>
                  <w:shd w:val="clear" w:color="auto" w:fill="auto"/>
                  <w:noWrap w:val="0"/>
                  <w:vAlign w:val="center"/>
                </w:tcPr>
                <w:p>
                  <w:pPr>
                    <w:spacing w:line="240" w:lineRule="exact"/>
                    <w:contextualSpacing/>
                    <w:jc w:val="center"/>
                    <w:rPr>
                      <w:rFonts w:hint="default" w:ascii="Times New Roman" w:hAnsi="Times New Roman" w:cs="Times New Roman"/>
                      <w:b/>
                      <w:sz w:val="21"/>
                      <w:szCs w:val="21"/>
                      <w:lang w:val="zh-CN"/>
                    </w:rPr>
                  </w:pPr>
                  <w:r>
                    <w:rPr>
                      <w:rFonts w:hint="default" w:ascii="Times New Roman" w:hAnsi="Times New Roman" w:cs="Times New Roman"/>
                      <w:b/>
                      <w:sz w:val="21"/>
                      <w:szCs w:val="21"/>
                      <w:lang w:val="zh-CN"/>
                    </w:rPr>
                    <w:t>分析方法</w:t>
                  </w:r>
                </w:p>
              </w:tc>
              <w:tc>
                <w:tcPr>
                  <w:tcW w:w="670" w:type="pct"/>
                  <w:shd w:val="clear" w:color="auto" w:fill="auto"/>
                  <w:noWrap w:val="0"/>
                  <w:vAlign w:val="center"/>
                </w:tcPr>
                <w:p>
                  <w:pPr>
                    <w:spacing w:line="240" w:lineRule="exact"/>
                    <w:contextualSpacing/>
                    <w:jc w:val="center"/>
                    <w:rPr>
                      <w:rFonts w:hint="default" w:ascii="Times New Roman" w:hAnsi="Times New Roman" w:cs="Times New Roman"/>
                      <w:b/>
                      <w:sz w:val="21"/>
                      <w:szCs w:val="21"/>
                      <w:lang w:val="zh-CN"/>
                    </w:rPr>
                  </w:pPr>
                  <w:r>
                    <w:rPr>
                      <w:rFonts w:hint="default" w:ascii="Times New Roman" w:hAnsi="Times New Roman" w:cs="Times New Roman"/>
                      <w:b/>
                      <w:sz w:val="21"/>
                      <w:szCs w:val="21"/>
                      <w:lang w:val="zh-CN"/>
                    </w:rPr>
                    <w:t>依据标准</w:t>
                  </w:r>
                </w:p>
              </w:tc>
              <w:tc>
                <w:tcPr>
                  <w:tcW w:w="669" w:type="pct"/>
                  <w:noWrap w:val="0"/>
                  <w:vAlign w:val="center"/>
                </w:tcPr>
                <w:p>
                  <w:pPr>
                    <w:spacing w:line="240" w:lineRule="exact"/>
                    <w:contextualSpacing/>
                    <w:jc w:val="center"/>
                    <w:rPr>
                      <w:rFonts w:hint="default" w:ascii="Times New Roman" w:hAnsi="Times New Roman" w:cs="Times New Roman"/>
                      <w:b/>
                      <w:sz w:val="21"/>
                      <w:szCs w:val="21"/>
                      <w:lang w:val="zh-CN"/>
                    </w:rPr>
                  </w:pPr>
                  <w:r>
                    <w:rPr>
                      <w:rFonts w:hint="default" w:ascii="Times New Roman" w:hAnsi="Times New Roman" w:cs="Times New Roman"/>
                      <w:b/>
                      <w:sz w:val="21"/>
                      <w:szCs w:val="21"/>
                      <w:lang w:val="zh-CN"/>
                    </w:rP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砷</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mg/kg</w:t>
                  </w:r>
                </w:p>
              </w:tc>
              <w:tc>
                <w:tcPr>
                  <w:tcW w:w="1697"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《土壤和沉积物 砷的测定微波消解/原子荧光光度法》</w:t>
                  </w:r>
                </w:p>
              </w:tc>
              <w:tc>
                <w:tcPr>
                  <w:tcW w:w="67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HJ680-2013</w:t>
                  </w: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2</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镉</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mg/kg</w:t>
                  </w:r>
                </w:p>
              </w:tc>
              <w:tc>
                <w:tcPr>
                  <w:tcW w:w="1697" w:type="pct"/>
                  <w:vMerge w:val="restar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《土壤质量 铅、镉的测定 石墨炉原子吸收分光光度法》</w:t>
                  </w:r>
                </w:p>
              </w:tc>
              <w:tc>
                <w:tcPr>
                  <w:tcW w:w="670" w:type="pct"/>
                  <w:vMerge w:val="restar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GB/T17141-1997</w:t>
                  </w: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3</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铅</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mg/kg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六价铬</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mg/kg</w:t>
                  </w:r>
                </w:p>
              </w:tc>
              <w:tc>
                <w:tcPr>
                  <w:tcW w:w="1697"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《土壤和沉积物 六价铬的测定碱消解/火焰原子吸收分光光度法》</w:t>
                  </w:r>
                </w:p>
              </w:tc>
              <w:tc>
                <w:tcPr>
                  <w:tcW w:w="67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HJ687-2014</w:t>
                  </w: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5</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铜</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mg/kg</w:t>
                  </w:r>
                </w:p>
              </w:tc>
              <w:tc>
                <w:tcPr>
                  <w:tcW w:w="1697"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《土壤质量 铜的测定 火焰原子吸收分光光度法》</w:t>
                  </w:r>
                </w:p>
              </w:tc>
              <w:tc>
                <w:tcPr>
                  <w:tcW w:w="67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GB/T17138-1997</w:t>
                  </w: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100"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6</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汞</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mg/kg</w:t>
                  </w:r>
                </w:p>
              </w:tc>
              <w:tc>
                <w:tcPr>
                  <w:tcW w:w="1697"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《土壤质量 总汞的测定 原子荧光光度法》</w:t>
                  </w:r>
                </w:p>
              </w:tc>
              <w:tc>
                <w:tcPr>
                  <w:tcW w:w="67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HJ 491-2009</w:t>
                  </w: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7</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镍</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mg/kg</w:t>
                  </w:r>
                </w:p>
              </w:tc>
              <w:tc>
                <w:tcPr>
                  <w:tcW w:w="1697"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《土壤质量 镍的测定 火焰原子吸收分光光度法》</w:t>
                  </w:r>
                </w:p>
              </w:tc>
              <w:tc>
                <w:tcPr>
                  <w:tcW w:w="67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GB/T17139-1997</w:t>
                  </w: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8</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四氯化碳</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restar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吹扫捕集/气相色谱-质谱法</w:t>
                  </w:r>
                </w:p>
              </w:tc>
              <w:tc>
                <w:tcPr>
                  <w:tcW w:w="670" w:type="pct"/>
                  <w:vMerge w:val="restar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HJ605-2011</w:t>
                  </w: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102"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9</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氯仿</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10</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氯甲烷</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82"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11</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1,1-二氯乙烷</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87"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12</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1,2-二氯乙烷</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76"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13</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1,1-二氯乙烯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81"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14</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顺-1,2-二氯乙烯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84"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15</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反-1,2-二氯乙烯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7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16</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二氯甲烷</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17</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1,2-二氯丙烷</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18</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1,1,1,2-四氯乙烷</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19</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1,1,2,2-四氯乙烷</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204"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20</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四氯乙烯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21</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1,1,1-三氯乙烷</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22</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1,1,2-三氯乙烷</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23</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三氯乙烯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24</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1,2,3-三氯丙烷</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182"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25</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氯乙烯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172"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26</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27</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氯苯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166"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28</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1,2-二氯苯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29</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1,4-二氯苯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146"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30</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乙苯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31</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苯乙烯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32</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甲苯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33</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间+对二甲苯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34</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邻二甲苯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152"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35</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硝基苯</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restar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气相色谱-质谱法</w:t>
                  </w:r>
                </w:p>
              </w:tc>
              <w:tc>
                <w:tcPr>
                  <w:tcW w:w="670" w:type="pct"/>
                  <w:vMerge w:val="restar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HJ 834-2017</w:t>
                  </w: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36</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苯胺</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132"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37</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2,-氯酚</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38</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苯并[α]蒽</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39</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苯并[α]芘</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40</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苯并[b]荧蒽</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41</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苯并[k]荧蒽</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42</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䓛</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43</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二苯并[a,h]蒽</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106"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44</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茚并[1,2,3-cd]芘</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μg/kg</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65" w:hRule="atLeast"/>
                <w:jc w:val="center"/>
              </w:trPr>
              <w:tc>
                <w:tcPr>
                  <w:tcW w:w="439"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45</w:t>
                  </w:r>
                </w:p>
              </w:tc>
              <w:tc>
                <w:tcPr>
                  <w:tcW w:w="990"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萘</w:t>
                  </w:r>
                </w:p>
              </w:tc>
              <w:tc>
                <w:tcPr>
                  <w:tcW w:w="535" w:type="pct"/>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 xml:space="preserve">μg/kg </w:t>
                  </w:r>
                </w:p>
              </w:tc>
              <w:tc>
                <w:tcPr>
                  <w:tcW w:w="1697"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70" w:type="pct"/>
                  <w:vMerge w:val="continue"/>
                  <w:shd w:val="clear" w:color="auto" w:fill="auto"/>
                  <w:noWrap w:val="0"/>
                  <w:vAlign w:val="center"/>
                </w:tcPr>
                <w:p>
                  <w:pPr>
                    <w:spacing w:line="240" w:lineRule="exact"/>
                    <w:contextualSpacing/>
                    <w:jc w:val="center"/>
                    <w:rPr>
                      <w:rFonts w:hint="default" w:ascii="Times New Roman" w:hAnsi="Times New Roman" w:cs="Times New Roman"/>
                      <w:sz w:val="21"/>
                      <w:szCs w:val="21"/>
                      <w:lang w:val="zh-CN"/>
                    </w:rPr>
                  </w:pPr>
                </w:p>
              </w:tc>
              <w:tc>
                <w:tcPr>
                  <w:tcW w:w="669" w:type="pct"/>
                  <w:noWrap w:val="0"/>
                  <w:vAlign w:val="center"/>
                </w:tcPr>
                <w:p>
                  <w:pPr>
                    <w:spacing w:line="240" w:lineRule="exact"/>
                    <w:contextualSpacing/>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0.3</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⑸评价标准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项目位于</w:t>
            </w:r>
            <w:r>
              <w:rPr>
                <w:rFonts w:hint="eastAsia" w:ascii="Times New Roman" w:hAnsi="Times New Roman" w:cs="Times New Roman"/>
                <w:sz w:val="24"/>
                <w:szCs w:val="24"/>
                <w:lang w:eastAsia="zh-CN"/>
              </w:rPr>
              <w:t>红寺堡区</w:t>
            </w:r>
            <w:r>
              <w:rPr>
                <w:rFonts w:hint="default" w:ascii="Times New Roman" w:hAnsi="Times New Roman" w:cs="Times New Roman"/>
                <w:sz w:val="24"/>
                <w:szCs w:val="24"/>
              </w:rPr>
              <w:t>，</w:t>
            </w:r>
            <w:r>
              <w:rPr>
                <w:rFonts w:hint="eastAsia"/>
                <w:sz w:val="24"/>
                <w:highlight w:val="none"/>
                <w:lang w:val="en-US" w:eastAsia="zh-CN"/>
              </w:rPr>
              <w:t>煤炭治理区土地类型主要为其他草地和采矿用地</w:t>
            </w:r>
            <w:r>
              <w:rPr>
                <w:rFonts w:hint="default" w:ascii="Times New Roman" w:hAnsi="Times New Roman" w:cs="Times New Roman"/>
                <w:sz w:val="24"/>
                <w:szCs w:val="24"/>
              </w:rPr>
              <w:t>，</w:t>
            </w:r>
            <w:bookmarkStart w:id="4" w:name="_Hlk15667050"/>
            <w:r>
              <w:rPr>
                <w:rFonts w:hint="default" w:ascii="Times New Roman" w:hAnsi="Times New Roman" w:cs="Times New Roman"/>
                <w:sz w:val="24"/>
                <w:szCs w:val="24"/>
              </w:rPr>
              <w:t>土壤环境质量评价执行《土壤环境质量 建设用地土壤污染风险管控标准(试行)》(GB36600-2018)中第二类用地筛选值标准</w:t>
            </w:r>
            <w:bookmarkEnd w:id="4"/>
            <w:r>
              <w:rPr>
                <w:rFonts w:hint="default" w:ascii="Times New Roman" w:hAnsi="Times New Roman" w:cs="Times New Roman"/>
                <w:sz w:val="24"/>
                <w:szCs w:val="24"/>
              </w:rPr>
              <w:t>；</w:t>
            </w:r>
            <w:r>
              <w:rPr>
                <w:rFonts w:hint="eastAsia" w:cs="Times New Roman"/>
                <w:sz w:val="24"/>
                <w:highlight w:val="none"/>
                <w:lang w:val="en-US" w:eastAsia="zh-CN"/>
              </w:rPr>
              <w:t>建筑用砂治理区土地类型主要为为旱地、其他草地、交通运输用地和裸地</w:t>
            </w:r>
            <w:r>
              <w:rPr>
                <w:rFonts w:hint="default" w:ascii="Times New Roman" w:hAnsi="Times New Roman" w:cs="Times New Roman"/>
                <w:sz w:val="24"/>
                <w:szCs w:val="24"/>
              </w:rPr>
              <w:t>等，土壤环境质量评价执行《土壤环境质量 农用地土壤污染风险管控标准(试行)》(GB15618-2018)中风险筛选值标准。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⑹评价方法</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土壤环境质量现状评价方法采用标准指数法，公式如下：</w:t>
            </w:r>
          </w:p>
          <w:p>
            <w:pPr>
              <w:spacing w:line="360" w:lineRule="auto"/>
              <w:ind w:firstLine="48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723900" cy="247650"/>
                  <wp:effectExtent l="0" t="0" r="0" b="0"/>
                  <wp:docPr id="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true"/>
                          </pic:cNvPicPr>
                        </pic:nvPicPr>
                        <pic:blipFill>
                          <a:blip r:embed="rId17"/>
                          <a:stretch>
                            <a:fillRect/>
                          </a:stretch>
                        </pic:blipFill>
                        <pic:spPr>
                          <a:xfrm>
                            <a:off x="0" y="0"/>
                            <a:ext cx="723900" cy="247650"/>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式中：Pi-单项指数；</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      Ci-评价因子的实测平均浓度(mg/kg)；</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      Si-相应评价因子的标准(mg/kg)。</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当单项污染指数Pi＞1时，说明该项目已超过规定标准，Pi越大说明污染越重；反之，则说明满足标准要求。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⑺监测结果统计分析</w:t>
            </w:r>
          </w:p>
          <w:p>
            <w:pPr>
              <w:spacing w:line="360" w:lineRule="auto"/>
              <w:ind w:firstLine="480" w:firstLineChars="200"/>
              <w:rPr>
                <w:rFonts w:hint="default" w:ascii="Times New Roman" w:hAnsi="Times New Roman" w:cs="Times New Roman"/>
                <w:sz w:val="24"/>
                <w:szCs w:val="24"/>
              </w:rPr>
            </w:pPr>
            <w:bookmarkStart w:id="5" w:name="_Hlk14995850"/>
            <w:r>
              <w:rPr>
                <w:rFonts w:hint="default" w:ascii="Times New Roman" w:hAnsi="Times New Roman" w:cs="Times New Roman"/>
                <w:sz w:val="24"/>
                <w:szCs w:val="24"/>
              </w:rPr>
              <w:t>土壤环境质量现状监测结果</w:t>
            </w:r>
            <w:bookmarkEnd w:id="5"/>
            <w:r>
              <w:rPr>
                <w:rFonts w:hint="default" w:ascii="Times New Roman" w:hAnsi="Times New Roman" w:cs="Times New Roman"/>
                <w:sz w:val="24"/>
                <w:szCs w:val="24"/>
              </w:rPr>
              <w:t>见表3-</w:t>
            </w:r>
            <w:r>
              <w:rPr>
                <w:rFonts w:hint="default" w:ascii="Times New Roman" w:hAnsi="Times New Roman" w:cs="Times New Roman"/>
                <w:sz w:val="24"/>
                <w:szCs w:val="24"/>
                <w:lang w:val="en-US" w:eastAsia="zh-CN"/>
              </w:rPr>
              <w:t>1</w:t>
            </w:r>
            <w:r>
              <w:rPr>
                <w:rFonts w:hint="eastAsia" w:cs="Times New Roman"/>
                <w:sz w:val="24"/>
                <w:szCs w:val="24"/>
                <w:lang w:val="en-US" w:eastAsia="zh-CN"/>
              </w:rPr>
              <w:t>2</w:t>
            </w:r>
            <w:r>
              <w:rPr>
                <w:rFonts w:hint="default" w:ascii="Times New Roman" w:hAnsi="Times New Roman" w:cs="Times New Roman"/>
                <w:sz w:val="24"/>
                <w:szCs w:val="24"/>
              </w:rPr>
              <w:t>和表3-</w:t>
            </w:r>
            <w:r>
              <w:rPr>
                <w:rFonts w:hint="default" w:ascii="Times New Roman" w:hAnsi="Times New Roman" w:cs="Times New Roman"/>
                <w:sz w:val="24"/>
                <w:szCs w:val="24"/>
                <w:lang w:val="en-US" w:eastAsia="zh-CN"/>
              </w:rPr>
              <w:t>1</w:t>
            </w:r>
            <w:r>
              <w:rPr>
                <w:rFonts w:hint="eastAsia" w:cs="Times New Roman"/>
                <w:sz w:val="24"/>
                <w:szCs w:val="24"/>
                <w:lang w:val="en-US" w:eastAsia="zh-CN"/>
              </w:rPr>
              <w:t>3</w:t>
            </w:r>
            <w:r>
              <w:rPr>
                <w:rFonts w:hint="default" w:ascii="Times New Roman" w:hAnsi="Times New Roman" w:cs="Times New Roman"/>
                <w:sz w:val="24"/>
                <w:szCs w:val="24"/>
              </w:rPr>
              <w:t>。</w:t>
            </w:r>
          </w:p>
          <w:p>
            <w:pPr>
              <w:pStyle w:val="30"/>
              <w:spacing w:line="360" w:lineRule="auto"/>
              <w:rPr>
                <w:rFonts w:hint="eastAsia" w:ascii="Times New Roman" w:hAnsi="Times New Roman" w:eastAsia="黑体" w:cs="Times New Roman"/>
                <w:color w:val="000000"/>
                <w:kern w:val="2"/>
                <w:sz w:val="24"/>
                <w:szCs w:val="24"/>
                <w:lang w:val="en-US" w:eastAsia="zh-CN" w:bidi="ar-SA"/>
              </w:rPr>
            </w:pPr>
            <w:r>
              <w:rPr>
                <w:rFonts w:hint="default" w:ascii="Times New Roman" w:hAnsi="Times New Roman" w:eastAsia="黑体" w:cs="Times New Roman"/>
                <w:color w:val="000000"/>
                <w:kern w:val="2"/>
                <w:sz w:val="24"/>
                <w:szCs w:val="24"/>
                <w:lang w:val="en-US" w:eastAsia="zh-CN" w:bidi="ar-SA"/>
              </w:rPr>
              <w:t>表3-1</w:t>
            </w:r>
            <w:r>
              <w:rPr>
                <w:rFonts w:hint="eastAsia" w:ascii="Times New Roman" w:hAnsi="Times New Roman" w:cs="Times New Roman"/>
                <w:color w:val="000000"/>
                <w:kern w:val="2"/>
                <w:sz w:val="24"/>
                <w:szCs w:val="24"/>
                <w:lang w:val="en-US" w:eastAsia="zh-CN" w:bidi="ar-SA"/>
              </w:rPr>
              <w:t>2</w:t>
            </w:r>
            <w:r>
              <w:rPr>
                <w:rFonts w:hint="default" w:ascii="Times New Roman" w:hAnsi="Times New Roman" w:eastAsia="黑体" w:cs="Times New Roman"/>
                <w:color w:val="000000"/>
                <w:kern w:val="2"/>
                <w:sz w:val="24"/>
                <w:szCs w:val="24"/>
                <w:lang w:val="en-US" w:eastAsia="zh-CN" w:bidi="ar-SA"/>
              </w:rPr>
              <w:t xml:space="preserve">    土壤环境质量现状监测结果</w:t>
            </w:r>
            <w:r>
              <w:rPr>
                <w:rFonts w:hint="eastAsia" w:ascii="Times New Roman" w:hAnsi="Times New Roman" w:cs="Times New Roman"/>
                <w:color w:val="000000"/>
                <w:kern w:val="2"/>
                <w:sz w:val="24"/>
                <w:szCs w:val="24"/>
                <w:lang w:val="en-US" w:eastAsia="zh-CN" w:bidi="ar-SA"/>
              </w:rPr>
              <w:t xml:space="preserve">统计分析表    </w:t>
            </w:r>
            <w:r>
              <w:rPr>
                <w:rFonts w:hint="eastAsia" w:ascii="Times New Roman" w:hAnsi="Times New Roman" w:cs="Times New Roman"/>
                <w:b w:val="0"/>
                <w:bCs w:val="0"/>
                <w:color w:val="000000"/>
                <w:sz w:val="24"/>
                <w:szCs w:val="24"/>
              </w:rPr>
              <w:t xml:space="preserve"> 单位：mg/kg </w:t>
            </w:r>
          </w:p>
          <w:tbl>
            <w:tblPr>
              <w:tblStyle w:val="19"/>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50"/>
              <w:gridCol w:w="1772"/>
              <w:gridCol w:w="1923"/>
              <w:gridCol w:w="1470"/>
              <w:gridCol w:w="14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7" w:hRule="atLeast"/>
              </w:trPr>
              <w:tc>
                <w:tcPr>
                  <w:tcW w:w="1351" w:type="pct"/>
                  <w:vMerge w:val="restart"/>
                  <w:shd w:val="clear" w:color="auto" w:fill="auto"/>
                  <w:noWrap w:val="0"/>
                  <w:vAlign w:val="center"/>
                </w:tcPr>
                <w:p>
                  <w:pPr>
                    <w:widowControl/>
                    <w:spacing w:line="240" w:lineRule="auto"/>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监测项目</w:t>
                  </w:r>
                </w:p>
              </w:tc>
              <w:tc>
                <w:tcPr>
                  <w:tcW w:w="2038" w:type="pct"/>
                  <w:gridSpan w:val="2"/>
                  <w:shd w:val="clear" w:color="auto" w:fill="auto"/>
                  <w:noWrap w:val="0"/>
                  <w:vAlign w:val="center"/>
                </w:tcPr>
                <w:p>
                  <w:pPr>
                    <w:widowControl/>
                    <w:spacing w:line="240" w:lineRule="auto"/>
                    <w:jc w:val="center"/>
                    <w:rPr>
                      <w:rFonts w:hint="default" w:ascii="Times New Roman" w:hAnsi="Times New Roman" w:cs="Times New Roman"/>
                      <w:b/>
                      <w:bCs/>
                      <w:kern w:val="0"/>
                      <w:sz w:val="21"/>
                      <w:szCs w:val="21"/>
                    </w:rPr>
                  </w:pPr>
                  <w:r>
                    <w:rPr>
                      <w:rFonts w:hint="eastAsia" w:cs="Times New Roman"/>
                      <w:b/>
                      <w:bCs/>
                      <w:kern w:val="0"/>
                      <w:sz w:val="21"/>
                      <w:szCs w:val="21"/>
                      <w:lang w:val="en-US" w:eastAsia="zh-CN"/>
                    </w:rPr>
                    <w:t>检测结果</w:t>
                  </w:r>
                </w:p>
              </w:tc>
              <w:tc>
                <w:tcPr>
                  <w:tcW w:w="1610" w:type="pct"/>
                  <w:gridSpan w:val="2"/>
                  <w:shd w:val="clear" w:color="auto" w:fill="auto"/>
                  <w:noWrap w:val="0"/>
                  <w:vAlign w:val="center"/>
                </w:tcPr>
                <w:p>
                  <w:pPr>
                    <w:widowControl/>
                    <w:spacing w:line="240" w:lineRule="auto"/>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1351" w:type="pct"/>
                  <w:vMerge w:val="continue"/>
                  <w:shd w:val="clear" w:color="auto" w:fill="auto"/>
                  <w:noWrap w:val="0"/>
                  <w:vAlign w:val="center"/>
                </w:tcPr>
                <w:p>
                  <w:pPr>
                    <w:widowControl/>
                    <w:spacing w:line="240" w:lineRule="auto"/>
                    <w:jc w:val="center"/>
                    <w:rPr>
                      <w:rFonts w:hint="default" w:ascii="Times New Roman" w:hAnsi="Times New Roman" w:cs="Times New Roman"/>
                      <w:b/>
                      <w:bCs/>
                      <w:kern w:val="0"/>
                      <w:sz w:val="21"/>
                      <w:szCs w:val="21"/>
                    </w:rPr>
                  </w:pPr>
                </w:p>
              </w:tc>
              <w:tc>
                <w:tcPr>
                  <w:tcW w:w="977" w:type="pct"/>
                  <w:shd w:val="clear" w:color="auto" w:fill="auto"/>
                  <w:noWrap w:val="0"/>
                  <w:vAlign w:val="center"/>
                </w:tcPr>
                <w:p>
                  <w:pPr>
                    <w:widowControl/>
                    <w:spacing w:line="240" w:lineRule="auto"/>
                    <w:jc w:val="center"/>
                    <w:rPr>
                      <w:rFonts w:hint="default" w:ascii="Times New Roman" w:hAnsi="Times New Roman" w:cs="Times New Roman"/>
                      <w:b/>
                      <w:bCs/>
                      <w:kern w:val="0"/>
                      <w:sz w:val="21"/>
                      <w:szCs w:val="21"/>
                    </w:rPr>
                  </w:pPr>
                  <w:r>
                    <w:rPr>
                      <w:rFonts w:hint="eastAsia" w:ascii="Times New Roman" w:hAnsi="Times New Roman" w:cs="Times New Roman"/>
                      <w:b/>
                      <w:bCs/>
                      <w:kern w:val="0"/>
                      <w:sz w:val="21"/>
                      <w:szCs w:val="21"/>
                      <w:lang w:val="en-US" w:eastAsia="zh-CN"/>
                    </w:rPr>
                    <w:t>B</w:t>
                  </w:r>
                  <w:r>
                    <w:rPr>
                      <w:rFonts w:hint="eastAsia" w:cs="Times New Roman"/>
                      <w:b/>
                      <w:bCs/>
                      <w:kern w:val="0"/>
                      <w:sz w:val="21"/>
                      <w:szCs w:val="21"/>
                      <w:lang w:val="en-US" w:eastAsia="zh-CN"/>
                    </w:rPr>
                    <w:t>2</w:t>
                  </w:r>
                </w:p>
              </w:tc>
              <w:tc>
                <w:tcPr>
                  <w:tcW w:w="1060" w:type="pct"/>
                  <w:shd w:val="clear" w:color="auto" w:fill="auto"/>
                  <w:noWrap w:val="0"/>
                  <w:vAlign w:val="center"/>
                </w:tcPr>
                <w:p>
                  <w:pPr>
                    <w:widowControl/>
                    <w:spacing w:line="240" w:lineRule="auto"/>
                    <w:jc w:val="center"/>
                    <w:rPr>
                      <w:rFonts w:hint="default" w:ascii="Times New Roman" w:hAnsi="Times New Roman" w:cs="Times New Roman"/>
                      <w:b/>
                      <w:bCs/>
                      <w:kern w:val="0"/>
                      <w:sz w:val="21"/>
                      <w:szCs w:val="21"/>
                    </w:rPr>
                  </w:pPr>
                  <w:r>
                    <w:rPr>
                      <w:rFonts w:hint="eastAsia" w:ascii="Times New Roman" w:hAnsi="Times New Roman" w:cs="Times New Roman"/>
                      <w:b/>
                      <w:bCs/>
                      <w:kern w:val="0"/>
                      <w:sz w:val="21"/>
                      <w:szCs w:val="21"/>
                      <w:lang w:val="en-US" w:eastAsia="zh-CN"/>
                    </w:rPr>
                    <w:t>B</w:t>
                  </w:r>
                  <w:r>
                    <w:rPr>
                      <w:rFonts w:hint="eastAsia" w:cs="Times New Roman"/>
                      <w:b/>
                      <w:bCs/>
                      <w:kern w:val="0"/>
                      <w:sz w:val="21"/>
                      <w:szCs w:val="21"/>
                      <w:lang w:val="en-US" w:eastAsia="zh-CN"/>
                    </w:rPr>
                    <w:t>5</w:t>
                  </w:r>
                </w:p>
              </w:tc>
              <w:tc>
                <w:tcPr>
                  <w:tcW w:w="810" w:type="pct"/>
                  <w:vMerge w:val="restart"/>
                  <w:shd w:val="clear" w:color="auto" w:fill="auto"/>
                  <w:noWrap w:val="0"/>
                  <w:vAlign w:val="center"/>
                </w:tcPr>
                <w:p>
                  <w:pPr>
                    <w:widowControl/>
                    <w:spacing w:line="240" w:lineRule="auto"/>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第二类用地-筛选值</w:t>
                  </w:r>
                </w:p>
              </w:tc>
              <w:tc>
                <w:tcPr>
                  <w:tcW w:w="799" w:type="pct"/>
                  <w:vMerge w:val="restart"/>
                  <w:shd w:val="clear" w:color="auto" w:fill="auto"/>
                  <w:noWrap w:val="0"/>
                  <w:vAlign w:val="center"/>
                </w:tcPr>
                <w:p>
                  <w:pPr>
                    <w:widowControl/>
                    <w:spacing w:line="240" w:lineRule="auto"/>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风险筛选值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1351" w:type="pct"/>
                  <w:vMerge w:val="continue"/>
                  <w:shd w:val="clear" w:color="auto" w:fill="auto"/>
                  <w:noWrap w:val="0"/>
                  <w:vAlign w:val="center"/>
                </w:tcPr>
                <w:p>
                  <w:pPr>
                    <w:widowControl/>
                    <w:spacing w:line="240" w:lineRule="auto"/>
                    <w:jc w:val="center"/>
                  </w:pPr>
                </w:p>
              </w:tc>
              <w:tc>
                <w:tcPr>
                  <w:tcW w:w="977" w:type="pct"/>
                  <w:shd w:val="clear" w:color="auto" w:fill="auto"/>
                  <w:noWrap w:val="0"/>
                  <w:vAlign w:val="center"/>
                </w:tcPr>
                <w:p>
                  <w:pPr>
                    <w:widowControl/>
                    <w:spacing w:line="240" w:lineRule="auto"/>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0~20cm</w:t>
                  </w:r>
                </w:p>
              </w:tc>
              <w:tc>
                <w:tcPr>
                  <w:tcW w:w="1060" w:type="pct"/>
                  <w:shd w:val="clear" w:color="auto" w:fill="auto"/>
                  <w:noWrap w:val="0"/>
                  <w:vAlign w:val="center"/>
                </w:tcPr>
                <w:p>
                  <w:pPr>
                    <w:widowControl/>
                    <w:spacing w:line="240" w:lineRule="auto"/>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0~20cm</w:t>
                  </w:r>
                </w:p>
              </w:tc>
              <w:tc>
                <w:tcPr>
                  <w:tcW w:w="810" w:type="pct"/>
                  <w:vMerge w:val="continue"/>
                  <w:shd w:val="clear" w:color="auto" w:fill="auto"/>
                  <w:noWrap w:val="0"/>
                  <w:vAlign w:val="center"/>
                </w:tcPr>
                <w:p>
                  <w:pPr>
                    <w:widowControl/>
                    <w:spacing w:line="240" w:lineRule="auto"/>
                    <w:jc w:val="center"/>
                    <w:rPr>
                      <w:rFonts w:hint="default" w:ascii="Times New Roman" w:hAnsi="Times New Roman" w:cs="Times New Roman"/>
                      <w:b/>
                      <w:bCs/>
                      <w:kern w:val="0"/>
                      <w:sz w:val="21"/>
                      <w:szCs w:val="21"/>
                    </w:rPr>
                  </w:pPr>
                </w:p>
              </w:tc>
              <w:tc>
                <w:tcPr>
                  <w:tcW w:w="799" w:type="pct"/>
                  <w:vMerge w:val="continue"/>
                  <w:shd w:val="clear" w:color="auto" w:fill="auto"/>
                  <w:noWrap w:val="0"/>
                  <w:vAlign w:val="center"/>
                </w:tcPr>
                <w:p>
                  <w:pPr>
                    <w:widowControl/>
                    <w:spacing w:line="240" w:lineRule="auto"/>
                    <w:jc w:val="center"/>
                    <w:rPr>
                      <w:rFonts w:hint="default" w:ascii="Times New Roman" w:hAnsi="Times New Roman" w:cs="Times New Roman"/>
                      <w:b/>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color w:val="000000"/>
                      <w:szCs w:val="21"/>
                    </w:rPr>
                    <w:t>pH值</w:t>
                  </w:r>
                  <w:r>
                    <w:rPr>
                      <w:rFonts w:hint="eastAsia"/>
                      <w:color w:val="000000"/>
                      <w:szCs w:val="21"/>
                      <w:lang w:eastAsia="zh-CN"/>
                    </w:rPr>
                    <w:t>（无量纲）</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7.78</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7.74</w:t>
                  </w:r>
                </w:p>
              </w:tc>
              <w:tc>
                <w:tcPr>
                  <w:tcW w:w="810" w:type="pct"/>
                  <w:shd w:val="clear" w:color="auto" w:fill="auto"/>
                  <w:noWrap w:val="0"/>
                  <w:vAlign w:val="center"/>
                </w:tcPr>
                <w:p>
                  <w:pPr>
                    <w:widowControl/>
                    <w:spacing w:line="240" w:lineRule="auto"/>
                    <w:jc w:val="center"/>
                    <w:rPr>
                      <w:rFonts w:hint="eastAsia" w:ascii="Times New Roman" w:hAnsi="Times New Roman" w:eastAsia="宋体" w:cs="Times New Roman"/>
                      <w:kern w:val="0"/>
                      <w:sz w:val="21"/>
                      <w:szCs w:val="21"/>
                      <w:highlight w:val="yellow"/>
                      <w:lang w:eastAsia="zh-CN"/>
                    </w:rPr>
                  </w:pPr>
                  <w:r>
                    <w:rPr>
                      <w:rFonts w:hint="eastAsia" w:cs="Times New Roman"/>
                      <w:kern w:val="0"/>
                      <w:sz w:val="21"/>
                      <w:szCs w:val="21"/>
                      <w:highlight w:val="none"/>
                      <w:lang w:val="en-US" w:eastAsia="zh-CN"/>
                    </w:rPr>
                    <w:t>/</w:t>
                  </w:r>
                </w:p>
              </w:tc>
              <w:tc>
                <w:tcPr>
                  <w:tcW w:w="799" w:type="pct"/>
                  <w:shd w:val="clear" w:color="auto" w:fill="auto"/>
                  <w:noWrap w:val="0"/>
                  <w:vAlign w:val="center"/>
                </w:tcPr>
                <w:p>
                  <w:pPr>
                    <w:widowControl/>
                    <w:spacing w:line="240" w:lineRule="auto"/>
                    <w:jc w:val="center"/>
                    <w:rPr>
                      <w:rFonts w:hint="default" w:ascii="Times New Roman" w:hAnsi="Times New Roman" w:eastAsia="宋体" w:cs="Times New Roman"/>
                      <w:kern w:val="0"/>
                      <w:sz w:val="21"/>
                      <w:szCs w:val="21"/>
                      <w:highlight w:val="yellow"/>
                      <w:lang w:val="en-US" w:eastAsia="zh-CN"/>
                    </w:rPr>
                  </w:pPr>
                  <w:r>
                    <w:rPr>
                      <w:rFonts w:hint="eastAsia" w:cs="Times New Roman"/>
                      <w:kern w:val="0"/>
                      <w:sz w:val="21"/>
                      <w:szCs w:val="21"/>
                      <w:highlight w:val="none"/>
                      <w:lang w:val="en-US" w:eastAsia="zh-CN"/>
                    </w:rPr>
                    <w:t>&gt;7.5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2"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四氯化碳</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sz w:val="21"/>
                      <w:szCs w:val="21"/>
                      <w:lang w:val="en-US" w:eastAsia="zh-CN"/>
                    </w:rPr>
                    <w:t>0.00065</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 w:val="21"/>
                      <w:szCs w:val="21"/>
                      <w:lang w:val="en-US" w:eastAsia="zh-CN"/>
                    </w:rPr>
                    <w:t>0.0060</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2.8</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氯仿</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sz w:val="21"/>
                      <w:szCs w:val="21"/>
                      <w:lang w:val="en-US" w:eastAsia="zh-CN"/>
                    </w:rPr>
                    <w:t>0.00055</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 w:val="21"/>
                      <w:szCs w:val="21"/>
                      <w:lang w:val="en-US" w:eastAsia="zh-CN"/>
                    </w:rPr>
                    <w:t>0.0199</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0.9</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szCs w:val="21"/>
                    </w:rPr>
                    <w:t>1</w:t>
                  </w:r>
                  <w:r>
                    <w:rPr>
                      <w:rFonts w:hint="eastAsia"/>
                      <w:szCs w:val="21"/>
                    </w:rPr>
                    <w:t>，</w:t>
                  </w:r>
                  <w:r>
                    <w:rPr>
                      <w:szCs w:val="21"/>
                    </w:rPr>
                    <w:t>1-</w:t>
                  </w:r>
                  <w:r>
                    <w:rPr>
                      <w:rFonts w:hint="eastAsia"/>
                      <w:szCs w:val="21"/>
                    </w:rPr>
                    <w:t>二氯乙烷</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rPr>
                  </w:pPr>
                  <w:r>
                    <w:rPr>
                      <w:color w:val="auto"/>
                      <w:sz w:val="21"/>
                      <w:szCs w:val="21"/>
                    </w:rPr>
                    <w:t>0.0017</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color w:val="auto"/>
                      <w:sz w:val="21"/>
                      <w:szCs w:val="21"/>
                    </w:rPr>
                    <w:t>0.0087</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9</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szCs w:val="21"/>
                    </w:rPr>
                    <w:t>1</w:t>
                  </w:r>
                  <w:r>
                    <w:rPr>
                      <w:rFonts w:hint="eastAsia"/>
                      <w:szCs w:val="21"/>
                    </w:rPr>
                    <w:t>，</w:t>
                  </w:r>
                  <w:r>
                    <w:rPr>
                      <w:szCs w:val="21"/>
                    </w:rPr>
                    <w:t>2-</w:t>
                  </w:r>
                  <w:r>
                    <w:rPr>
                      <w:rFonts w:hint="eastAsia"/>
                      <w:szCs w:val="21"/>
                    </w:rPr>
                    <w:t>二氯乙烷</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0.00075</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0.00075</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5</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二氯甲烷</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rPr>
                  </w:pPr>
                  <w:r>
                    <w:rPr>
                      <w:color w:val="auto"/>
                      <w:sz w:val="21"/>
                      <w:szCs w:val="21"/>
                    </w:rPr>
                    <w:t>0.0045</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color w:val="auto"/>
                      <w:sz w:val="21"/>
                      <w:szCs w:val="21"/>
                    </w:rPr>
                    <w:t>0.0043</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616</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氯苯</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0.0006</w:t>
                  </w:r>
                </w:p>
              </w:tc>
              <w:tc>
                <w:tcPr>
                  <w:tcW w:w="1923"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0.0006</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270</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9" w:hRule="atLeast"/>
              </w:trPr>
              <w:tc>
                <w:tcPr>
                  <w:tcW w:w="1351" w:type="pct"/>
                  <w:shd w:val="clear" w:color="auto" w:fill="auto"/>
                  <w:noWrap w:val="0"/>
                  <w:vAlign w:val="center"/>
                </w:tcPr>
                <w:p>
                  <w:pPr>
                    <w:widowControl/>
                    <w:jc w:val="center"/>
                    <w:textAlignment w:val="bottom"/>
                    <w:rPr>
                      <w:rFonts w:hint="default" w:ascii="Times New Roman" w:hAnsi="Times New Roman" w:cs="Times New Roman"/>
                      <w:kern w:val="0"/>
                      <w:sz w:val="21"/>
                      <w:szCs w:val="21"/>
                      <w:highlight w:val="yellow"/>
                    </w:rPr>
                  </w:pPr>
                  <w:r>
                    <w:rPr>
                      <w:rFonts w:eastAsiaTheme="majorEastAsia"/>
                      <w:color w:val="000000"/>
                      <w:kern w:val="0"/>
                      <w:szCs w:val="21"/>
                      <w:lang w:bidi="ar"/>
                    </w:rPr>
                    <w:t>4-氯苯胺</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0.09</w:t>
                  </w:r>
                </w:p>
              </w:tc>
              <w:tc>
                <w:tcPr>
                  <w:tcW w:w="1923"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0.09</w:t>
                  </w:r>
                </w:p>
              </w:tc>
              <w:tc>
                <w:tcPr>
                  <w:tcW w:w="147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widowControl/>
                    <w:jc w:val="center"/>
                    <w:textAlignment w:val="bottom"/>
                    <w:rPr>
                      <w:rFonts w:hint="default" w:ascii="Times New Roman" w:hAnsi="Times New Roman" w:cs="Times New Roman"/>
                      <w:kern w:val="0"/>
                      <w:sz w:val="21"/>
                      <w:szCs w:val="21"/>
                      <w:highlight w:val="yellow"/>
                    </w:rPr>
                  </w:pPr>
                  <w:r>
                    <w:rPr>
                      <w:rFonts w:eastAsiaTheme="majorEastAsia"/>
                      <w:color w:val="000000"/>
                      <w:kern w:val="0"/>
                      <w:szCs w:val="21"/>
                      <w:lang w:bidi="ar"/>
                    </w:rPr>
                    <w:t>2-硝基苯胺</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0.08</w:t>
                  </w:r>
                </w:p>
              </w:tc>
              <w:tc>
                <w:tcPr>
                  <w:tcW w:w="1923"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0.08</w:t>
                  </w:r>
                </w:p>
              </w:tc>
              <w:tc>
                <w:tcPr>
                  <w:tcW w:w="147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widowControl/>
                    <w:jc w:val="center"/>
                    <w:textAlignment w:val="bottom"/>
                    <w:rPr>
                      <w:rFonts w:hint="default" w:ascii="Times New Roman" w:hAnsi="Times New Roman" w:cs="Times New Roman"/>
                      <w:kern w:val="0"/>
                      <w:sz w:val="21"/>
                      <w:szCs w:val="21"/>
                      <w:highlight w:val="yellow"/>
                    </w:rPr>
                  </w:pPr>
                  <w:r>
                    <w:rPr>
                      <w:rFonts w:eastAsiaTheme="majorEastAsia"/>
                      <w:color w:val="000000"/>
                      <w:kern w:val="0"/>
                      <w:szCs w:val="21"/>
                      <w:lang w:bidi="ar"/>
                    </w:rPr>
                    <w:t>3-硝基苯胺</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0.05</w:t>
                  </w:r>
                </w:p>
              </w:tc>
              <w:tc>
                <w:tcPr>
                  <w:tcW w:w="1923"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0.1</w:t>
                  </w:r>
                </w:p>
              </w:tc>
              <w:tc>
                <w:tcPr>
                  <w:tcW w:w="147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trPr>
              <w:tc>
                <w:tcPr>
                  <w:tcW w:w="1351" w:type="pct"/>
                  <w:shd w:val="clear" w:color="auto" w:fill="auto"/>
                  <w:noWrap w:val="0"/>
                  <w:vAlign w:val="center"/>
                </w:tcPr>
                <w:p>
                  <w:pPr>
                    <w:widowControl/>
                    <w:jc w:val="center"/>
                    <w:textAlignment w:val="bottom"/>
                    <w:rPr>
                      <w:rFonts w:hint="default" w:ascii="Times New Roman" w:hAnsi="Times New Roman" w:cs="Times New Roman"/>
                      <w:kern w:val="0"/>
                      <w:sz w:val="21"/>
                      <w:szCs w:val="21"/>
                      <w:highlight w:val="yellow"/>
                    </w:rPr>
                  </w:pPr>
                  <w:r>
                    <w:rPr>
                      <w:rFonts w:eastAsiaTheme="majorEastAsia"/>
                      <w:color w:val="000000"/>
                      <w:kern w:val="0"/>
                      <w:szCs w:val="21"/>
                      <w:lang w:bidi="ar"/>
                    </w:rPr>
                    <w:t>4-硝基苯胺</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0.05</w:t>
                  </w:r>
                </w:p>
              </w:tc>
              <w:tc>
                <w:tcPr>
                  <w:tcW w:w="1923"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0.1</w:t>
                  </w:r>
                </w:p>
              </w:tc>
              <w:tc>
                <w:tcPr>
                  <w:tcW w:w="147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甲苯</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0.00065</w:t>
                  </w:r>
                </w:p>
              </w:tc>
              <w:tc>
                <w:tcPr>
                  <w:tcW w:w="1923"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0.00065</w:t>
                  </w:r>
                </w:p>
              </w:tc>
              <w:tc>
                <w:tcPr>
                  <w:tcW w:w="147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trPr>
              <w:tc>
                <w:tcPr>
                  <w:tcW w:w="1351" w:type="pct"/>
                  <w:shd w:val="clear" w:color="auto" w:fill="auto"/>
                  <w:noWrap w:val="0"/>
                  <w:vAlign w:val="center"/>
                </w:tcPr>
                <w:p>
                  <w:pPr>
                    <w:spacing w:line="240" w:lineRule="exact"/>
                    <w:jc w:val="center"/>
                    <w:rPr>
                      <w:rFonts w:hint="default" w:ascii="Times New Roman" w:hAnsi="Times New Roman" w:cs="Times New Roman"/>
                      <w:kern w:val="0"/>
                      <w:sz w:val="21"/>
                      <w:szCs w:val="21"/>
                      <w:highlight w:val="yellow"/>
                    </w:rPr>
                  </w:pPr>
                  <w:r>
                    <w:rPr>
                      <w:color w:val="000000"/>
                      <w:szCs w:val="21"/>
                    </w:rPr>
                    <w:t>阳离子交换量</w:t>
                  </w:r>
                  <w:r>
                    <w:rPr>
                      <w:rFonts w:hint="eastAsia"/>
                      <w:color w:val="000000"/>
                      <w:szCs w:val="21"/>
                    </w:rPr>
                    <w:t>（cmol/kg)</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2.1</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4.2</w:t>
                  </w:r>
                </w:p>
              </w:tc>
              <w:tc>
                <w:tcPr>
                  <w:tcW w:w="147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trPr>
              <w:tc>
                <w:tcPr>
                  <w:tcW w:w="1351" w:type="pct"/>
                  <w:shd w:val="clear" w:color="auto" w:fill="auto"/>
                  <w:noWrap w:val="0"/>
                  <w:vAlign w:val="center"/>
                </w:tcPr>
                <w:p>
                  <w:pPr>
                    <w:spacing w:line="240" w:lineRule="exact"/>
                    <w:jc w:val="center"/>
                    <w:rPr>
                      <w:rFonts w:hint="default" w:ascii="Times New Roman" w:hAnsi="Times New Roman" w:cs="Times New Roman"/>
                      <w:kern w:val="0"/>
                      <w:sz w:val="21"/>
                      <w:szCs w:val="21"/>
                      <w:highlight w:val="yellow"/>
                    </w:rPr>
                  </w:pPr>
                  <w:r>
                    <w:rPr>
                      <w:color w:val="000000"/>
                      <w:szCs w:val="21"/>
                    </w:rPr>
                    <w:t>氧化还原电位</w:t>
                  </w:r>
                  <w:r>
                    <w:rPr>
                      <w:rFonts w:hint="eastAsia"/>
                      <w:color w:val="000000"/>
                      <w:szCs w:val="21"/>
                    </w:rPr>
                    <w:t>（mV）</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368</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359</w:t>
                  </w:r>
                </w:p>
              </w:tc>
              <w:tc>
                <w:tcPr>
                  <w:tcW w:w="147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trPr>
              <w:tc>
                <w:tcPr>
                  <w:tcW w:w="1351" w:type="pct"/>
                  <w:shd w:val="clear" w:color="auto" w:fill="auto"/>
                  <w:noWrap w:val="0"/>
                  <w:vAlign w:val="center"/>
                </w:tcPr>
                <w:p>
                  <w:pPr>
                    <w:spacing w:line="240" w:lineRule="exact"/>
                    <w:jc w:val="center"/>
                    <w:rPr>
                      <w:color w:val="000000"/>
                      <w:szCs w:val="21"/>
                    </w:rPr>
                  </w:pPr>
                  <w:r>
                    <w:rPr>
                      <w:color w:val="000000"/>
                      <w:szCs w:val="21"/>
                    </w:rPr>
                    <w:t>土壤容</w:t>
                  </w:r>
                  <w:r>
                    <w:rPr>
                      <w:rFonts w:hint="eastAsia"/>
                      <w:color w:val="000000"/>
                      <w:szCs w:val="21"/>
                    </w:rPr>
                    <w:t>重</w:t>
                  </w:r>
                </w:p>
                <w:p>
                  <w:pPr>
                    <w:spacing w:line="240" w:lineRule="exact"/>
                    <w:jc w:val="center"/>
                    <w:rPr>
                      <w:rFonts w:hint="default" w:ascii="Times New Roman" w:hAnsi="Times New Roman" w:cs="Times New Roman"/>
                      <w:kern w:val="0"/>
                      <w:sz w:val="21"/>
                      <w:szCs w:val="21"/>
                      <w:highlight w:val="yellow"/>
                    </w:rPr>
                  </w:pPr>
                  <w:r>
                    <w:rPr>
                      <w:color w:val="000000"/>
                      <w:szCs w:val="21"/>
                    </w:rPr>
                    <w:t>/（kg/m</w:t>
                  </w:r>
                  <w:r>
                    <w:rPr>
                      <w:color w:val="000000"/>
                      <w:szCs w:val="21"/>
                      <w:vertAlign w:val="superscript"/>
                    </w:rPr>
                    <w:t>3</w:t>
                  </w:r>
                  <w:r>
                    <w:rPr>
                      <w:color w:val="000000"/>
                      <w:szCs w:val="21"/>
                    </w:rPr>
                    <w:t>）</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1.52</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1.81</w:t>
                  </w:r>
                </w:p>
              </w:tc>
              <w:tc>
                <w:tcPr>
                  <w:tcW w:w="147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spacing w:line="240" w:lineRule="exact"/>
                    <w:jc w:val="center"/>
                    <w:rPr>
                      <w:rFonts w:hint="default" w:ascii="Times New Roman" w:hAnsi="Times New Roman" w:cs="Times New Roman"/>
                      <w:kern w:val="0"/>
                      <w:sz w:val="21"/>
                      <w:szCs w:val="21"/>
                      <w:highlight w:val="yellow"/>
                    </w:rPr>
                  </w:pPr>
                  <w:r>
                    <w:rPr>
                      <w:color w:val="000000"/>
                      <w:szCs w:val="21"/>
                    </w:rPr>
                    <w:t>孔隙度</w:t>
                  </w:r>
                  <w:r>
                    <w:rPr>
                      <w:rFonts w:hint="eastAsia"/>
                      <w:color w:val="000000"/>
                      <w:szCs w:val="21"/>
                    </w:rPr>
                    <w:t>（%）</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42</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32</w:t>
                  </w:r>
                </w:p>
              </w:tc>
              <w:tc>
                <w:tcPr>
                  <w:tcW w:w="147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spacing w:line="240" w:lineRule="exact"/>
                    <w:jc w:val="center"/>
                    <w:rPr>
                      <w:rFonts w:hint="default" w:ascii="Times New Roman" w:hAnsi="Times New Roman" w:cs="Times New Roman"/>
                      <w:kern w:val="0"/>
                      <w:sz w:val="21"/>
                      <w:szCs w:val="21"/>
                      <w:highlight w:val="yellow"/>
                    </w:rPr>
                  </w:pPr>
                  <w:r>
                    <w:rPr>
                      <w:rFonts w:hint="eastAsia"/>
                      <w:color w:val="000000"/>
                      <w:szCs w:val="21"/>
                      <w:lang w:eastAsia="zh-CN"/>
                    </w:rPr>
                    <w:t>饱和导水率（</w:t>
                  </w:r>
                  <w:r>
                    <w:rPr>
                      <w:rFonts w:hint="eastAsia"/>
                      <w:color w:val="000000"/>
                      <w:szCs w:val="21"/>
                      <w:lang w:val="en-US" w:eastAsia="zh-CN"/>
                    </w:rPr>
                    <w:t>cm/s</w:t>
                  </w:r>
                  <w:r>
                    <w:rPr>
                      <w:rFonts w:hint="eastAsia"/>
                      <w:color w:val="000000"/>
                      <w:szCs w:val="21"/>
                      <w:lang w:eastAsia="zh-CN"/>
                    </w:rPr>
                    <w:t>）</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0.04</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0.03</w:t>
                  </w:r>
                </w:p>
              </w:tc>
              <w:tc>
                <w:tcPr>
                  <w:tcW w:w="147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砷</w:t>
                  </w:r>
                </w:p>
              </w:tc>
              <w:tc>
                <w:tcPr>
                  <w:tcW w:w="1772"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14.5</w:t>
                  </w:r>
                </w:p>
              </w:tc>
              <w:tc>
                <w:tcPr>
                  <w:tcW w:w="1923"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9.67</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60</w:t>
                  </w:r>
                </w:p>
              </w:tc>
              <w:tc>
                <w:tcPr>
                  <w:tcW w:w="1450"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yellow"/>
                    </w:rPr>
                  </w:pPr>
                  <w:r>
                    <w:rPr>
                      <w:rFonts w:hint="eastAsia" w:cs="Times New Roman"/>
                      <w:kern w:val="0"/>
                      <w:sz w:val="21"/>
                      <w:szCs w:val="21"/>
                      <w:highlight w:val="no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镉</w:t>
                  </w:r>
                </w:p>
              </w:tc>
              <w:tc>
                <w:tcPr>
                  <w:tcW w:w="1772"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0.029</w:t>
                  </w:r>
                </w:p>
              </w:tc>
              <w:tc>
                <w:tcPr>
                  <w:tcW w:w="1923"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0.058</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65</w:t>
                  </w:r>
                </w:p>
              </w:tc>
              <w:tc>
                <w:tcPr>
                  <w:tcW w:w="1450"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yellow"/>
                    </w:rPr>
                  </w:pPr>
                  <w:r>
                    <w:rPr>
                      <w:rFonts w:hint="eastAsia" w:cs="Times New Roman"/>
                      <w:kern w:val="0"/>
                      <w:sz w:val="21"/>
                      <w:szCs w:val="21"/>
                      <w:highlight w:val="none"/>
                      <w:lang w:val="en-US" w:eastAsia="zh-CN"/>
                    </w:rPr>
                    <w:t>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铬（六价）</w:t>
                  </w:r>
                </w:p>
              </w:tc>
              <w:tc>
                <w:tcPr>
                  <w:tcW w:w="1772"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szCs w:val="21"/>
                      <w:lang w:val="en-US" w:eastAsia="zh-CN"/>
                    </w:rPr>
                    <w:t>0.25</w:t>
                  </w:r>
                </w:p>
              </w:tc>
              <w:tc>
                <w:tcPr>
                  <w:tcW w:w="1923"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szCs w:val="21"/>
                      <w:lang w:val="en-US" w:eastAsia="zh-CN"/>
                    </w:rPr>
                    <w:t>0.25</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5.7</w:t>
                  </w:r>
                </w:p>
              </w:tc>
              <w:tc>
                <w:tcPr>
                  <w:tcW w:w="1450"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yellow"/>
                    </w:rPr>
                  </w:pPr>
                  <w:r>
                    <w:rPr>
                      <w:rFonts w:hint="eastAsia" w:cs="Times New Roman"/>
                      <w:kern w:val="0"/>
                      <w:sz w:val="21"/>
                      <w:szCs w:val="21"/>
                      <w:highlight w:val="non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铜</w:t>
                  </w:r>
                </w:p>
              </w:tc>
              <w:tc>
                <w:tcPr>
                  <w:tcW w:w="1772"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15</w:t>
                  </w:r>
                </w:p>
              </w:tc>
              <w:tc>
                <w:tcPr>
                  <w:tcW w:w="1923"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15</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18000</w:t>
                  </w:r>
                </w:p>
              </w:tc>
              <w:tc>
                <w:tcPr>
                  <w:tcW w:w="1450"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yellow"/>
                    </w:rPr>
                  </w:pPr>
                  <w:r>
                    <w:rPr>
                      <w:rFonts w:hint="eastAsia" w:cs="Times New Roman"/>
                      <w:kern w:val="0"/>
                      <w:sz w:val="21"/>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铅</w:t>
                  </w:r>
                </w:p>
              </w:tc>
              <w:tc>
                <w:tcPr>
                  <w:tcW w:w="1772"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16</w:t>
                  </w:r>
                </w:p>
              </w:tc>
              <w:tc>
                <w:tcPr>
                  <w:tcW w:w="1923"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21</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800</w:t>
                  </w:r>
                </w:p>
              </w:tc>
              <w:tc>
                <w:tcPr>
                  <w:tcW w:w="1450"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yellow"/>
                    </w:rPr>
                  </w:pPr>
                  <w:r>
                    <w:rPr>
                      <w:rFonts w:hint="eastAsia" w:cs="Times New Roman"/>
                      <w:kern w:val="0"/>
                      <w:sz w:val="21"/>
                      <w:szCs w:val="21"/>
                      <w:highlight w:val="none"/>
                      <w:lang w:val="en-US" w:eastAsia="zh-CN"/>
                    </w:rPr>
                    <w:t>170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汞</w:t>
                  </w:r>
                </w:p>
              </w:tc>
              <w:tc>
                <w:tcPr>
                  <w:tcW w:w="1772"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0.055</w:t>
                  </w:r>
                </w:p>
              </w:tc>
              <w:tc>
                <w:tcPr>
                  <w:tcW w:w="1923"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0.055</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38</w:t>
                  </w:r>
                </w:p>
              </w:tc>
              <w:tc>
                <w:tcPr>
                  <w:tcW w:w="1450"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yellow"/>
                    </w:rPr>
                  </w:pPr>
                  <w:r>
                    <w:rPr>
                      <w:rFonts w:hint="eastAsia" w:cs="Times New Roman"/>
                      <w:kern w:val="0"/>
                      <w:sz w:val="21"/>
                      <w:szCs w:val="21"/>
                      <w:highlight w:val="none"/>
                      <w:lang w:val="en-US" w:eastAsia="zh-CN"/>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镍</w:t>
                  </w:r>
                </w:p>
              </w:tc>
              <w:tc>
                <w:tcPr>
                  <w:tcW w:w="1772"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23</w:t>
                  </w:r>
                </w:p>
              </w:tc>
              <w:tc>
                <w:tcPr>
                  <w:tcW w:w="1923" w:type="dxa"/>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s="Times New Roman" w:eastAsiaTheme="minorEastAsia"/>
                      <w:sz w:val="21"/>
                      <w:szCs w:val="21"/>
                      <w:highlight w:val="none"/>
                      <w:lang w:val="en-US" w:eastAsia="zh-CN"/>
                    </w:rPr>
                    <w:t>31</w:t>
                  </w:r>
                </w:p>
              </w:tc>
              <w:tc>
                <w:tcPr>
                  <w:tcW w:w="810" w:type="pct"/>
                  <w:shd w:val="clear" w:color="auto" w:fill="auto"/>
                  <w:noWrap w:val="0"/>
                  <w:vAlign w:val="center"/>
                </w:tcPr>
                <w:p>
                  <w:pPr>
                    <w:widowControl/>
                    <w:spacing w:line="240" w:lineRule="auto"/>
                    <w:jc w:val="center"/>
                    <w:rPr>
                      <w:rFonts w:hint="default" w:ascii="Times New Roman" w:hAnsi="Times New Roman" w:eastAsia="宋体" w:cs="Times New Roman"/>
                      <w:kern w:val="0"/>
                      <w:sz w:val="21"/>
                      <w:szCs w:val="21"/>
                      <w:highlight w:val="yellow"/>
                      <w:lang w:val="en-US" w:eastAsia="zh-CN"/>
                    </w:rPr>
                  </w:pPr>
                  <w:r>
                    <w:rPr>
                      <w:rFonts w:hint="eastAsia" w:cs="Times New Roman"/>
                      <w:kern w:val="0"/>
                      <w:sz w:val="21"/>
                      <w:szCs w:val="21"/>
                      <w:highlight w:val="none"/>
                      <w:lang w:val="en-US" w:eastAsia="zh-CN"/>
                    </w:rPr>
                    <w:t>900</w:t>
                  </w:r>
                </w:p>
              </w:tc>
              <w:tc>
                <w:tcPr>
                  <w:tcW w:w="1450"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yellow"/>
                    </w:rPr>
                  </w:pPr>
                  <w:r>
                    <w:rPr>
                      <w:rFonts w:hint="eastAsia" w:cs="Times New Roman"/>
                      <w:kern w:val="0"/>
                      <w:sz w:val="21"/>
                      <w:szCs w:val="21"/>
                      <w:highlight w:val="none"/>
                      <w:lang w:val="en-US" w:eastAsia="zh-CN"/>
                    </w:rPr>
                    <w:t>190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9"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氯甲烷</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rPr>
                  </w:pPr>
                  <w:r>
                    <w:rPr>
                      <w:color w:val="auto"/>
                      <w:sz w:val="21"/>
                      <w:szCs w:val="21"/>
                    </w:rPr>
                    <w:t>0.0086</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color w:val="auto"/>
                      <w:sz w:val="21"/>
                      <w:szCs w:val="21"/>
                    </w:rPr>
                    <w:t>0.0056</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37</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szCs w:val="21"/>
                    </w:rPr>
                    <w:t>1</w:t>
                  </w:r>
                  <w:r>
                    <w:rPr>
                      <w:rFonts w:hint="eastAsia"/>
                      <w:szCs w:val="21"/>
                    </w:rPr>
                    <w:t>，</w:t>
                  </w:r>
                  <w:r>
                    <w:rPr>
                      <w:szCs w:val="21"/>
                    </w:rPr>
                    <w:t>1-</w:t>
                  </w:r>
                  <w:r>
                    <w:rPr>
                      <w:rFonts w:hint="eastAsia"/>
                      <w:szCs w:val="21"/>
                    </w:rPr>
                    <w:t>二氯乙烯</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0.0005</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0.0005</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66</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spacing w:line="0" w:lineRule="atLeast"/>
                    <w:jc w:val="center"/>
                    <w:rPr>
                      <w:rFonts w:hint="default" w:ascii="Times New Roman" w:hAnsi="Times New Roman" w:cs="Times New Roman"/>
                      <w:kern w:val="0"/>
                      <w:sz w:val="21"/>
                      <w:szCs w:val="21"/>
                      <w:highlight w:val="yellow"/>
                    </w:rPr>
                  </w:pPr>
                  <w:r>
                    <w:rPr>
                      <w:rFonts w:hint="eastAsia"/>
                      <w:szCs w:val="21"/>
                    </w:rPr>
                    <w:t>顺</w:t>
                  </w:r>
                  <w:r>
                    <w:rPr>
                      <w:szCs w:val="21"/>
                    </w:rPr>
                    <w:t>-1</w:t>
                  </w:r>
                  <w:r>
                    <w:rPr>
                      <w:rFonts w:hint="eastAsia"/>
                      <w:szCs w:val="21"/>
                    </w:rPr>
                    <w:t>，</w:t>
                  </w:r>
                  <w:r>
                    <w:rPr>
                      <w:szCs w:val="21"/>
                    </w:rPr>
                    <w:t>2-</w:t>
                  </w:r>
                  <w:r>
                    <w:rPr>
                      <w:rFonts w:hint="eastAsia"/>
                      <w:szCs w:val="21"/>
                    </w:rPr>
                    <w:t>二氯乙烯</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rPr>
                  </w:pPr>
                  <w:r>
                    <w:rPr>
                      <w:color w:val="auto"/>
                      <w:sz w:val="21"/>
                      <w:szCs w:val="21"/>
                    </w:rPr>
                    <w:t>0.0072</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color w:val="auto"/>
                      <w:sz w:val="21"/>
                      <w:szCs w:val="21"/>
                    </w:rPr>
                    <w:t>0.0044</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596</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trPr>
              <w:tc>
                <w:tcPr>
                  <w:tcW w:w="1351" w:type="pct"/>
                  <w:shd w:val="clear" w:color="auto" w:fill="auto"/>
                  <w:noWrap w:val="0"/>
                  <w:vAlign w:val="center"/>
                </w:tcPr>
                <w:p>
                  <w:pPr>
                    <w:spacing w:line="0" w:lineRule="atLeast"/>
                    <w:jc w:val="center"/>
                    <w:rPr>
                      <w:rFonts w:hint="default" w:ascii="Times New Roman" w:hAnsi="Times New Roman" w:cs="Times New Roman"/>
                      <w:kern w:val="0"/>
                      <w:sz w:val="21"/>
                      <w:szCs w:val="21"/>
                      <w:highlight w:val="yellow"/>
                    </w:rPr>
                  </w:pPr>
                  <w:r>
                    <w:rPr>
                      <w:rFonts w:hint="eastAsia"/>
                      <w:szCs w:val="21"/>
                    </w:rPr>
                    <w:t>反</w:t>
                  </w:r>
                  <w:r>
                    <w:rPr>
                      <w:szCs w:val="21"/>
                    </w:rPr>
                    <w:t>-1</w:t>
                  </w:r>
                  <w:r>
                    <w:rPr>
                      <w:rFonts w:hint="eastAsia"/>
                      <w:szCs w:val="21"/>
                    </w:rPr>
                    <w:t>，</w:t>
                  </w:r>
                  <w:r>
                    <w:rPr>
                      <w:szCs w:val="21"/>
                    </w:rPr>
                    <w:t>2-</w:t>
                  </w:r>
                  <w:r>
                    <w:rPr>
                      <w:rFonts w:hint="eastAsia"/>
                      <w:szCs w:val="21"/>
                    </w:rPr>
                    <w:t>二氯乙烯</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0.0007</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0.0007</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54</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szCs w:val="21"/>
                    </w:rPr>
                    <w:t>1</w:t>
                  </w:r>
                  <w:r>
                    <w:rPr>
                      <w:rFonts w:hint="eastAsia"/>
                      <w:szCs w:val="21"/>
                    </w:rPr>
                    <w:t>，</w:t>
                  </w:r>
                  <w:r>
                    <w:rPr>
                      <w:szCs w:val="21"/>
                    </w:rPr>
                    <w:t>2-</w:t>
                  </w:r>
                  <w:r>
                    <w:rPr>
                      <w:rFonts w:hint="eastAsia"/>
                      <w:szCs w:val="21"/>
                    </w:rPr>
                    <w:t>二氯丙烷</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rPr>
                  </w:pPr>
                  <w:r>
                    <w:rPr>
                      <w:color w:val="auto"/>
                      <w:sz w:val="21"/>
                      <w:szCs w:val="21"/>
                    </w:rPr>
                    <w:t>0.0072</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color w:val="auto"/>
                      <w:sz w:val="21"/>
                      <w:szCs w:val="21"/>
                    </w:rPr>
                    <w:t>0.0095</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5</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spacing w:line="0" w:lineRule="atLeast"/>
                    <w:jc w:val="center"/>
                    <w:rPr>
                      <w:rFonts w:hint="default" w:ascii="Times New Roman" w:hAnsi="Times New Roman" w:cs="Times New Roman"/>
                      <w:kern w:val="0"/>
                      <w:sz w:val="21"/>
                      <w:szCs w:val="21"/>
                      <w:highlight w:val="yellow"/>
                    </w:rPr>
                  </w:pPr>
                  <w:r>
                    <w:rPr>
                      <w:szCs w:val="21"/>
                    </w:rPr>
                    <w:t>1</w:t>
                  </w:r>
                  <w:r>
                    <w:rPr>
                      <w:rFonts w:hint="eastAsia"/>
                      <w:szCs w:val="21"/>
                    </w:rPr>
                    <w:t>，</w:t>
                  </w:r>
                  <w:r>
                    <w:rPr>
                      <w:szCs w:val="21"/>
                    </w:rPr>
                    <w:t>1</w:t>
                  </w:r>
                  <w:r>
                    <w:rPr>
                      <w:rFonts w:hint="eastAsia"/>
                      <w:szCs w:val="21"/>
                    </w:rPr>
                    <w:t>，</w:t>
                  </w:r>
                  <w:r>
                    <w:rPr>
                      <w:szCs w:val="21"/>
                    </w:rPr>
                    <w:t>1</w:t>
                  </w:r>
                  <w:r>
                    <w:rPr>
                      <w:rFonts w:hint="eastAsia"/>
                      <w:szCs w:val="21"/>
                    </w:rPr>
                    <w:t>，</w:t>
                  </w:r>
                  <w:r>
                    <w:rPr>
                      <w:szCs w:val="21"/>
                    </w:rPr>
                    <w:t>2-</w:t>
                  </w:r>
                  <w:r>
                    <w:rPr>
                      <w:rFonts w:hint="eastAsia"/>
                      <w:szCs w:val="21"/>
                    </w:rPr>
                    <w:t>四氯乙烷</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0.0006</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0.0006</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10</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1351" w:type="pct"/>
                  <w:shd w:val="clear" w:color="auto" w:fill="auto"/>
                  <w:noWrap w:val="0"/>
                  <w:vAlign w:val="center"/>
                </w:tcPr>
                <w:p>
                  <w:pPr>
                    <w:spacing w:line="0" w:lineRule="atLeast"/>
                    <w:jc w:val="center"/>
                    <w:rPr>
                      <w:rFonts w:hint="default" w:ascii="Times New Roman" w:hAnsi="Times New Roman" w:cs="Times New Roman"/>
                      <w:kern w:val="0"/>
                      <w:sz w:val="21"/>
                      <w:szCs w:val="21"/>
                      <w:highlight w:val="yellow"/>
                    </w:rPr>
                  </w:pPr>
                  <w:r>
                    <w:rPr>
                      <w:szCs w:val="21"/>
                    </w:rPr>
                    <w:t>1</w:t>
                  </w:r>
                  <w:r>
                    <w:rPr>
                      <w:rFonts w:hint="eastAsia"/>
                      <w:szCs w:val="21"/>
                    </w:rPr>
                    <w:t>，</w:t>
                  </w:r>
                  <w:r>
                    <w:rPr>
                      <w:szCs w:val="21"/>
                    </w:rPr>
                    <w:t>1</w:t>
                  </w:r>
                  <w:r>
                    <w:rPr>
                      <w:rFonts w:hint="eastAsia"/>
                      <w:szCs w:val="21"/>
                    </w:rPr>
                    <w:t>，</w:t>
                  </w:r>
                  <w:r>
                    <w:rPr>
                      <w:szCs w:val="21"/>
                    </w:rPr>
                    <w:t>2</w:t>
                  </w:r>
                  <w:r>
                    <w:rPr>
                      <w:rFonts w:hint="eastAsia"/>
                      <w:szCs w:val="21"/>
                    </w:rPr>
                    <w:t>，</w:t>
                  </w:r>
                  <w:r>
                    <w:rPr>
                      <w:szCs w:val="21"/>
                    </w:rPr>
                    <w:t>2-</w:t>
                  </w:r>
                  <w:r>
                    <w:rPr>
                      <w:rFonts w:hint="eastAsia"/>
                      <w:szCs w:val="21"/>
                    </w:rPr>
                    <w:t>四氯乙烷</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0.0006</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0.0006</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6.8</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四氯乙烯</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rPr>
                  </w:pPr>
                  <w:r>
                    <w:rPr>
                      <w:color w:val="auto"/>
                      <w:sz w:val="21"/>
                      <w:szCs w:val="21"/>
                    </w:rPr>
                    <w:t>0.0546</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color w:val="auto"/>
                      <w:sz w:val="21"/>
                      <w:szCs w:val="21"/>
                    </w:rPr>
                    <w:t>0.0056</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53</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trPr>
              <w:tc>
                <w:tcPr>
                  <w:tcW w:w="1351" w:type="pct"/>
                  <w:shd w:val="clear" w:color="auto" w:fill="auto"/>
                  <w:noWrap w:val="0"/>
                  <w:vAlign w:val="center"/>
                </w:tcPr>
                <w:p>
                  <w:pPr>
                    <w:spacing w:line="0" w:lineRule="atLeast"/>
                    <w:jc w:val="center"/>
                    <w:rPr>
                      <w:rFonts w:hint="default" w:ascii="Times New Roman" w:hAnsi="Times New Roman" w:cs="Times New Roman"/>
                      <w:kern w:val="0"/>
                      <w:sz w:val="21"/>
                      <w:szCs w:val="21"/>
                      <w:highlight w:val="yellow"/>
                    </w:rPr>
                  </w:pPr>
                  <w:r>
                    <w:rPr>
                      <w:szCs w:val="21"/>
                    </w:rPr>
                    <w:t>1</w:t>
                  </w:r>
                  <w:r>
                    <w:rPr>
                      <w:rFonts w:hint="eastAsia"/>
                      <w:szCs w:val="21"/>
                    </w:rPr>
                    <w:t>，</w:t>
                  </w:r>
                  <w:r>
                    <w:rPr>
                      <w:szCs w:val="21"/>
                    </w:rPr>
                    <w:t>1</w:t>
                  </w:r>
                  <w:r>
                    <w:rPr>
                      <w:rFonts w:hint="eastAsia"/>
                      <w:szCs w:val="21"/>
                    </w:rPr>
                    <w:t>，</w:t>
                  </w:r>
                  <w:r>
                    <w:rPr>
                      <w:szCs w:val="21"/>
                    </w:rPr>
                    <w:t>1-</w:t>
                  </w:r>
                  <w:r>
                    <w:rPr>
                      <w:rFonts w:hint="eastAsia"/>
                      <w:szCs w:val="21"/>
                    </w:rPr>
                    <w:t>三氯乙烷</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0.00065</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0.0044</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840</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spacing w:line="0" w:lineRule="atLeast"/>
                    <w:jc w:val="center"/>
                    <w:rPr>
                      <w:rFonts w:hint="default" w:ascii="Times New Roman" w:hAnsi="Times New Roman" w:cs="Times New Roman"/>
                      <w:kern w:val="0"/>
                      <w:sz w:val="21"/>
                      <w:szCs w:val="21"/>
                      <w:highlight w:val="yellow"/>
                    </w:rPr>
                  </w:pPr>
                  <w:r>
                    <w:rPr>
                      <w:szCs w:val="21"/>
                    </w:rPr>
                    <w:t>1</w:t>
                  </w:r>
                  <w:r>
                    <w:rPr>
                      <w:rFonts w:hint="eastAsia"/>
                      <w:szCs w:val="21"/>
                    </w:rPr>
                    <w:t>，</w:t>
                  </w:r>
                  <w:r>
                    <w:rPr>
                      <w:szCs w:val="21"/>
                    </w:rPr>
                    <w:t>1</w:t>
                  </w:r>
                  <w:r>
                    <w:rPr>
                      <w:rFonts w:hint="eastAsia"/>
                      <w:szCs w:val="21"/>
                    </w:rPr>
                    <w:t>，</w:t>
                  </w:r>
                  <w:r>
                    <w:rPr>
                      <w:szCs w:val="21"/>
                    </w:rPr>
                    <w:t>2-</w:t>
                  </w:r>
                  <w:r>
                    <w:rPr>
                      <w:rFonts w:hint="eastAsia"/>
                      <w:szCs w:val="21"/>
                    </w:rPr>
                    <w:t>三氯乙烷</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0.0006</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2.8</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spacing w:line="0" w:lineRule="atLeast"/>
                    <w:jc w:val="center"/>
                    <w:rPr>
                      <w:rFonts w:hint="default" w:ascii="Times New Roman" w:hAnsi="Times New Roman" w:cs="Times New Roman"/>
                      <w:kern w:val="0"/>
                      <w:sz w:val="21"/>
                      <w:szCs w:val="21"/>
                      <w:highlight w:val="yellow"/>
                    </w:rPr>
                  </w:pPr>
                  <w:r>
                    <w:rPr>
                      <w:rFonts w:hint="eastAsia"/>
                      <w:szCs w:val="21"/>
                    </w:rPr>
                    <w:t>三氯乙烯</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0.0006</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2.8</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spacing w:line="0" w:lineRule="atLeast"/>
                    <w:jc w:val="center"/>
                    <w:rPr>
                      <w:rFonts w:hint="default" w:ascii="Times New Roman" w:hAnsi="Times New Roman" w:cs="Times New Roman"/>
                      <w:kern w:val="0"/>
                      <w:sz w:val="21"/>
                      <w:szCs w:val="21"/>
                      <w:highlight w:val="yellow"/>
                    </w:rPr>
                  </w:pPr>
                  <w:r>
                    <w:rPr>
                      <w:szCs w:val="21"/>
                    </w:rPr>
                    <w:t>1</w:t>
                  </w:r>
                  <w:r>
                    <w:rPr>
                      <w:rFonts w:hint="eastAsia"/>
                      <w:szCs w:val="21"/>
                    </w:rPr>
                    <w:t>，</w:t>
                  </w:r>
                  <w:r>
                    <w:rPr>
                      <w:szCs w:val="21"/>
                    </w:rPr>
                    <w:t>2</w:t>
                  </w:r>
                  <w:r>
                    <w:rPr>
                      <w:rFonts w:hint="eastAsia"/>
                      <w:szCs w:val="21"/>
                    </w:rPr>
                    <w:t>，</w:t>
                  </w:r>
                  <w:r>
                    <w:rPr>
                      <w:szCs w:val="21"/>
                    </w:rPr>
                    <w:t>3-</w:t>
                  </w:r>
                  <w:r>
                    <w:rPr>
                      <w:rFonts w:hint="eastAsia"/>
                      <w:szCs w:val="21"/>
                    </w:rPr>
                    <w:t>三氯丙烷</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0.0006</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0.5</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氯乙烯</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0.0005</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0.43</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苯</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0.00095</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4</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szCs w:val="21"/>
                    </w:rPr>
                    <w:t>1</w:t>
                  </w:r>
                  <w:r>
                    <w:rPr>
                      <w:rFonts w:hint="eastAsia"/>
                      <w:szCs w:val="21"/>
                    </w:rPr>
                    <w:t>，</w:t>
                  </w:r>
                  <w:r>
                    <w:rPr>
                      <w:szCs w:val="21"/>
                    </w:rPr>
                    <w:t>2-</w:t>
                  </w:r>
                  <w:r>
                    <w:rPr>
                      <w:rFonts w:hint="eastAsia"/>
                      <w:szCs w:val="21"/>
                    </w:rPr>
                    <w:t>二氯苯</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0.00075</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560</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szCs w:val="21"/>
                    </w:rPr>
                    <w:t>1</w:t>
                  </w:r>
                  <w:r>
                    <w:rPr>
                      <w:rFonts w:hint="eastAsia"/>
                      <w:szCs w:val="21"/>
                    </w:rPr>
                    <w:t>，</w:t>
                  </w:r>
                  <w:r>
                    <w:rPr>
                      <w:szCs w:val="21"/>
                    </w:rPr>
                    <w:t>4-</w:t>
                  </w:r>
                  <w:r>
                    <w:rPr>
                      <w:rFonts w:hint="eastAsia"/>
                      <w:szCs w:val="21"/>
                    </w:rPr>
                    <w:t>二氯苯</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0.00075</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20</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乙苯</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0.0006</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28</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苯乙烯</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0.00055</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1290</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间，对二甲苯</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0.0006</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570</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邻二甲苯</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0.0006</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640</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硝基苯</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0.045</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76</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szCs w:val="21"/>
                    </w:rPr>
                    <w:t>2-</w:t>
                  </w:r>
                  <w:r>
                    <w:rPr>
                      <w:rFonts w:hint="eastAsia"/>
                      <w:szCs w:val="21"/>
                    </w:rPr>
                    <w:t>氯酚</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0.03</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2256</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苯并</w:t>
                  </w:r>
                  <w:r>
                    <w:rPr>
                      <w:szCs w:val="21"/>
                    </w:rPr>
                    <w:t>[a]</w:t>
                  </w:r>
                  <w:r>
                    <w:rPr>
                      <w:rFonts w:hint="eastAsia"/>
                      <w:szCs w:val="21"/>
                    </w:rPr>
                    <w:t>蒽</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0.05</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15</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苯并</w:t>
                  </w:r>
                  <w:r>
                    <w:rPr>
                      <w:szCs w:val="21"/>
                    </w:rPr>
                    <w:t>[a]</w:t>
                  </w:r>
                  <w:r>
                    <w:rPr>
                      <w:rFonts w:hint="eastAsia"/>
                      <w:szCs w:val="21"/>
                    </w:rPr>
                    <w:t>芘</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0.05</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1.5</w:t>
                  </w:r>
                </w:p>
              </w:tc>
              <w:tc>
                <w:tcPr>
                  <w:tcW w:w="799" w:type="pct"/>
                  <w:shd w:val="clear" w:color="auto" w:fill="auto"/>
                  <w:noWrap w:val="0"/>
                  <w:vAlign w:val="center"/>
                </w:tcPr>
                <w:p>
                  <w:pPr>
                    <w:widowControl/>
                    <w:spacing w:line="240" w:lineRule="auto"/>
                    <w:jc w:val="center"/>
                    <w:rPr>
                      <w:rFonts w:hint="default" w:ascii="Times New Roman" w:hAnsi="Times New Roman" w:eastAsia="宋体" w:cs="Times New Roman"/>
                      <w:kern w:val="0"/>
                      <w:sz w:val="21"/>
                      <w:szCs w:val="21"/>
                      <w:highlight w:val="yellow"/>
                      <w:lang w:val="en-US" w:eastAsia="zh-CN"/>
                    </w:rPr>
                  </w:pPr>
                  <w:r>
                    <w:rPr>
                      <w:rFonts w:hint="eastAsia" w:cs="Times New Roman"/>
                      <w:kern w:val="0"/>
                      <w:sz w:val="21"/>
                      <w:szCs w:val="21"/>
                      <w:highlight w:val="none"/>
                      <w:lang w:val="en-US" w:eastAsia="zh-CN"/>
                    </w:rPr>
                    <w:t>0.55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苯并</w:t>
                  </w:r>
                  <w:r>
                    <w:rPr>
                      <w:szCs w:val="21"/>
                    </w:rPr>
                    <w:t>[b]</w:t>
                  </w:r>
                  <w:r>
                    <w:rPr>
                      <w:rFonts w:hint="eastAsia"/>
                      <w:szCs w:val="21"/>
                    </w:rPr>
                    <w:t>荧蒽</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0.1</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15</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苯并</w:t>
                  </w:r>
                  <w:r>
                    <w:rPr>
                      <w:szCs w:val="21"/>
                    </w:rPr>
                    <w:t>[k]</w:t>
                  </w:r>
                  <w:r>
                    <w:rPr>
                      <w:rFonts w:hint="eastAsia"/>
                      <w:szCs w:val="21"/>
                    </w:rPr>
                    <w:t>荧蒽</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0.05</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151</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䓛</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0.05</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1293</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二苯并</w:t>
                  </w:r>
                  <w:r>
                    <w:rPr>
                      <w:szCs w:val="21"/>
                    </w:rPr>
                    <w:t>[a,h]</w:t>
                  </w:r>
                  <w:r>
                    <w:rPr>
                      <w:rFonts w:hint="eastAsia"/>
                      <w:szCs w:val="21"/>
                    </w:rPr>
                    <w:t>蒽</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0.05</w:t>
                  </w:r>
                </w:p>
              </w:tc>
              <w:tc>
                <w:tcPr>
                  <w:tcW w:w="1060"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1.5</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spacing w:line="0" w:lineRule="atLeast"/>
                    <w:jc w:val="center"/>
                    <w:rPr>
                      <w:rFonts w:hint="default" w:ascii="Times New Roman" w:hAnsi="Times New Roman" w:cs="Times New Roman"/>
                      <w:kern w:val="0"/>
                      <w:sz w:val="21"/>
                      <w:szCs w:val="21"/>
                      <w:highlight w:val="yellow"/>
                    </w:rPr>
                  </w:pPr>
                  <w:r>
                    <w:rPr>
                      <w:rFonts w:hint="eastAsia"/>
                      <w:szCs w:val="21"/>
                    </w:rPr>
                    <w:t>茚并</w:t>
                  </w:r>
                  <w:r>
                    <w:rPr>
                      <w:szCs w:val="21"/>
                    </w:rPr>
                    <w:t>[1,2,3-cd]</w:t>
                  </w:r>
                  <w:r>
                    <w:rPr>
                      <w:rFonts w:hint="eastAsia"/>
                      <w:szCs w:val="21"/>
                    </w:rPr>
                    <w:t>芘</w:t>
                  </w:r>
                </w:p>
              </w:tc>
              <w:tc>
                <w:tcPr>
                  <w:tcW w:w="977" w:type="pct"/>
                  <w:shd w:val="clear" w:color="auto" w:fill="auto"/>
                  <w:noWrap w:val="0"/>
                  <w:vAlign w:val="center"/>
                </w:tcPr>
                <w:p>
                  <w:pPr>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0.05</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15</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51" w:type="pct"/>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萘</w:t>
                  </w:r>
                </w:p>
              </w:tc>
              <w:tc>
                <w:tcPr>
                  <w:tcW w:w="977"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color w:val="auto"/>
                      <w:sz w:val="21"/>
                      <w:szCs w:val="21"/>
                      <w:lang w:val="en-US" w:eastAsia="zh-CN"/>
                    </w:rPr>
                    <w:t>0.045</w:t>
                  </w:r>
                </w:p>
              </w:tc>
              <w:tc>
                <w:tcPr>
                  <w:tcW w:w="1060" w:type="pct"/>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color w:val="auto"/>
                      <w:sz w:val="21"/>
                      <w:szCs w:val="21"/>
                      <w:lang w:val="en-US" w:eastAsia="zh-CN"/>
                    </w:rPr>
                    <w:t>ND</w:t>
                  </w:r>
                </w:p>
              </w:tc>
              <w:tc>
                <w:tcPr>
                  <w:tcW w:w="14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70</w:t>
                  </w:r>
                </w:p>
              </w:tc>
              <w:tc>
                <w:tcPr>
                  <w:tcW w:w="1450"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ascii="Times New Roman" w:hAnsi="Times New Roman" w:cs="Times New Roman" w:eastAsiaTheme="minorEastAsia"/>
                      <w:sz w:val="21"/>
                      <w:szCs w:val="21"/>
                      <w:highlight w:val="none"/>
                      <w:lang w:val="en-US" w:eastAsia="zh-CN"/>
                    </w:rPr>
                    <w:t>/</w:t>
                  </w:r>
                </w:p>
              </w:tc>
            </w:tr>
          </w:tbl>
          <w:p>
            <w:pPr>
              <w:pStyle w:val="30"/>
              <w:spacing w:line="360" w:lineRule="auto"/>
              <w:rPr>
                <w:rFonts w:hint="default" w:ascii="Times New Roman" w:hAnsi="Times New Roman" w:eastAsia="黑体" w:cs="Times New Roman"/>
                <w:color w:val="000000"/>
                <w:kern w:val="2"/>
                <w:sz w:val="24"/>
                <w:szCs w:val="24"/>
                <w:lang w:val="en-US" w:eastAsia="zh-CN" w:bidi="ar-SA"/>
              </w:rPr>
            </w:pPr>
            <w:r>
              <w:rPr>
                <w:rFonts w:hint="default" w:ascii="Times New Roman" w:hAnsi="Times New Roman" w:eastAsia="黑体" w:cs="Times New Roman"/>
                <w:color w:val="000000"/>
                <w:kern w:val="2"/>
                <w:sz w:val="24"/>
                <w:szCs w:val="24"/>
                <w:lang w:val="en-US" w:eastAsia="zh-CN" w:bidi="ar-SA"/>
              </w:rPr>
              <w:t>表3-1</w:t>
            </w:r>
            <w:r>
              <w:rPr>
                <w:rFonts w:hint="eastAsia" w:ascii="Times New Roman" w:hAnsi="Times New Roman" w:cs="Times New Roman"/>
                <w:color w:val="000000"/>
                <w:kern w:val="2"/>
                <w:sz w:val="24"/>
                <w:szCs w:val="24"/>
                <w:lang w:val="en-US" w:eastAsia="zh-CN" w:bidi="ar-SA"/>
              </w:rPr>
              <w:t>3</w:t>
            </w:r>
            <w:r>
              <w:rPr>
                <w:rFonts w:hint="default" w:ascii="Times New Roman" w:hAnsi="Times New Roman" w:eastAsia="黑体" w:cs="Times New Roman"/>
                <w:color w:val="000000"/>
                <w:kern w:val="2"/>
                <w:sz w:val="24"/>
                <w:szCs w:val="24"/>
                <w:lang w:val="en-US" w:eastAsia="zh-CN" w:bidi="ar-SA"/>
              </w:rPr>
              <w:t xml:space="preserve">    土壤环境质量现状监测结果</w:t>
            </w:r>
            <w:r>
              <w:rPr>
                <w:rFonts w:hint="eastAsia" w:ascii="Times New Roman" w:hAnsi="Times New Roman" w:cs="Times New Roman"/>
                <w:color w:val="000000"/>
                <w:kern w:val="2"/>
                <w:sz w:val="24"/>
                <w:szCs w:val="24"/>
                <w:lang w:val="en-US" w:eastAsia="zh-CN" w:bidi="ar-SA"/>
              </w:rPr>
              <w:t xml:space="preserve">统计分析表    </w:t>
            </w:r>
            <w:r>
              <w:rPr>
                <w:rFonts w:hint="eastAsia" w:ascii="Times New Roman" w:hAnsi="Times New Roman" w:cs="Times New Roman"/>
                <w:b w:val="0"/>
                <w:bCs w:val="0"/>
                <w:color w:val="000000"/>
                <w:sz w:val="24"/>
                <w:szCs w:val="24"/>
              </w:rPr>
              <w:t xml:space="preserve">单位：mg/kg </w:t>
            </w:r>
          </w:p>
          <w:tbl>
            <w:tblPr>
              <w:tblStyle w:val="19"/>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9"/>
              <w:gridCol w:w="1221"/>
              <w:gridCol w:w="1399"/>
              <w:gridCol w:w="1274"/>
              <w:gridCol w:w="1274"/>
              <w:gridCol w:w="1274"/>
              <w:gridCol w:w="12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744" w:type="pct"/>
                  <w:vMerge w:val="restart"/>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监测项目</w:t>
                  </w:r>
                </w:p>
              </w:tc>
              <w:tc>
                <w:tcPr>
                  <w:tcW w:w="2850" w:type="pct"/>
                  <w:gridSpan w:val="4"/>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lang w:val="en-US" w:eastAsia="zh-CN"/>
                    </w:rPr>
                  </w:pPr>
                  <w:r>
                    <w:rPr>
                      <w:rFonts w:hint="eastAsia" w:cs="Times New Roman"/>
                      <w:b/>
                      <w:bCs/>
                      <w:kern w:val="0"/>
                      <w:sz w:val="21"/>
                      <w:szCs w:val="21"/>
                      <w:lang w:val="en-US" w:eastAsia="zh-CN"/>
                    </w:rPr>
                    <w:t>检测结果</w:t>
                  </w:r>
                </w:p>
              </w:tc>
              <w:tc>
                <w:tcPr>
                  <w:tcW w:w="1405" w:type="pct"/>
                  <w:gridSpan w:val="2"/>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trPr>
              <w:tc>
                <w:tcPr>
                  <w:tcW w:w="744" w:type="pct"/>
                  <w:vMerge w:val="continue"/>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rPr>
                  </w:pPr>
                </w:p>
              </w:tc>
              <w:tc>
                <w:tcPr>
                  <w:tcW w:w="673" w:type="pct"/>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rPr>
                  </w:pPr>
                  <w:r>
                    <w:rPr>
                      <w:rFonts w:hint="eastAsia" w:ascii="Times New Roman" w:hAnsi="Times New Roman" w:cs="Times New Roman"/>
                      <w:b/>
                      <w:bCs/>
                      <w:kern w:val="0"/>
                      <w:sz w:val="21"/>
                      <w:szCs w:val="21"/>
                      <w:lang w:val="en-US" w:eastAsia="zh-CN"/>
                    </w:rPr>
                    <w:t>B1</w:t>
                  </w:r>
                </w:p>
              </w:tc>
              <w:tc>
                <w:tcPr>
                  <w:tcW w:w="771" w:type="pct"/>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rPr>
                  </w:pPr>
                  <w:r>
                    <w:rPr>
                      <w:rFonts w:hint="eastAsia" w:ascii="Times New Roman" w:hAnsi="Times New Roman" w:cs="Times New Roman"/>
                      <w:b/>
                      <w:bCs/>
                      <w:kern w:val="0"/>
                      <w:sz w:val="21"/>
                      <w:szCs w:val="21"/>
                      <w:lang w:val="en-US" w:eastAsia="zh-CN"/>
                    </w:rPr>
                    <w:t>B3</w:t>
                  </w:r>
                </w:p>
              </w:tc>
              <w:tc>
                <w:tcPr>
                  <w:tcW w:w="702" w:type="pct"/>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lang w:val="en-US"/>
                    </w:rPr>
                  </w:pPr>
                  <w:r>
                    <w:rPr>
                      <w:rFonts w:hint="eastAsia" w:cs="Times New Roman"/>
                      <w:b/>
                      <w:bCs/>
                      <w:kern w:val="0"/>
                      <w:sz w:val="21"/>
                      <w:szCs w:val="21"/>
                      <w:lang w:val="en-US" w:eastAsia="zh-CN"/>
                    </w:rPr>
                    <w:t>B4</w:t>
                  </w:r>
                </w:p>
              </w:tc>
              <w:tc>
                <w:tcPr>
                  <w:tcW w:w="702" w:type="pct"/>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lang w:val="en-US"/>
                    </w:rPr>
                  </w:pPr>
                  <w:r>
                    <w:rPr>
                      <w:rFonts w:hint="eastAsia" w:ascii="Times New Roman" w:hAnsi="Times New Roman" w:cs="Times New Roman"/>
                      <w:b/>
                      <w:bCs/>
                      <w:kern w:val="0"/>
                      <w:sz w:val="21"/>
                      <w:szCs w:val="21"/>
                      <w:lang w:val="en-US" w:eastAsia="zh-CN"/>
                    </w:rPr>
                    <w:t>B</w:t>
                  </w:r>
                  <w:r>
                    <w:rPr>
                      <w:rFonts w:hint="eastAsia" w:cs="Times New Roman"/>
                      <w:b/>
                      <w:bCs/>
                      <w:kern w:val="0"/>
                      <w:sz w:val="21"/>
                      <w:szCs w:val="21"/>
                      <w:lang w:val="en-US" w:eastAsia="zh-CN"/>
                    </w:rPr>
                    <w:t>6</w:t>
                  </w:r>
                </w:p>
              </w:tc>
              <w:tc>
                <w:tcPr>
                  <w:tcW w:w="702" w:type="pct"/>
                  <w:vMerge w:val="restart"/>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第二类用地-筛选值</w:t>
                  </w:r>
                </w:p>
              </w:tc>
              <w:tc>
                <w:tcPr>
                  <w:tcW w:w="702" w:type="pct"/>
                  <w:vMerge w:val="restart"/>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风险筛选值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trPr>
              <w:tc>
                <w:tcPr>
                  <w:tcW w:w="744" w:type="pct"/>
                  <w:vMerge w:val="continue"/>
                  <w:shd w:val="clear" w:color="auto" w:fill="auto"/>
                  <w:noWrap w:val="0"/>
                  <w:vAlign w:val="center"/>
                </w:tcPr>
                <w:p>
                  <w:pPr>
                    <w:widowControl/>
                    <w:spacing w:line="240" w:lineRule="exact"/>
                    <w:jc w:val="center"/>
                  </w:pPr>
                </w:p>
              </w:tc>
              <w:tc>
                <w:tcPr>
                  <w:tcW w:w="673" w:type="pct"/>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0~20cm</w:t>
                  </w:r>
                </w:p>
              </w:tc>
              <w:tc>
                <w:tcPr>
                  <w:tcW w:w="771" w:type="pct"/>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0~20cm</w:t>
                  </w:r>
                </w:p>
              </w:tc>
              <w:tc>
                <w:tcPr>
                  <w:tcW w:w="702" w:type="pct"/>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0~20cm</w:t>
                  </w:r>
                </w:p>
              </w:tc>
              <w:tc>
                <w:tcPr>
                  <w:tcW w:w="702" w:type="pct"/>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0~20cm</w:t>
                  </w:r>
                </w:p>
              </w:tc>
              <w:tc>
                <w:tcPr>
                  <w:tcW w:w="702" w:type="pct"/>
                  <w:vMerge w:val="continue"/>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rPr>
                  </w:pPr>
                </w:p>
              </w:tc>
              <w:tc>
                <w:tcPr>
                  <w:tcW w:w="702" w:type="pct"/>
                  <w:vMerge w:val="continue"/>
                  <w:shd w:val="clear" w:color="auto" w:fill="auto"/>
                  <w:noWrap w:val="0"/>
                  <w:vAlign w:val="center"/>
                </w:tcPr>
                <w:p>
                  <w:pPr>
                    <w:widowControl/>
                    <w:spacing w:line="240" w:lineRule="exact"/>
                    <w:jc w:val="center"/>
                    <w:rPr>
                      <w:rFonts w:hint="default" w:ascii="Times New Roman" w:hAnsi="Times New Roman" w:cs="Times New Roman"/>
                      <w:b/>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49"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砷</w:t>
                  </w:r>
                </w:p>
              </w:tc>
              <w:tc>
                <w:tcPr>
                  <w:tcW w:w="1221"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14.4</w:t>
                  </w:r>
                </w:p>
              </w:tc>
              <w:tc>
                <w:tcPr>
                  <w:tcW w:w="1399"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13.9</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9.23</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12.0</w:t>
                  </w:r>
                </w:p>
              </w:tc>
              <w:tc>
                <w:tcPr>
                  <w:tcW w:w="127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60</w:t>
                  </w:r>
                </w:p>
              </w:tc>
              <w:tc>
                <w:tcPr>
                  <w:tcW w:w="702" w:type="pct"/>
                  <w:shd w:val="clear" w:color="auto" w:fill="auto"/>
                  <w:noWrap w:val="0"/>
                  <w:vAlign w:val="center"/>
                </w:tcPr>
                <w:p>
                  <w:pPr>
                    <w:widowControl/>
                    <w:spacing w:line="240" w:lineRule="exact"/>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2" w:hRule="atLeast"/>
              </w:trPr>
              <w:tc>
                <w:tcPr>
                  <w:tcW w:w="1349"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镉</w:t>
                  </w:r>
                </w:p>
              </w:tc>
              <w:tc>
                <w:tcPr>
                  <w:tcW w:w="1221"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0.058</w:t>
                  </w:r>
                </w:p>
              </w:tc>
              <w:tc>
                <w:tcPr>
                  <w:tcW w:w="1399"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0.049</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0.040</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0.035</w:t>
                  </w:r>
                </w:p>
              </w:tc>
              <w:tc>
                <w:tcPr>
                  <w:tcW w:w="127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65</w:t>
                  </w:r>
                </w:p>
              </w:tc>
              <w:tc>
                <w:tcPr>
                  <w:tcW w:w="702" w:type="pct"/>
                  <w:shd w:val="clear" w:color="auto" w:fill="auto"/>
                  <w:noWrap w:val="0"/>
                  <w:vAlign w:val="center"/>
                </w:tcPr>
                <w:p>
                  <w:pPr>
                    <w:widowControl/>
                    <w:spacing w:line="240" w:lineRule="exact"/>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49"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铬（六价）</w:t>
                  </w:r>
                </w:p>
              </w:tc>
              <w:tc>
                <w:tcPr>
                  <w:tcW w:w="1221"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lang w:val="en-US"/>
                    </w:rPr>
                  </w:pPr>
                  <w:r>
                    <w:rPr>
                      <w:rFonts w:hint="eastAsia"/>
                      <w:szCs w:val="21"/>
                      <w:lang w:val="en-US" w:eastAsia="zh-CN"/>
                    </w:rPr>
                    <w:t>0.25</w:t>
                  </w:r>
                </w:p>
              </w:tc>
              <w:tc>
                <w:tcPr>
                  <w:tcW w:w="1399"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0.25</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0.25</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0.25</w:t>
                  </w:r>
                </w:p>
              </w:tc>
              <w:tc>
                <w:tcPr>
                  <w:tcW w:w="127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5.7</w:t>
                  </w:r>
                </w:p>
              </w:tc>
              <w:tc>
                <w:tcPr>
                  <w:tcW w:w="702" w:type="pct"/>
                  <w:shd w:val="clear" w:color="auto" w:fill="auto"/>
                  <w:noWrap w:val="0"/>
                  <w:vAlign w:val="center"/>
                </w:tcPr>
                <w:p>
                  <w:pPr>
                    <w:widowControl/>
                    <w:spacing w:line="240" w:lineRule="exact"/>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49"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铜</w:t>
                  </w:r>
                </w:p>
              </w:tc>
              <w:tc>
                <w:tcPr>
                  <w:tcW w:w="1221"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20</w:t>
                  </w:r>
                </w:p>
              </w:tc>
              <w:tc>
                <w:tcPr>
                  <w:tcW w:w="1399"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21</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17</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16</w:t>
                  </w:r>
                </w:p>
              </w:tc>
              <w:tc>
                <w:tcPr>
                  <w:tcW w:w="127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18000</w:t>
                  </w:r>
                </w:p>
              </w:tc>
              <w:tc>
                <w:tcPr>
                  <w:tcW w:w="702" w:type="pct"/>
                  <w:shd w:val="clear" w:color="auto" w:fill="auto"/>
                  <w:noWrap w:val="0"/>
                  <w:vAlign w:val="center"/>
                </w:tcPr>
                <w:p>
                  <w:pPr>
                    <w:widowControl/>
                    <w:spacing w:line="240" w:lineRule="exact"/>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49"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铅</w:t>
                  </w:r>
                </w:p>
              </w:tc>
              <w:tc>
                <w:tcPr>
                  <w:tcW w:w="1221"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21</w:t>
                  </w:r>
                </w:p>
              </w:tc>
              <w:tc>
                <w:tcPr>
                  <w:tcW w:w="1399"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22</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20</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20</w:t>
                  </w:r>
                </w:p>
              </w:tc>
              <w:tc>
                <w:tcPr>
                  <w:tcW w:w="127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800</w:t>
                  </w:r>
                </w:p>
              </w:tc>
              <w:tc>
                <w:tcPr>
                  <w:tcW w:w="702" w:type="pct"/>
                  <w:shd w:val="clear" w:color="auto" w:fill="auto"/>
                  <w:noWrap w:val="0"/>
                  <w:vAlign w:val="center"/>
                </w:tcPr>
                <w:p>
                  <w:pPr>
                    <w:widowControl/>
                    <w:spacing w:line="240" w:lineRule="exact"/>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170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49"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汞</w:t>
                  </w:r>
                </w:p>
              </w:tc>
              <w:tc>
                <w:tcPr>
                  <w:tcW w:w="1221"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0.076</w:t>
                  </w:r>
                </w:p>
              </w:tc>
              <w:tc>
                <w:tcPr>
                  <w:tcW w:w="1399"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0.114</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0.058</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0.132</w:t>
                  </w:r>
                </w:p>
              </w:tc>
              <w:tc>
                <w:tcPr>
                  <w:tcW w:w="127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38</w:t>
                  </w:r>
                </w:p>
              </w:tc>
              <w:tc>
                <w:tcPr>
                  <w:tcW w:w="702" w:type="pct"/>
                  <w:shd w:val="clear" w:color="auto" w:fill="auto"/>
                  <w:noWrap w:val="0"/>
                  <w:vAlign w:val="center"/>
                </w:tcPr>
                <w:p>
                  <w:pPr>
                    <w:widowControl/>
                    <w:spacing w:line="240" w:lineRule="exact"/>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49" w:type="dxa"/>
                  <w:shd w:val="clear" w:color="auto" w:fill="auto"/>
                  <w:noWrap w:val="0"/>
                  <w:vAlign w:val="center"/>
                </w:tcPr>
                <w:p>
                  <w:pPr>
                    <w:jc w:val="center"/>
                    <w:rPr>
                      <w:rFonts w:hint="default" w:ascii="Times New Roman" w:hAnsi="Times New Roman" w:cs="Times New Roman"/>
                      <w:kern w:val="0"/>
                      <w:sz w:val="21"/>
                      <w:szCs w:val="21"/>
                      <w:highlight w:val="yellow"/>
                    </w:rPr>
                  </w:pPr>
                  <w:r>
                    <w:rPr>
                      <w:rFonts w:hint="eastAsia"/>
                      <w:szCs w:val="21"/>
                    </w:rPr>
                    <w:t>镍</w:t>
                  </w:r>
                </w:p>
              </w:tc>
              <w:tc>
                <w:tcPr>
                  <w:tcW w:w="1221" w:type="dxa"/>
                  <w:shd w:val="clear" w:color="auto" w:fill="auto"/>
                  <w:noWrap w:val="0"/>
                  <w:vAlign w:val="center"/>
                </w:tcPr>
                <w:p>
                  <w:pPr>
                    <w:jc w:val="center"/>
                    <w:rPr>
                      <w:rFonts w:hint="default" w:ascii="Times New Roman" w:hAnsi="Times New Roman" w:cs="Times New Roman"/>
                      <w:kern w:val="0"/>
                      <w:sz w:val="21"/>
                      <w:szCs w:val="21"/>
                      <w:highlight w:val="none"/>
                      <w:lang w:val="en-US"/>
                    </w:rPr>
                  </w:pPr>
                  <w:r>
                    <w:rPr>
                      <w:rFonts w:hint="eastAsia" w:cs="Times New Roman" w:eastAsiaTheme="minorEastAsia"/>
                      <w:sz w:val="21"/>
                      <w:szCs w:val="21"/>
                      <w:highlight w:val="none"/>
                      <w:lang w:val="en-US" w:eastAsia="zh-CN"/>
                    </w:rPr>
                    <w:t>27</w:t>
                  </w:r>
                </w:p>
              </w:tc>
              <w:tc>
                <w:tcPr>
                  <w:tcW w:w="1399" w:type="dxa"/>
                  <w:shd w:val="clear" w:color="auto" w:fill="auto"/>
                  <w:noWrap w:val="0"/>
                  <w:vAlign w:val="center"/>
                </w:tcPr>
                <w:p>
                  <w:pPr>
                    <w:jc w:val="center"/>
                    <w:rPr>
                      <w:rFonts w:hint="default" w:ascii="Times New Roman" w:hAnsi="Times New Roman" w:cs="Times New Roman"/>
                      <w:kern w:val="0"/>
                      <w:sz w:val="21"/>
                      <w:szCs w:val="21"/>
                      <w:highlight w:val="none"/>
                      <w:lang w:val="en-US"/>
                    </w:rPr>
                  </w:pPr>
                  <w:r>
                    <w:rPr>
                      <w:rFonts w:hint="eastAsia" w:cs="Times New Roman" w:eastAsiaTheme="minorEastAsia"/>
                      <w:sz w:val="21"/>
                      <w:szCs w:val="21"/>
                      <w:highlight w:val="none"/>
                      <w:lang w:val="en-US" w:eastAsia="zh-CN"/>
                    </w:rPr>
                    <w:t>27</w:t>
                  </w:r>
                </w:p>
              </w:tc>
              <w:tc>
                <w:tcPr>
                  <w:tcW w:w="1274" w:type="dxa"/>
                  <w:shd w:val="clear" w:color="auto" w:fill="auto"/>
                  <w:noWrap w:val="0"/>
                  <w:vAlign w:val="center"/>
                </w:tcPr>
                <w:p>
                  <w:pPr>
                    <w:jc w:val="center"/>
                    <w:rPr>
                      <w:rFonts w:hint="default" w:ascii="Times New Roman" w:hAnsi="Times New Roman" w:cs="Times New Roman"/>
                      <w:kern w:val="0"/>
                      <w:sz w:val="21"/>
                      <w:szCs w:val="21"/>
                      <w:highlight w:val="none"/>
                      <w:lang w:val="en-US"/>
                    </w:rPr>
                  </w:pPr>
                  <w:r>
                    <w:rPr>
                      <w:rFonts w:hint="eastAsia" w:cs="Times New Roman" w:eastAsiaTheme="minorEastAsia"/>
                      <w:sz w:val="21"/>
                      <w:szCs w:val="21"/>
                      <w:highlight w:val="none"/>
                      <w:lang w:val="en-US" w:eastAsia="zh-CN"/>
                    </w:rPr>
                    <w:t>28</w:t>
                  </w:r>
                </w:p>
              </w:tc>
              <w:tc>
                <w:tcPr>
                  <w:tcW w:w="1274" w:type="dxa"/>
                  <w:shd w:val="clear" w:color="auto" w:fill="auto"/>
                  <w:noWrap w:val="0"/>
                  <w:vAlign w:val="center"/>
                </w:tcPr>
                <w:p>
                  <w:pPr>
                    <w:jc w:val="center"/>
                    <w:rPr>
                      <w:rFonts w:hint="default" w:ascii="Times New Roman" w:hAnsi="Times New Roman" w:cs="Times New Roman"/>
                      <w:kern w:val="0"/>
                      <w:sz w:val="21"/>
                      <w:szCs w:val="21"/>
                      <w:highlight w:val="none"/>
                      <w:lang w:val="en-US"/>
                    </w:rPr>
                  </w:pPr>
                  <w:r>
                    <w:rPr>
                      <w:rFonts w:hint="eastAsia" w:cs="Times New Roman" w:eastAsiaTheme="minorEastAsia"/>
                      <w:sz w:val="21"/>
                      <w:szCs w:val="21"/>
                      <w:highlight w:val="none"/>
                      <w:lang w:val="en-US" w:eastAsia="zh-CN"/>
                    </w:rPr>
                    <w:t>20</w:t>
                  </w:r>
                </w:p>
              </w:tc>
              <w:tc>
                <w:tcPr>
                  <w:tcW w:w="1274" w:type="dxa"/>
                  <w:shd w:val="clear" w:color="auto" w:fill="auto"/>
                  <w:noWrap w:val="0"/>
                  <w:vAlign w:val="center"/>
                </w:tcPr>
                <w:p>
                  <w:pPr>
                    <w:widowControl/>
                    <w:spacing w:line="240" w:lineRule="auto"/>
                    <w:jc w:val="center"/>
                    <w:rPr>
                      <w:rFonts w:hint="default" w:ascii="Times New Roman" w:hAnsi="Times New Roman" w:cs="Times New Roman"/>
                      <w:kern w:val="0"/>
                      <w:sz w:val="21"/>
                      <w:szCs w:val="21"/>
                      <w:highlight w:val="none"/>
                    </w:rPr>
                  </w:pPr>
                  <w:r>
                    <w:rPr>
                      <w:rFonts w:hint="eastAsia" w:cs="Times New Roman"/>
                      <w:kern w:val="0"/>
                      <w:sz w:val="21"/>
                      <w:szCs w:val="21"/>
                      <w:highlight w:val="none"/>
                      <w:lang w:val="en-US" w:eastAsia="zh-CN"/>
                    </w:rPr>
                    <w:t>900</w:t>
                  </w:r>
                </w:p>
              </w:tc>
              <w:tc>
                <w:tcPr>
                  <w:tcW w:w="702" w:type="pct"/>
                  <w:shd w:val="clear" w:color="auto" w:fill="auto"/>
                  <w:noWrap w:val="0"/>
                  <w:vAlign w:val="center"/>
                </w:tcPr>
                <w:p>
                  <w:pPr>
                    <w:widowControl/>
                    <w:spacing w:line="240" w:lineRule="exact"/>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190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49" w:type="dxa"/>
                  <w:shd w:val="clear" w:color="auto" w:fill="auto"/>
                  <w:noWrap w:val="0"/>
                  <w:vAlign w:val="center"/>
                </w:tcPr>
                <w:p>
                  <w:pPr>
                    <w:spacing w:line="240" w:lineRule="exact"/>
                    <w:jc w:val="center"/>
                    <w:rPr>
                      <w:rFonts w:hint="default" w:ascii="Times New Roman" w:hAnsi="Times New Roman" w:cs="Times New Roman"/>
                      <w:kern w:val="0"/>
                      <w:sz w:val="21"/>
                      <w:szCs w:val="21"/>
                      <w:highlight w:val="yellow"/>
                    </w:rPr>
                  </w:pPr>
                  <w:r>
                    <w:rPr>
                      <w:color w:val="000000"/>
                      <w:szCs w:val="21"/>
                    </w:rPr>
                    <w:t>阳离子交换量</w:t>
                  </w:r>
                  <w:r>
                    <w:rPr>
                      <w:rFonts w:hint="eastAsia"/>
                      <w:color w:val="000000"/>
                      <w:szCs w:val="21"/>
                    </w:rPr>
                    <w:t>（cmol/kg)</w:t>
                  </w:r>
                </w:p>
              </w:tc>
              <w:tc>
                <w:tcPr>
                  <w:tcW w:w="1221"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5.6</w:t>
                  </w:r>
                </w:p>
              </w:tc>
              <w:tc>
                <w:tcPr>
                  <w:tcW w:w="1399"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4.4</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4.7</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 xml:space="preserve">3.7 </w:t>
                  </w:r>
                </w:p>
              </w:tc>
              <w:tc>
                <w:tcPr>
                  <w:tcW w:w="1274"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w:t>
                  </w:r>
                </w:p>
              </w:tc>
              <w:tc>
                <w:tcPr>
                  <w:tcW w:w="1274"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49" w:type="dxa"/>
                  <w:shd w:val="clear" w:color="auto" w:fill="auto"/>
                  <w:noWrap w:val="0"/>
                  <w:vAlign w:val="center"/>
                </w:tcPr>
                <w:p>
                  <w:pPr>
                    <w:spacing w:line="240" w:lineRule="exact"/>
                    <w:jc w:val="center"/>
                    <w:rPr>
                      <w:rFonts w:hint="default" w:ascii="Times New Roman" w:hAnsi="Times New Roman" w:cs="Times New Roman"/>
                      <w:kern w:val="0"/>
                      <w:sz w:val="21"/>
                      <w:szCs w:val="21"/>
                      <w:highlight w:val="yellow"/>
                    </w:rPr>
                  </w:pPr>
                  <w:r>
                    <w:rPr>
                      <w:color w:val="000000"/>
                      <w:szCs w:val="21"/>
                    </w:rPr>
                    <w:t>氧化还原电位</w:t>
                  </w:r>
                  <w:r>
                    <w:rPr>
                      <w:rFonts w:hint="eastAsia"/>
                      <w:color w:val="000000"/>
                      <w:szCs w:val="21"/>
                    </w:rPr>
                    <w:t>（mV）</w:t>
                  </w:r>
                </w:p>
              </w:tc>
              <w:tc>
                <w:tcPr>
                  <w:tcW w:w="1221"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378</w:t>
                  </w:r>
                </w:p>
              </w:tc>
              <w:tc>
                <w:tcPr>
                  <w:tcW w:w="1399"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380</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356</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376</w:t>
                  </w:r>
                </w:p>
              </w:tc>
              <w:tc>
                <w:tcPr>
                  <w:tcW w:w="1274"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w:t>
                  </w:r>
                </w:p>
              </w:tc>
              <w:tc>
                <w:tcPr>
                  <w:tcW w:w="1274"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49" w:type="dxa"/>
                  <w:shd w:val="clear" w:color="auto" w:fill="auto"/>
                  <w:noWrap w:val="0"/>
                  <w:vAlign w:val="center"/>
                </w:tcPr>
                <w:p>
                  <w:pPr>
                    <w:spacing w:line="240" w:lineRule="exact"/>
                    <w:jc w:val="center"/>
                    <w:rPr>
                      <w:color w:val="000000"/>
                      <w:szCs w:val="21"/>
                    </w:rPr>
                  </w:pPr>
                  <w:r>
                    <w:rPr>
                      <w:color w:val="000000"/>
                      <w:szCs w:val="21"/>
                    </w:rPr>
                    <w:t>土壤容</w:t>
                  </w:r>
                  <w:r>
                    <w:rPr>
                      <w:rFonts w:hint="eastAsia"/>
                      <w:color w:val="000000"/>
                      <w:szCs w:val="21"/>
                    </w:rPr>
                    <w:t>重</w:t>
                  </w:r>
                </w:p>
                <w:p>
                  <w:pPr>
                    <w:spacing w:line="240" w:lineRule="exact"/>
                    <w:jc w:val="center"/>
                    <w:rPr>
                      <w:rFonts w:hint="default" w:ascii="Times New Roman" w:hAnsi="Times New Roman" w:cs="Times New Roman"/>
                      <w:kern w:val="0"/>
                      <w:sz w:val="21"/>
                      <w:szCs w:val="21"/>
                      <w:highlight w:val="yellow"/>
                    </w:rPr>
                  </w:pPr>
                  <w:r>
                    <w:rPr>
                      <w:color w:val="000000"/>
                      <w:szCs w:val="21"/>
                    </w:rPr>
                    <w:t>/（kg/m</w:t>
                  </w:r>
                  <w:r>
                    <w:rPr>
                      <w:color w:val="000000"/>
                      <w:szCs w:val="21"/>
                      <w:vertAlign w:val="superscript"/>
                    </w:rPr>
                    <w:t>3</w:t>
                  </w:r>
                  <w:r>
                    <w:rPr>
                      <w:color w:val="000000"/>
                      <w:szCs w:val="21"/>
                    </w:rPr>
                    <w:t>）</w:t>
                  </w:r>
                </w:p>
              </w:tc>
              <w:tc>
                <w:tcPr>
                  <w:tcW w:w="1221"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1.28</w:t>
                  </w:r>
                </w:p>
              </w:tc>
              <w:tc>
                <w:tcPr>
                  <w:tcW w:w="1399"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1.42</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1.49</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1.70</w:t>
                  </w:r>
                </w:p>
              </w:tc>
              <w:tc>
                <w:tcPr>
                  <w:tcW w:w="1274"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w:t>
                  </w:r>
                </w:p>
              </w:tc>
              <w:tc>
                <w:tcPr>
                  <w:tcW w:w="1274"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49" w:type="dxa"/>
                  <w:shd w:val="clear" w:color="auto" w:fill="auto"/>
                  <w:noWrap w:val="0"/>
                  <w:vAlign w:val="center"/>
                </w:tcPr>
                <w:p>
                  <w:pPr>
                    <w:spacing w:line="240" w:lineRule="exact"/>
                    <w:jc w:val="center"/>
                    <w:rPr>
                      <w:rFonts w:hint="default" w:ascii="Times New Roman" w:hAnsi="Times New Roman" w:cs="Times New Roman"/>
                      <w:kern w:val="0"/>
                      <w:sz w:val="21"/>
                      <w:szCs w:val="21"/>
                      <w:highlight w:val="yellow"/>
                    </w:rPr>
                  </w:pPr>
                  <w:r>
                    <w:rPr>
                      <w:color w:val="000000"/>
                      <w:szCs w:val="21"/>
                    </w:rPr>
                    <w:t>孔隙度</w:t>
                  </w:r>
                  <w:r>
                    <w:rPr>
                      <w:rFonts w:hint="eastAsia"/>
                      <w:color w:val="000000"/>
                      <w:szCs w:val="21"/>
                    </w:rPr>
                    <w:t>（%）</w:t>
                  </w:r>
                </w:p>
              </w:tc>
              <w:tc>
                <w:tcPr>
                  <w:tcW w:w="1221"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52</w:t>
                  </w:r>
                </w:p>
              </w:tc>
              <w:tc>
                <w:tcPr>
                  <w:tcW w:w="1399"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47</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44</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36</w:t>
                  </w:r>
                </w:p>
              </w:tc>
              <w:tc>
                <w:tcPr>
                  <w:tcW w:w="1274"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w:t>
                  </w:r>
                </w:p>
              </w:tc>
              <w:tc>
                <w:tcPr>
                  <w:tcW w:w="1274"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349" w:type="dxa"/>
                  <w:shd w:val="clear" w:color="auto" w:fill="auto"/>
                  <w:noWrap w:val="0"/>
                  <w:vAlign w:val="center"/>
                </w:tcPr>
                <w:p>
                  <w:pPr>
                    <w:spacing w:line="240" w:lineRule="exact"/>
                    <w:jc w:val="center"/>
                    <w:rPr>
                      <w:rFonts w:hint="default" w:ascii="Times New Roman" w:hAnsi="Times New Roman" w:cs="Times New Roman"/>
                      <w:kern w:val="0"/>
                      <w:sz w:val="21"/>
                      <w:szCs w:val="21"/>
                      <w:highlight w:val="yellow"/>
                    </w:rPr>
                  </w:pPr>
                  <w:r>
                    <w:rPr>
                      <w:rFonts w:hint="eastAsia"/>
                      <w:color w:val="000000"/>
                      <w:szCs w:val="21"/>
                      <w:lang w:eastAsia="zh-CN"/>
                    </w:rPr>
                    <w:t>饱和导水率（</w:t>
                  </w:r>
                  <w:r>
                    <w:rPr>
                      <w:rFonts w:hint="eastAsia"/>
                      <w:color w:val="000000"/>
                      <w:szCs w:val="21"/>
                      <w:lang w:val="en-US" w:eastAsia="zh-CN"/>
                    </w:rPr>
                    <w:t>cm/s</w:t>
                  </w:r>
                  <w:r>
                    <w:rPr>
                      <w:rFonts w:hint="eastAsia"/>
                      <w:color w:val="000000"/>
                      <w:szCs w:val="21"/>
                      <w:lang w:eastAsia="zh-CN"/>
                    </w:rPr>
                    <w:t>）</w:t>
                  </w:r>
                </w:p>
              </w:tc>
              <w:tc>
                <w:tcPr>
                  <w:tcW w:w="1221"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0.06</w:t>
                  </w:r>
                </w:p>
              </w:tc>
              <w:tc>
                <w:tcPr>
                  <w:tcW w:w="1399"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0.05</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0.02</w:t>
                  </w:r>
                </w:p>
              </w:tc>
              <w:tc>
                <w:tcPr>
                  <w:tcW w:w="1274" w:type="dxa"/>
                  <w:shd w:val="clear" w:color="auto" w:fill="auto"/>
                  <w:noWrap w:val="0"/>
                  <w:vAlign w:val="center"/>
                </w:tcPr>
                <w:p>
                  <w:pPr>
                    <w:widowControl/>
                    <w:spacing w:line="0" w:lineRule="atLeast"/>
                    <w:jc w:val="center"/>
                    <w:rPr>
                      <w:rFonts w:hint="default" w:ascii="Times New Roman" w:hAnsi="Times New Roman" w:cs="Times New Roman"/>
                      <w:kern w:val="0"/>
                      <w:sz w:val="21"/>
                      <w:szCs w:val="21"/>
                      <w:highlight w:val="yellow"/>
                    </w:rPr>
                  </w:pPr>
                  <w:r>
                    <w:rPr>
                      <w:rFonts w:hint="eastAsia"/>
                      <w:szCs w:val="21"/>
                      <w:lang w:val="en-US" w:eastAsia="zh-CN"/>
                    </w:rPr>
                    <w:t>0.03</w:t>
                  </w:r>
                </w:p>
              </w:tc>
              <w:tc>
                <w:tcPr>
                  <w:tcW w:w="1274"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none"/>
                    </w:rPr>
                  </w:pPr>
                </w:p>
              </w:tc>
              <w:tc>
                <w:tcPr>
                  <w:tcW w:w="1274" w:type="dxa"/>
                  <w:shd w:val="clear" w:color="auto" w:fill="auto"/>
                  <w:noWrap w:val="0"/>
                  <w:vAlign w:val="center"/>
                </w:tcPr>
                <w:p>
                  <w:pPr>
                    <w:widowControl/>
                    <w:spacing w:line="240" w:lineRule="exact"/>
                    <w:jc w:val="center"/>
                    <w:rPr>
                      <w:rFonts w:hint="default" w:ascii="Times New Roman" w:hAnsi="Times New Roman" w:cs="Times New Roman"/>
                      <w:kern w:val="0"/>
                      <w:sz w:val="21"/>
                      <w:szCs w:val="21"/>
                      <w:highlight w:val="none"/>
                    </w:rPr>
                  </w:pPr>
                </w:p>
              </w:tc>
            </w:tr>
          </w:tbl>
          <w:p>
            <w:pPr>
              <w:spacing w:line="360" w:lineRule="auto"/>
              <w:ind w:firstLine="480" w:firstLineChars="200"/>
              <w:rPr>
                <w:rFonts w:hint="default" w:ascii="Times New Roman" w:hAnsi="Times New Roman" w:eastAsia="黑体" w:cs="Times New Roman"/>
                <w:color w:val="000000"/>
                <w:kern w:val="2"/>
                <w:sz w:val="24"/>
                <w:szCs w:val="24"/>
                <w:highlight w:val="none"/>
                <w:lang w:val="en-US" w:eastAsia="zh-CN" w:bidi="ar-SA"/>
              </w:rPr>
            </w:pPr>
            <w:r>
              <w:rPr>
                <w:rFonts w:hint="default" w:ascii="Times New Roman" w:hAnsi="Times New Roman" w:cs="Times New Roman"/>
                <w:sz w:val="24"/>
                <w:szCs w:val="24"/>
                <w:highlight w:val="none"/>
              </w:rPr>
              <w:t>由表3-</w:t>
            </w:r>
            <w:r>
              <w:rPr>
                <w:rFonts w:hint="default" w:ascii="Times New Roman" w:hAnsi="Times New Roman" w:cs="Times New Roman"/>
                <w:sz w:val="24"/>
                <w:szCs w:val="24"/>
                <w:highlight w:val="none"/>
                <w:lang w:val="en-US" w:eastAsia="zh-CN"/>
              </w:rPr>
              <w:t>1</w:t>
            </w:r>
            <w:r>
              <w:rPr>
                <w:rFonts w:hint="eastAsia" w:cs="Times New Roman"/>
                <w:sz w:val="24"/>
                <w:szCs w:val="24"/>
                <w:highlight w:val="none"/>
                <w:lang w:val="en-US" w:eastAsia="zh-CN"/>
              </w:rPr>
              <w:t>2、表3-13</w:t>
            </w:r>
            <w:r>
              <w:rPr>
                <w:rFonts w:hint="default" w:ascii="Times New Roman" w:hAnsi="Times New Roman" w:cs="Times New Roman"/>
                <w:sz w:val="24"/>
                <w:szCs w:val="24"/>
                <w:highlight w:val="none"/>
              </w:rPr>
              <w:t>可知，监测期间采矿区范围内</w:t>
            </w:r>
            <w:r>
              <w:rPr>
                <w:rFonts w:hint="eastAsia" w:cs="Times New Roman"/>
                <w:sz w:val="24"/>
                <w:szCs w:val="24"/>
                <w:highlight w:val="none"/>
                <w:lang w:val="en-US" w:eastAsia="zh-CN"/>
              </w:rPr>
              <w:t>B1、B2、B3、B4、B5、B6</w:t>
            </w:r>
            <w:r>
              <w:rPr>
                <w:rFonts w:hint="default" w:ascii="Times New Roman" w:hAnsi="Times New Roman" w:cs="Times New Roman"/>
                <w:sz w:val="24"/>
                <w:szCs w:val="24"/>
                <w:highlight w:val="none"/>
              </w:rPr>
              <w:t>监测点位各评价因子单项指数均＜1，</w:t>
            </w:r>
            <w:r>
              <w:rPr>
                <w:rFonts w:hint="eastAsia" w:cs="Times New Roman"/>
                <w:sz w:val="24"/>
                <w:szCs w:val="24"/>
                <w:highlight w:val="none"/>
                <w:lang w:eastAsia="zh-CN"/>
              </w:rPr>
              <w:t>因此，</w:t>
            </w:r>
            <w:r>
              <w:rPr>
                <w:rFonts w:hint="eastAsia" w:cs="Times New Roman"/>
                <w:sz w:val="24"/>
                <w:szCs w:val="24"/>
                <w:highlight w:val="none"/>
                <w:lang w:val="en-US" w:eastAsia="zh-CN"/>
              </w:rPr>
              <w:t>B1、B2、B3</w:t>
            </w:r>
            <w:r>
              <w:rPr>
                <w:rFonts w:hint="default" w:ascii="Times New Roman" w:hAnsi="Times New Roman" w:cs="Times New Roman"/>
                <w:sz w:val="24"/>
                <w:szCs w:val="24"/>
                <w:highlight w:val="none"/>
              </w:rPr>
              <w:t>监测点位各监测因子均满足《土壤环境质量标准 建设用地土壤污染风险管控指标(试行)》(GB36600-2018)表1中第二类用地的筛选值限值要求，</w:t>
            </w:r>
            <w:r>
              <w:rPr>
                <w:rFonts w:hint="eastAsia" w:cs="Times New Roman"/>
                <w:sz w:val="24"/>
                <w:szCs w:val="24"/>
                <w:highlight w:val="none"/>
                <w:lang w:val="en-US" w:eastAsia="zh-CN"/>
              </w:rPr>
              <w:t>B4、B5、B6</w:t>
            </w:r>
            <w:r>
              <w:rPr>
                <w:rFonts w:hint="default" w:ascii="Times New Roman" w:hAnsi="Times New Roman" w:cs="Times New Roman"/>
                <w:sz w:val="24"/>
                <w:szCs w:val="24"/>
                <w:highlight w:val="none"/>
              </w:rPr>
              <w:t>监测点位各监测因子均满足《土壤环境质量 农用地土壤污染风险管控标准(试行)》(GB 15618-2018)中风险筛选值要求</w:t>
            </w:r>
            <w:r>
              <w:rPr>
                <w:rFonts w:hint="eastAsia" w:cs="Times New Roman"/>
                <w:sz w:val="24"/>
                <w:szCs w:val="24"/>
                <w:highlight w:val="none"/>
                <w:lang w:eastAsia="zh-CN"/>
              </w:rPr>
              <w:t>，</w:t>
            </w:r>
            <w:r>
              <w:rPr>
                <w:rFonts w:hint="default" w:ascii="Times New Roman" w:hAnsi="Times New Roman" w:cs="Times New Roman"/>
                <w:sz w:val="24"/>
                <w:szCs w:val="24"/>
                <w:highlight w:val="none"/>
              </w:rPr>
              <w:t>表明采样点土壤中各监测因子对人体健康的风险可以忽略。</w:t>
            </w:r>
          </w:p>
          <w:p>
            <w:pPr>
              <w:adjustRightInd w:val="0"/>
              <w:spacing w:line="360" w:lineRule="auto"/>
              <w:ind w:firstLine="0" w:firstLineChars="0"/>
              <w:jc w:val="left"/>
              <w:rPr>
                <w:rFonts w:hint="eastAsia"/>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286" w:type="dxa"/>
            <w:noWrap w:val="0"/>
            <w:vAlign w:val="top"/>
          </w:tcPr>
          <w:p>
            <w:pPr>
              <w:adjustRightInd w:val="0"/>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主要环境保护目标(列出名单及保护目标)：</w:t>
            </w:r>
          </w:p>
          <w:p>
            <w:pPr>
              <w:pStyle w:val="8"/>
              <w:spacing w:after="0" w:line="360" w:lineRule="auto"/>
              <w:ind w:firstLine="480"/>
              <w:rPr>
                <w:rFonts w:hint="eastAsia" w:ascii="Times New Roman" w:hAnsi="Times New Roman" w:eastAsia="黑体" w:cs="Times New Roman"/>
                <w:sz w:val="24"/>
              </w:rPr>
            </w:pPr>
            <w:r>
              <w:rPr>
                <w:rFonts w:hint="default" w:ascii="Times New Roman" w:hAnsi="Times New Roman" w:cs="Times New Roman"/>
                <w:sz w:val="24"/>
              </w:rPr>
              <w:t>根据现场勘查，场地范围内没有名胜古迹、自然保护区、温泉、疗养地等国家明令规定的保护对象。本项目各环境要素主要环境保护目标见表</w:t>
            </w:r>
            <w:r>
              <w:rPr>
                <w:rFonts w:hint="eastAsia" w:ascii="Times New Roman" w:hAnsi="Times New Roman" w:cs="Times New Roman"/>
                <w:sz w:val="24"/>
                <w:lang w:val="en-US" w:eastAsia="zh-CN"/>
              </w:rPr>
              <w:t>3-16</w:t>
            </w:r>
            <w:r>
              <w:rPr>
                <w:rFonts w:hint="default" w:ascii="Times New Roman" w:hAnsi="Times New Roman" w:cs="Times New Roman"/>
                <w:sz w:val="24"/>
              </w:rPr>
              <w:t>，本项目外环境关系图</w:t>
            </w:r>
            <w:r>
              <w:rPr>
                <w:rFonts w:hint="default" w:ascii="Times New Roman" w:hAnsi="Times New Roman" w:cs="Times New Roman"/>
                <w:sz w:val="24"/>
                <w:highlight w:val="none"/>
              </w:rPr>
              <w:t>见图</w:t>
            </w:r>
            <w:r>
              <w:rPr>
                <w:rFonts w:hint="eastAsia" w:ascii="Times New Roman" w:hAnsi="Times New Roman" w:cs="Times New Roman"/>
                <w:sz w:val="24"/>
                <w:highlight w:val="none"/>
                <w:lang w:val="en-US" w:eastAsia="zh-CN"/>
              </w:rPr>
              <w:t>1-5、附图1-6</w:t>
            </w:r>
            <w:r>
              <w:rPr>
                <w:rFonts w:hint="default" w:ascii="Times New Roman" w:hAnsi="Times New Roman" w:cs="Times New Roman"/>
                <w:sz w:val="24"/>
                <w:highlight w:val="none"/>
              </w:rPr>
              <w:t>，</w:t>
            </w:r>
            <w:r>
              <w:rPr>
                <w:rFonts w:hint="default" w:ascii="Times New Roman" w:hAnsi="Times New Roman" w:cs="Times New Roman"/>
                <w:sz w:val="24"/>
              </w:rPr>
              <w:t>具体要求：①环境空气质量符合《环境空气质量标准》（GB3095-2012）中的二级标准；②声环境质量符合《声环境质量标准》（GB3096-2008）中的</w:t>
            </w:r>
            <w:r>
              <w:rPr>
                <w:rFonts w:hint="eastAsia" w:ascii="Times New Roman" w:hAnsi="Times New Roman" w:cs="Times New Roman"/>
                <w:sz w:val="24"/>
                <w:lang w:val="en-US" w:eastAsia="zh-CN"/>
              </w:rPr>
              <w:t>2</w:t>
            </w:r>
            <w:r>
              <w:rPr>
                <w:rFonts w:hint="default" w:ascii="Times New Roman" w:hAnsi="Times New Roman" w:cs="Times New Roman"/>
                <w:sz w:val="24"/>
              </w:rPr>
              <w:t>类区标准</w:t>
            </w:r>
            <w:r>
              <w:rPr>
                <w:rFonts w:hint="default" w:ascii="Times New Roman" w:hAnsi="Times New Roman" w:cs="Times New Roman"/>
                <w:sz w:val="24"/>
                <w:lang w:eastAsia="zh-CN"/>
              </w:rPr>
              <w:t>。</w:t>
            </w:r>
          </w:p>
          <w:p>
            <w:pPr>
              <w:tabs>
                <w:tab w:val="left" w:pos="3405"/>
              </w:tabs>
              <w:adjustRightInd w:val="0"/>
              <w:snapToGrid w:val="0"/>
              <w:spacing w:line="360" w:lineRule="auto"/>
              <w:jc w:val="center"/>
              <w:rPr>
                <w:rFonts w:hint="default" w:ascii="Times New Roman" w:hAnsi="Times New Roman" w:eastAsia="黑体" w:cs="Times New Roman"/>
                <w:sz w:val="24"/>
                <w:lang w:eastAsia="zh-CN"/>
              </w:rPr>
            </w:pPr>
            <w:r>
              <w:rPr>
                <w:rFonts w:hint="eastAsia" w:ascii="Times New Roman" w:hAnsi="Times New Roman" w:eastAsia="黑体" w:cs="Times New Roman"/>
                <w:sz w:val="24"/>
              </w:rPr>
              <w:t>表</w:t>
            </w:r>
            <w:r>
              <w:rPr>
                <w:rFonts w:hint="eastAsia" w:ascii="Times New Roman" w:hAnsi="Times New Roman" w:eastAsia="黑体" w:cs="Times New Roman"/>
                <w:sz w:val="24"/>
                <w:lang w:val="en-US" w:eastAsia="zh-CN"/>
              </w:rPr>
              <w:t>3-</w:t>
            </w:r>
            <w:r>
              <w:rPr>
                <w:rFonts w:hint="eastAsia" w:eastAsia="黑体" w:cs="Times New Roman"/>
                <w:sz w:val="24"/>
                <w:lang w:val="en-US" w:eastAsia="zh-CN"/>
              </w:rPr>
              <w:t>16</w:t>
            </w:r>
            <w:r>
              <w:rPr>
                <w:rFonts w:hint="eastAsia" w:ascii="Times New Roman" w:hAnsi="Times New Roman" w:eastAsia="黑体" w:cs="Times New Roman"/>
                <w:sz w:val="24"/>
                <w:lang w:val="en-US" w:eastAsia="zh-CN"/>
              </w:rPr>
              <w:t xml:space="preserve">  环境保护目标一览表</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3"/>
              <w:gridCol w:w="859"/>
              <w:gridCol w:w="1213"/>
              <w:gridCol w:w="1245"/>
              <w:gridCol w:w="912"/>
              <w:gridCol w:w="764"/>
              <w:gridCol w:w="900"/>
              <w:gridCol w:w="886"/>
              <w:gridCol w:w="13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2" w:type="dxa"/>
                  <w:gridSpan w:val="2"/>
                  <w:vMerge w:val="restart"/>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r>
                    <w:rPr>
                      <w:rFonts w:hint="default" w:ascii="Times New Roman" w:hAnsi="Times New Roman" w:eastAsia="宋体" w:cs="Times New Roman"/>
                      <w:b/>
                      <w:bCs/>
                      <w:sz w:val="21"/>
                      <w:szCs w:val="21"/>
                      <w:highlight w:val="none"/>
                      <w:lang w:val="en-US" w:eastAsia="zh-CN"/>
                    </w:rPr>
                    <w:t>名称</w:t>
                  </w:r>
                </w:p>
              </w:tc>
              <w:tc>
                <w:tcPr>
                  <w:tcW w:w="2458" w:type="dxa"/>
                  <w:gridSpan w:val="2"/>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r>
                    <w:rPr>
                      <w:rFonts w:hint="default" w:ascii="Times New Roman" w:hAnsi="Times New Roman" w:eastAsia="宋体" w:cs="Times New Roman"/>
                      <w:b/>
                      <w:bCs/>
                      <w:sz w:val="21"/>
                      <w:szCs w:val="21"/>
                      <w:highlight w:val="none"/>
                      <w:lang w:val="en-US" w:eastAsia="zh-CN"/>
                    </w:rPr>
                    <w:t>坐标</w:t>
                  </w:r>
                </w:p>
              </w:tc>
              <w:tc>
                <w:tcPr>
                  <w:tcW w:w="912" w:type="dxa"/>
                  <w:vMerge w:val="restart"/>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r>
                    <w:rPr>
                      <w:rFonts w:hint="default" w:ascii="Times New Roman" w:hAnsi="Times New Roman" w:eastAsia="宋体" w:cs="Times New Roman"/>
                      <w:b/>
                      <w:bCs/>
                      <w:sz w:val="21"/>
                      <w:szCs w:val="21"/>
                      <w:highlight w:val="none"/>
                      <w:lang w:val="en-US" w:eastAsia="zh-CN"/>
                    </w:rPr>
                    <w:t>保护对象</w:t>
                  </w:r>
                </w:p>
              </w:tc>
              <w:tc>
                <w:tcPr>
                  <w:tcW w:w="764" w:type="dxa"/>
                  <w:vMerge w:val="restart"/>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r>
                    <w:rPr>
                      <w:rFonts w:hint="default" w:ascii="Times New Roman" w:hAnsi="Times New Roman" w:eastAsia="宋体" w:cs="Times New Roman"/>
                      <w:b/>
                      <w:bCs/>
                      <w:sz w:val="21"/>
                      <w:szCs w:val="21"/>
                      <w:highlight w:val="none"/>
                      <w:lang w:val="en-US" w:eastAsia="zh-CN"/>
                    </w:rPr>
                    <w:t>保护内容</w:t>
                  </w:r>
                </w:p>
              </w:tc>
              <w:tc>
                <w:tcPr>
                  <w:tcW w:w="900" w:type="dxa"/>
                  <w:vMerge w:val="restart"/>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r>
                    <w:rPr>
                      <w:rFonts w:hint="default" w:ascii="Times New Roman" w:hAnsi="Times New Roman" w:eastAsia="宋体" w:cs="Times New Roman"/>
                      <w:b/>
                      <w:bCs/>
                      <w:sz w:val="21"/>
                      <w:szCs w:val="21"/>
                      <w:highlight w:val="none"/>
                      <w:lang w:val="en-US" w:eastAsia="zh-CN"/>
                    </w:rPr>
                    <w:t>环境功能区</w:t>
                  </w:r>
                </w:p>
              </w:tc>
              <w:tc>
                <w:tcPr>
                  <w:tcW w:w="886" w:type="dxa"/>
                  <w:vMerge w:val="restart"/>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r>
                    <w:rPr>
                      <w:rFonts w:hint="default" w:ascii="Times New Roman" w:hAnsi="Times New Roman" w:eastAsia="宋体" w:cs="Times New Roman"/>
                      <w:b/>
                      <w:bCs/>
                      <w:sz w:val="21"/>
                      <w:szCs w:val="21"/>
                      <w:highlight w:val="none"/>
                      <w:lang w:val="en-US" w:eastAsia="zh-CN"/>
                    </w:rPr>
                    <w:t>相对厂址位置</w:t>
                  </w:r>
                </w:p>
              </w:tc>
              <w:tc>
                <w:tcPr>
                  <w:tcW w:w="1358" w:type="dxa"/>
                  <w:vMerge w:val="restart"/>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lang w:val="en-US"/>
                    </w:rPr>
                  </w:pPr>
                  <w:r>
                    <w:rPr>
                      <w:rFonts w:hint="default" w:ascii="Times New Roman" w:hAnsi="Times New Roman" w:eastAsia="宋体" w:cs="Times New Roman"/>
                      <w:b/>
                      <w:bCs/>
                      <w:sz w:val="21"/>
                      <w:szCs w:val="21"/>
                      <w:highlight w:val="none"/>
                      <w:lang w:val="en-US" w:eastAsia="zh-CN"/>
                    </w:rPr>
                    <w:t>相对厂址距离</w:t>
                  </w:r>
                  <w:r>
                    <w:rPr>
                      <w:rFonts w:hint="eastAsia" w:cs="Times New Roman"/>
                      <w:b/>
                      <w:bCs/>
                      <w:sz w:val="21"/>
                      <w:szCs w:val="21"/>
                      <w:highlight w:val="none"/>
                      <w:lang w:val="en-US" w:eastAsia="zh-CN"/>
                    </w:rPr>
                    <w:t>(单位：m）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2" w:type="dxa"/>
                  <w:gridSpan w:val="2"/>
                  <w:vMerge w:val="continue"/>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p>
              </w:tc>
              <w:tc>
                <w:tcPr>
                  <w:tcW w:w="1213" w:type="dxa"/>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lang w:val="en-US"/>
                    </w:rPr>
                  </w:pPr>
                  <w:r>
                    <w:rPr>
                      <w:rFonts w:hint="default" w:ascii="Times New Roman" w:hAnsi="Times New Roman" w:cs="Times New Roman"/>
                      <w:highlight w:val="none"/>
                      <w:lang w:val="en-US" w:eastAsia="zh-CN"/>
                    </w:rPr>
                    <w:t>X</w:t>
                  </w:r>
                  <w:r>
                    <w:rPr>
                      <w:rFonts w:hint="eastAsia" w:cs="Times New Roman"/>
                      <w:highlight w:val="none"/>
                      <w:lang w:val="en-US" w:eastAsia="zh-CN"/>
                    </w:rPr>
                    <w:t>°</w:t>
                  </w:r>
                </w:p>
              </w:tc>
              <w:tc>
                <w:tcPr>
                  <w:tcW w:w="1245" w:type="dxa"/>
                  <w:tcBorders>
                    <w:tl2br w:val="nil"/>
                    <w:tr2bl w:val="nil"/>
                  </w:tcBorders>
                  <w:noWrap w:val="0"/>
                  <w:vAlign w:val="center"/>
                </w:tcPr>
                <w:p>
                  <w:pPr>
                    <w:adjustRightInd w:val="0"/>
                    <w:snapToGrid w:val="0"/>
                    <w:jc w:val="center"/>
                    <w:rPr>
                      <w:rFonts w:hint="eastAsia" w:ascii="Times New Roman" w:hAnsi="Times New Roman" w:eastAsia="宋体" w:cs="Times New Roman"/>
                      <w:highlight w:val="none"/>
                      <w:lang w:val="en-US" w:eastAsia="zh-CN"/>
                    </w:rPr>
                  </w:pPr>
                  <w:r>
                    <w:rPr>
                      <w:rFonts w:hint="default" w:ascii="Times New Roman" w:hAnsi="Times New Roman" w:eastAsia="宋体" w:cs="Times New Roman"/>
                      <w:b/>
                      <w:bCs/>
                      <w:sz w:val="21"/>
                      <w:szCs w:val="21"/>
                      <w:highlight w:val="none"/>
                      <w:lang w:val="en-US" w:eastAsia="zh-CN"/>
                    </w:rPr>
                    <w:t>Y</w:t>
                  </w:r>
                  <w:r>
                    <w:rPr>
                      <w:rFonts w:hint="eastAsia"/>
                      <w:lang w:val="en-US" w:eastAsia="zh-CN"/>
                    </w:rPr>
                    <w:t>°</w:t>
                  </w:r>
                </w:p>
              </w:tc>
              <w:tc>
                <w:tcPr>
                  <w:tcW w:w="912" w:type="dxa"/>
                  <w:vMerge w:val="continue"/>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p>
              </w:tc>
              <w:tc>
                <w:tcPr>
                  <w:tcW w:w="764" w:type="dxa"/>
                  <w:vMerge w:val="continue"/>
                  <w:tcBorders>
                    <w:tl2br w:val="nil"/>
                    <w:tr2bl w:val="nil"/>
                  </w:tcBorders>
                  <w:noWrap w:val="0"/>
                  <w:vAlign w:val="center"/>
                </w:tcPr>
                <w:p>
                  <w:pPr>
                    <w:pStyle w:val="8"/>
                    <w:spacing w:after="0" w:line="240" w:lineRule="auto"/>
                    <w:jc w:val="center"/>
                    <w:rPr>
                      <w:rFonts w:hint="default" w:ascii="Times New Roman" w:hAnsi="Times New Roman" w:cs="Times New Roman"/>
                      <w:sz w:val="21"/>
                      <w:szCs w:val="20"/>
                      <w:highlight w:val="none"/>
                      <w:vertAlign w:val="baseline"/>
                    </w:rPr>
                  </w:pPr>
                </w:p>
              </w:tc>
              <w:tc>
                <w:tcPr>
                  <w:tcW w:w="900" w:type="dxa"/>
                  <w:vMerge w:val="continue"/>
                  <w:tcBorders>
                    <w:tl2br w:val="nil"/>
                    <w:tr2bl w:val="nil"/>
                  </w:tcBorders>
                  <w:noWrap w:val="0"/>
                  <w:vAlign w:val="center"/>
                </w:tcPr>
                <w:p>
                  <w:pPr>
                    <w:pStyle w:val="8"/>
                    <w:spacing w:after="0" w:line="240" w:lineRule="auto"/>
                    <w:jc w:val="center"/>
                    <w:rPr>
                      <w:rFonts w:hint="default" w:ascii="Times New Roman" w:hAnsi="Times New Roman" w:cs="Times New Roman"/>
                      <w:sz w:val="21"/>
                      <w:szCs w:val="20"/>
                      <w:highlight w:val="none"/>
                      <w:vertAlign w:val="baseline"/>
                    </w:rPr>
                  </w:pPr>
                </w:p>
              </w:tc>
              <w:tc>
                <w:tcPr>
                  <w:tcW w:w="886" w:type="dxa"/>
                  <w:vMerge w:val="continue"/>
                  <w:tcBorders>
                    <w:tl2br w:val="nil"/>
                    <w:tr2bl w:val="nil"/>
                  </w:tcBorders>
                  <w:noWrap w:val="0"/>
                  <w:vAlign w:val="center"/>
                </w:tcPr>
                <w:p>
                  <w:pPr>
                    <w:pStyle w:val="8"/>
                    <w:spacing w:after="0" w:line="240" w:lineRule="auto"/>
                    <w:jc w:val="center"/>
                    <w:rPr>
                      <w:rFonts w:hint="default" w:ascii="Times New Roman" w:hAnsi="Times New Roman" w:cs="Times New Roman"/>
                      <w:sz w:val="21"/>
                      <w:szCs w:val="20"/>
                      <w:highlight w:val="none"/>
                      <w:vertAlign w:val="baseline"/>
                    </w:rPr>
                  </w:pPr>
                </w:p>
              </w:tc>
              <w:tc>
                <w:tcPr>
                  <w:tcW w:w="1358" w:type="dxa"/>
                  <w:vMerge w:val="continue"/>
                  <w:tcBorders>
                    <w:tl2br w:val="nil"/>
                    <w:tr2bl w:val="nil"/>
                  </w:tcBorders>
                  <w:noWrap w:val="0"/>
                  <w:vAlign w:val="center"/>
                </w:tcPr>
                <w:p>
                  <w:pPr>
                    <w:pStyle w:val="8"/>
                    <w:spacing w:after="0" w:line="240" w:lineRule="auto"/>
                    <w:jc w:val="center"/>
                    <w:rPr>
                      <w:rFonts w:hint="default" w:ascii="Times New Roman" w:hAnsi="Times New Roman" w:cs="Times New Roman"/>
                      <w:sz w:val="21"/>
                      <w:szCs w:val="20"/>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3"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sz w:val="21"/>
                      <w:szCs w:val="20"/>
                      <w:highlight w:val="none"/>
                      <w:vertAlign w:val="baseline"/>
                      <w:lang w:val="en-US" w:eastAsia="zh-CN"/>
                    </w:rPr>
                  </w:pPr>
                  <w:r>
                    <w:rPr>
                      <w:rFonts w:hint="eastAsia" w:cs="Times New Roman"/>
                      <w:sz w:val="21"/>
                      <w:szCs w:val="20"/>
                      <w:highlight w:val="none"/>
                      <w:vertAlign w:val="baseline"/>
                      <w:lang w:val="en-US" w:eastAsia="zh-CN"/>
                    </w:rPr>
                    <w:t>建筑用砂治理区</w:t>
                  </w:r>
                </w:p>
              </w:tc>
              <w:tc>
                <w:tcPr>
                  <w:tcW w:w="859" w:type="dxa"/>
                  <w:tcBorders>
                    <w:tl2br w:val="nil"/>
                    <w:tr2bl w:val="nil"/>
                  </w:tcBorders>
                  <w:noWrap w:val="0"/>
                  <w:vAlign w:val="center"/>
                </w:tcPr>
                <w:p>
                  <w:pPr>
                    <w:adjustRightInd w:val="0"/>
                    <w:snapToGrid w:val="0"/>
                    <w:jc w:val="center"/>
                    <w:rPr>
                      <w:rFonts w:hint="eastAsia" w:ascii="Times New Roman" w:hAnsi="Times New Roman" w:eastAsia="宋体" w:cs="Times New Roman"/>
                      <w:sz w:val="21"/>
                      <w:szCs w:val="20"/>
                      <w:highlight w:val="none"/>
                      <w:vertAlign w:val="baseline"/>
                      <w:lang w:val="en-US" w:eastAsia="zh-CN"/>
                    </w:rPr>
                  </w:pPr>
                  <w:r>
                    <w:rPr>
                      <w:rFonts w:hint="eastAsia" w:cs="Times New Roman"/>
                      <w:sz w:val="21"/>
                      <w:szCs w:val="20"/>
                      <w:highlight w:val="none"/>
                      <w:vertAlign w:val="baseline"/>
                      <w:lang w:val="en-US" w:eastAsia="zh-CN"/>
                    </w:rPr>
                    <w:t>和兴村</w:t>
                  </w:r>
                </w:p>
              </w:tc>
              <w:tc>
                <w:tcPr>
                  <w:tcW w:w="1213" w:type="dxa"/>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r>
                    <w:rPr>
                      <w:rFonts w:hint="default" w:ascii="Times New Roman" w:hAnsi="Times New Roman" w:cs="Times New Roman"/>
                      <w:sz w:val="21"/>
                      <w:szCs w:val="20"/>
                      <w:highlight w:val="none"/>
                      <w:vertAlign w:val="baseline"/>
                    </w:rPr>
                    <w:t>37°2</w:t>
                  </w:r>
                  <w:r>
                    <w:rPr>
                      <w:rFonts w:hint="eastAsia" w:ascii="Times New Roman" w:hAnsi="Times New Roman" w:cs="Times New Roman"/>
                      <w:sz w:val="21"/>
                      <w:szCs w:val="20"/>
                      <w:highlight w:val="none"/>
                      <w:vertAlign w:val="baseline"/>
                      <w:lang w:val="en-US" w:eastAsia="zh-CN"/>
                    </w:rPr>
                    <w:t>6</w:t>
                  </w:r>
                  <w:r>
                    <w:rPr>
                      <w:rFonts w:hint="default" w:ascii="Times New Roman" w:hAnsi="Times New Roman" w:cs="Times New Roman"/>
                      <w:sz w:val="21"/>
                      <w:szCs w:val="20"/>
                      <w:highlight w:val="none"/>
                      <w:vertAlign w:val="baseline"/>
                    </w:rPr>
                    <w:t>'</w:t>
                  </w:r>
                  <w:r>
                    <w:rPr>
                      <w:rFonts w:hint="eastAsia" w:ascii="Times New Roman" w:hAnsi="Times New Roman" w:cs="Times New Roman"/>
                      <w:sz w:val="21"/>
                      <w:szCs w:val="20"/>
                      <w:highlight w:val="none"/>
                      <w:vertAlign w:val="baseline"/>
                      <w:lang w:val="en-US" w:eastAsia="zh-CN"/>
                    </w:rPr>
                    <w:t>19.5</w:t>
                  </w:r>
                  <w:r>
                    <w:rPr>
                      <w:rFonts w:hint="default" w:ascii="Times New Roman" w:hAnsi="Times New Roman" w:cs="Times New Roman"/>
                      <w:sz w:val="21"/>
                      <w:szCs w:val="20"/>
                      <w:highlight w:val="none"/>
                      <w:vertAlign w:val="baseline"/>
                    </w:rPr>
                    <w:t>"</w:t>
                  </w:r>
                </w:p>
              </w:tc>
              <w:tc>
                <w:tcPr>
                  <w:tcW w:w="1245" w:type="dxa"/>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r>
                    <w:rPr>
                      <w:rFonts w:hint="default" w:ascii="Times New Roman" w:hAnsi="Times New Roman" w:cs="Times New Roman"/>
                      <w:sz w:val="21"/>
                      <w:szCs w:val="20"/>
                      <w:highlight w:val="none"/>
                      <w:vertAlign w:val="baseline"/>
                    </w:rPr>
                    <w:t>106°1'</w:t>
                  </w:r>
                  <w:r>
                    <w:rPr>
                      <w:rFonts w:hint="eastAsia" w:ascii="Times New Roman" w:hAnsi="Times New Roman" w:cs="Times New Roman"/>
                      <w:sz w:val="21"/>
                      <w:szCs w:val="20"/>
                      <w:highlight w:val="none"/>
                      <w:vertAlign w:val="baseline"/>
                      <w:lang w:val="en-US" w:eastAsia="zh-CN"/>
                    </w:rPr>
                    <w:t>36.6</w:t>
                  </w:r>
                  <w:r>
                    <w:rPr>
                      <w:rFonts w:hint="default" w:ascii="Times New Roman" w:hAnsi="Times New Roman" w:cs="Times New Roman"/>
                      <w:sz w:val="21"/>
                      <w:szCs w:val="20"/>
                      <w:highlight w:val="none"/>
                      <w:vertAlign w:val="baseline"/>
                    </w:rPr>
                    <w:t>"</w:t>
                  </w:r>
                </w:p>
              </w:tc>
              <w:tc>
                <w:tcPr>
                  <w:tcW w:w="912" w:type="dxa"/>
                  <w:tcBorders>
                    <w:tl2br w:val="nil"/>
                    <w:tr2bl w:val="nil"/>
                  </w:tcBorders>
                  <w:noWrap w:val="0"/>
                  <w:vAlign w:val="center"/>
                </w:tcPr>
                <w:p>
                  <w:pPr>
                    <w:adjustRightInd w:val="0"/>
                    <w:snapToGrid w:val="0"/>
                    <w:jc w:val="center"/>
                    <w:rPr>
                      <w:rFonts w:hint="default" w:ascii="Times New Roman" w:hAnsi="Times New Roman" w:eastAsia="宋体" w:cs="Times New Roman"/>
                      <w:sz w:val="21"/>
                      <w:szCs w:val="20"/>
                      <w:highlight w:val="none"/>
                      <w:vertAlign w:val="baseline"/>
                      <w:lang w:val="en-US" w:eastAsia="zh-CN"/>
                    </w:rPr>
                  </w:pPr>
                  <w:r>
                    <w:rPr>
                      <w:rFonts w:hint="default" w:ascii="Times New Roman" w:hAnsi="Times New Roman" w:eastAsia="宋体" w:cs="Times New Roman"/>
                      <w:color w:val="000000"/>
                      <w:sz w:val="21"/>
                      <w:szCs w:val="21"/>
                      <w:highlight w:val="none"/>
                    </w:rPr>
                    <w:t>居民</w:t>
                  </w:r>
                  <w:r>
                    <w:rPr>
                      <w:rFonts w:hint="eastAsia" w:eastAsia="宋体" w:cs="Times New Roman"/>
                      <w:color w:val="000000"/>
                      <w:sz w:val="21"/>
                      <w:szCs w:val="21"/>
                      <w:highlight w:val="none"/>
                      <w:lang w:eastAsia="zh-CN"/>
                    </w:rPr>
                    <w:t>，</w:t>
                  </w:r>
                  <w:r>
                    <w:rPr>
                      <w:rFonts w:hint="eastAsia" w:cs="Times New Roman"/>
                      <w:color w:val="000000"/>
                      <w:sz w:val="21"/>
                      <w:szCs w:val="21"/>
                      <w:highlight w:val="none"/>
                      <w:lang w:val="en-US" w:eastAsia="zh-CN"/>
                    </w:rPr>
                    <w:t>400</w:t>
                  </w:r>
                  <w:r>
                    <w:rPr>
                      <w:rFonts w:hint="eastAsia" w:eastAsia="宋体" w:cs="Times New Roman"/>
                      <w:color w:val="000000"/>
                      <w:sz w:val="21"/>
                      <w:szCs w:val="21"/>
                      <w:highlight w:val="none"/>
                      <w:lang w:val="en-US" w:eastAsia="zh-CN"/>
                    </w:rPr>
                    <w:t>人</w:t>
                  </w:r>
                </w:p>
              </w:tc>
              <w:tc>
                <w:tcPr>
                  <w:tcW w:w="764" w:type="dxa"/>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r>
                    <w:rPr>
                      <w:rFonts w:hint="default" w:ascii="Times New Roman" w:hAnsi="Times New Roman" w:eastAsia="宋体" w:cs="Times New Roman"/>
                      <w:color w:val="000000"/>
                      <w:sz w:val="21"/>
                      <w:szCs w:val="21"/>
                      <w:highlight w:val="none"/>
                    </w:rPr>
                    <w:t>环境空气</w:t>
                  </w:r>
                </w:p>
              </w:tc>
              <w:tc>
                <w:tcPr>
                  <w:tcW w:w="900" w:type="dxa"/>
                  <w:vMerge w:val="restart"/>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r>
                    <w:rPr>
                      <w:rFonts w:hint="default" w:ascii="Times New Roman" w:hAnsi="Times New Roman" w:eastAsia="宋体" w:cs="Times New Roman"/>
                      <w:color w:val="000000"/>
                      <w:sz w:val="21"/>
                      <w:szCs w:val="21"/>
                      <w:highlight w:val="none"/>
                      <w:lang w:eastAsia="zh-CN"/>
                    </w:rPr>
                    <w:t>环境空气为二类区</w:t>
                  </w:r>
                </w:p>
              </w:tc>
              <w:tc>
                <w:tcPr>
                  <w:tcW w:w="886" w:type="dxa"/>
                  <w:tcBorders>
                    <w:tl2br w:val="nil"/>
                    <w:tr2bl w:val="nil"/>
                  </w:tcBorders>
                  <w:noWrap w:val="0"/>
                  <w:vAlign w:val="center"/>
                </w:tcPr>
                <w:p>
                  <w:pPr>
                    <w:pStyle w:val="8"/>
                    <w:spacing w:after="0" w:line="240" w:lineRule="auto"/>
                    <w:jc w:val="center"/>
                    <w:rPr>
                      <w:rFonts w:hint="default" w:ascii="Times New Roman" w:hAnsi="Times New Roman" w:eastAsia="宋体" w:cs="Times New Roman"/>
                      <w:sz w:val="21"/>
                      <w:szCs w:val="20"/>
                      <w:highlight w:val="none"/>
                      <w:vertAlign w:val="baseline"/>
                      <w:lang w:val="en-US" w:eastAsia="zh-CN"/>
                    </w:rPr>
                  </w:pPr>
                  <w:r>
                    <w:rPr>
                      <w:rFonts w:hint="eastAsia" w:ascii="Times New Roman" w:hAnsi="Times New Roman" w:cs="Times New Roman"/>
                      <w:sz w:val="21"/>
                      <w:szCs w:val="20"/>
                      <w:highlight w:val="none"/>
                      <w:vertAlign w:val="baseline"/>
                      <w:lang w:val="en-US" w:eastAsia="zh-CN"/>
                    </w:rPr>
                    <w:t>SE</w:t>
                  </w:r>
                </w:p>
              </w:tc>
              <w:tc>
                <w:tcPr>
                  <w:tcW w:w="1358" w:type="dxa"/>
                  <w:tcBorders>
                    <w:tl2br w:val="nil"/>
                    <w:tr2bl w:val="nil"/>
                  </w:tcBorders>
                  <w:noWrap w:val="0"/>
                  <w:vAlign w:val="center"/>
                </w:tcPr>
                <w:p>
                  <w:pPr>
                    <w:pStyle w:val="8"/>
                    <w:spacing w:after="0" w:line="240" w:lineRule="auto"/>
                    <w:jc w:val="center"/>
                    <w:rPr>
                      <w:rFonts w:hint="default" w:ascii="Times New Roman" w:hAnsi="Times New Roman" w:eastAsia="宋体" w:cs="Times New Roman"/>
                      <w:sz w:val="21"/>
                      <w:szCs w:val="20"/>
                      <w:highlight w:val="none"/>
                      <w:vertAlign w:val="baseline"/>
                      <w:lang w:val="en-US" w:eastAsia="zh-CN"/>
                    </w:rPr>
                  </w:pPr>
                  <w:r>
                    <w:rPr>
                      <w:rFonts w:hint="eastAsia" w:ascii="Times New Roman" w:hAnsi="Times New Roman" w:cs="Times New Roman"/>
                      <w:sz w:val="21"/>
                      <w:szCs w:val="20"/>
                      <w:highlight w:val="none"/>
                      <w:vertAlign w:val="baseline"/>
                      <w:lang w:val="en-US" w:eastAsia="zh-CN"/>
                    </w:rPr>
                    <w:t>1988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3" w:type="dxa"/>
                  <w:vMerge w:val="continue"/>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p>
              </w:tc>
              <w:tc>
                <w:tcPr>
                  <w:tcW w:w="859" w:type="dxa"/>
                  <w:tcBorders>
                    <w:tl2br w:val="nil"/>
                    <w:tr2bl w:val="nil"/>
                  </w:tcBorders>
                  <w:noWrap w:val="0"/>
                  <w:vAlign w:val="center"/>
                </w:tcPr>
                <w:p>
                  <w:pPr>
                    <w:adjustRightInd w:val="0"/>
                    <w:snapToGrid w:val="0"/>
                    <w:jc w:val="center"/>
                    <w:rPr>
                      <w:rFonts w:hint="eastAsia" w:ascii="Times New Roman" w:hAnsi="Times New Roman" w:eastAsia="宋体" w:cs="Times New Roman"/>
                      <w:sz w:val="21"/>
                      <w:szCs w:val="20"/>
                      <w:highlight w:val="none"/>
                      <w:vertAlign w:val="baseline"/>
                      <w:lang w:val="en-US" w:eastAsia="zh-CN"/>
                    </w:rPr>
                  </w:pPr>
                  <w:r>
                    <w:rPr>
                      <w:rFonts w:hint="eastAsia" w:cs="Times New Roman"/>
                      <w:sz w:val="21"/>
                      <w:szCs w:val="20"/>
                      <w:highlight w:val="none"/>
                      <w:vertAlign w:val="baseline"/>
                      <w:lang w:val="en-US" w:eastAsia="zh-CN"/>
                    </w:rPr>
                    <w:t>多哈村</w:t>
                  </w:r>
                </w:p>
              </w:tc>
              <w:tc>
                <w:tcPr>
                  <w:tcW w:w="1213" w:type="dxa"/>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r>
                    <w:rPr>
                      <w:rFonts w:hint="default" w:ascii="Times New Roman" w:hAnsi="Times New Roman" w:cs="Times New Roman"/>
                      <w:sz w:val="21"/>
                      <w:szCs w:val="20"/>
                      <w:highlight w:val="none"/>
                      <w:vertAlign w:val="baseline"/>
                    </w:rPr>
                    <w:t>37°2</w:t>
                  </w:r>
                  <w:r>
                    <w:rPr>
                      <w:rFonts w:hint="eastAsia" w:ascii="Times New Roman" w:hAnsi="Times New Roman" w:cs="Times New Roman"/>
                      <w:sz w:val="21"/>
                      <w:szCs w:val="20"/>
                      <w:highlight w:val="none"/>
                      <w:vertAlign w:val="baseline"/>
                      <w:lang w:val="en-US" w:eastAsia="zh-CN"/>
                    </w:rPr>
                    <w:t>6</w:t>
                  </w:r>
                  <w:r>
                    <w:rPr>
                      <w:rFonts w:hint="default" w:ascii="Times New Roman" w:hAnsi="Times New Roman" w:cs="Times New Roman"/>
                      <w:sz w:val="21"/>
                      <w:szCs w:val="20"/>
                      <w:highlight w:val="none"/>
                      <w:vertAlign w:val="baseline"/>
                    </w:rPr>
                    <w:t>'</w:t>
                  </w:r>
                  <w:r>
                    <w:rPr>
                      <w:rFonts w:hint="eastAsia" w:ascii="Times New Roman" w:hAnsi="Times New Roman" w:cs="Times New Roman"/>
                      <w:sz w:val="21"/>
                      <w:szCs w:val="20"/>
                      <w:highlight w:val="none"/>
                      <w:vertAlign w:val="baseline"/>
                      <w:lang w:val="en-US" w:eastAsia="zh-CN"/>
                    </w:rPr>
                    <w:t>12.5</w:t>
                  </w:r>
                  <w:r>
                    <w:rPr>
                      <w:rFonts w:hint="default" w:ascii="Times New Roman" w:hAnsi="Times New Roman" w:cs="Times New Roman"/>
                      <w:sz w:val="21"/>
                      <w:szCs w:val="20"/>
                      <w:highlight w:val="none"/>
                      <w:vertAlign w:val="baseline"/>
                    </w:rPr>
                    <w:t>"</w:t>
                  </w:r>
                </w:p>
              </w:tc>
              <w:tc>
                <w:tcPr>
                  <w:tcW w:w="1245" w:type="dxa"/>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r>
                    <w:rPr>
                      <w:rFonts w:hint="default" w:ascii="Times New Roman" w:hAnsi="Times New Roman" w:cs="Times New Roman"/>
                      <w:sz w:val="21"/>
                      <w:szCs w:val="20"/>
                      <w:highlight w:val="none"/>
                      <w:vertAlign w:val="baseline"/>
                    </w:rPr>
                    <w:t>106°1'</w:t>
                  </w:r>
                  <w:r>
                    <w:rPr>
                      <w:rFonts w:hint="eastAsia" w:ascii="Times New Roman" w:hAnsi="Times New Roman" w:cs="Times New Roman"/>
                      <w:sz w:val="21"/>
                      <w:szCs w:val="20"/>
                      <w:highlight w:val="none"/>
                      <w:vertAlign w:val="baseline"/>
                      <w:lang w:val="en-US" w:eastAsia="zh-CN"/>
                    </w:rPr>
                    <w:t>16.8</w:t>
                  </w:r>
                  <w:r>
                    <w:rPr>
                      <w:rFonts w:hint="default" w:ascii="Times New Roman" w:hAnsi="Times New Roman" w:cs="Times New Roman"/>
                      <w:sz w:val="21"/>
                      <w:szCs w:val="20"/>
                      <w:highlight w:val="none"/>
                      <w:vertAlign w:val="baseline"/>
                    </w:rPr>
                    <w:t>"</w:t>
                  </w:r>
                </w:p>
              </w:tc>
              <w:tc>
                <w:tcPr>
                  <w:tcW w:w="912" w:type="dxa"/>
                  <w:tcBorders>
                    <w:tl2br w:val="nil"/>
                    <w:tr2bl w:val="nil"/>
                  </w:tcBorders>
                  <w:noWrap w:val="0"/>
                  <w:vAlign w:val="center"/>
                </w:tcPr>
                <w:p>
                  <w:pPr>
                    <w:adjustRightInd w:val="0"/>
                    <w:snapToGrid w:val="0"/>
                    <w:jc w:val="center"/>
                    <w:rPr>
                      <w:rFonts w:hint="default" w:ascii="Times New Roman" w:hAnsi="Times New Roman" w:eastAsia="宋体" w:cs="Times New Roman"/>
                      <w:sz w:val="21"/>
                      <w:szCs w:val="20"/>
                      <w:highlight w:val="none"/>
                      <w:vertAlign w:val="baseline"/>
                      <w:lang w:val="en-US" w:eastAsia="zh-CN"/>
                    </w:rPr>
                  </w:pPr>
                  <w:r>
                    <w:rPr>
                      <w:rFonts w:hint="default" w:ascii="Times New Roman" w:hAnsi="Times New Roman" w:eastAsia="宋体" w:cs="Times New Roman"/>
                      <w:color w:val="000000"/>
                      <w:sz w:val="21"/>
                      <w:szCs w:val="21"/>
                      <w:highlight w:val="none"/>
                    </w:rPr>
                    <w:t>居民</w:t>
                  </w:r>
                  <w:r>
                    <w:rPr>
                      <w:rFonts w:hint="eastAsia" w:eastAsia="宋体" w:cs="Times New Roman"/>
                      <w:color w:val="000000"/>
                      <w:sz w:val="21"/>
                      <w:szCs w:val="21"/>
                      <w:highlight w:val="none"/>
                      <w:lang w:eastAsia="zh-CN"/>
                    </w:rPr>
                    <w:t>，</w:t>
                  </w:r>
                  <w:r>
                    <w:rPr>
                      <w:rFonts w:hint="eastAsia" w:eastAsia="宋体" w:cs="Times New Roman"/>
                      <w:color w:val="000000"/>
                      <w:sz w:val="21"/>
                      <w:szCs w:val="21"/>
                      <w:highlight w:val="none"/>
                      <w:lang w:val="en-US" w:eastAsia="zh-CN"/>
                    </w:rPr>
                    <w:t>350人</w:t>
                  </w:r>
                </w:p>
              </w:tc>
              <w:tc>
                <w:tcPr>
                  <w:tcW w:w="764" w:type="dxa"/>
                  <w:tcBorders>
                    <w:tl2br w:val="nil"/>
                    <w:tr2bl w:val="nil"/>
                  </w:tcBorders>
                  <w:noWrap w:val="0"/>
                  <w:vAlign w:val="center"/>
                </w:tcPr>
                <w:p>
                  <w:pPr>
                    <w:adjustRightInd w:val="0"/>
                    <w:snapToGrid w:val="0"/>
                    <w:jc w:val="center"/>
                    <w:rPr>
                      <w:rFonts w:hint="default" w:ascii="Times New Roman" w:hAnsi="Times New Roman" w:cs="Times New Roman"/>
                      <w:sz w:val="21"/>
                      <w:szCs w:val="20"/>
                      <w:highlight w:val="none"/>
                      <w:vertAlign w:val="baseline"/>
                    </w:rPr>
                  </w:pPr>
                  <w:r>
                    <w:rPr>
                      <w:rFonts w:hint="default" w:ascii="Times New Roman" w:hAnsi="Times New Roman" w:eastAsia="宋体" w:cs="Times New Roman"/>
                      <w:color w:val="000000"/>
                      <w:sz w:val="21"/>
                      <w:szCs w:val="21"/>
                      <w:highlight w:val="none"/>
                    </w:rPr>
                    <w:t>环境空气</w:t>
                  </w:r>
                </w:p>
              </w:tc>
              <w:tc>
                <w:tcPr>
                  <w:tcW w:w="900" w:type="dxa"/>
                  <w:vMerge w:val="continue"/>
                  <w:tcBorders>
                    <w:tl2br w:val="nil"/>
                    <w:tr2bl w:val="nil"/>
                  </w:tcBorders>
                  <w:noWrap w:val="0"/>
                  <w:vAlign w:val="center"/>
                </w:tcPr>
                <w:p>
                  <w:pPr>
                    <w:pStyle w:val="8"/>
                    <w:spacing w:after="0" w:line="240" w:lineRule="auto"/>
                    <w:jc w:val="center"/>
                    <w:rPr>
                      <w:rFonts w:hint="default" w:ascii="Times New Roman" w:hAnsi="Times New Roman" w:cs="Times New Roman"/>
                      <w:sz w:val="21"/>
                      <w:szCs w:val="20"/>
                      <w:highlight w:val="none"/>
                      <w:vertAlign w:val="baseline"/>
                    </w:rPr>
                  </w:pPr>
                </w:p>
              </w:tc>
              <w:tc>
                <w:tcPr>
                  <w:tcW w:w="886" w:type="dxa"/>
                  <w:tcBorders>
                    <w:tl2br w:val="nil"/>
                    <w:tr2bl w:val="nil"/>
                  </w:tcBorders>
                  <w:noWrap w:val="0"/>
                  <w:vAlign w:val="center"/>
                </w:tcPr>
                <w:p>
                  <w:pPr>
                    <w:pStyle w:val="8"/>
                    <w:spacing w:after="0" w:line="240" w:lineRule="auto"/>
                    <w:jc w:val="center"/>
                    <w:rPr>
                      <w:rFonts w:hint="default" w:ascii="Times New Roman" w:hAnsi="Times New Roman" w:eastAsia="宋体" w:cs="Times New Roman"/>
                      <w:sz w:val="21"/>
                      <w:szCs w:val="20"/>
                      <w:highlight w:val="none"/>
                      <w:vertAlign w:val="baseline"/>
                      <w:lang w:val="en-US" w:eastAsia="zh-CN"/>
                    </w:rPr>
                  </w:pPr>
                  <w:r>
                    <w:rPr>
                      <w:rFonts w:hint="eastAsia" w:ascii="Times New Roman" w:hAnsi="Times New Roman" w:eastAsia="宋体" w:cs="Times New Roman"/>
                      <w:sz w:val="21"/>
                      <w:szCs w:val="20"/>
                      <w:highlight w:val="none"/>
                      <w:vertAlign w:val="baseline"/>
                      <w:lang w:val="en-US" w:eastAsia="zh-CN"/>
                    </w:rPr>
                    <w:t>SE</w:t>
                  </w:r>
                </w:p>
              </w:tc>
              <w:tc>
                <w:tcPr>
                  <w:tcW w:w="1358" w:type="dxa"/>
                  <w:tcBorders>
                    <w:tl2br w:val="nil"/>
                    <w:tr2bl w:val="nil"/>
                  </w:tcBorders>
                  <w:noWrap w:val="0"/>
                  <w:vAlign w:val="center"/>
                </w:tcPr>
                <w:p>
                  <w:pPr>
                    <w:pStyle w:val="8"/>
                    <w:spacing w:after="0" w:line="240" w:lineRule="auto"/>
                    <w:jc w:val="center"/>
                    <w:rPr>
                      <w:rFonts w:hint="default" w:ascii="Times New Roman" w:hAnsi="Times New Roman" w:eastAsia="宋体" w:cs="Times New Roman"/>
                      <w:sz w:val="21"/>
                      <w:szCs w:val="20"/>
                      <w:highlight w:val="none"/>
                      <w:vertAlign w:val="baseline"/>
                      <w:lang w:val="en-US" w:eastAsia="zh-CN"/>
                    </w:rPr>
                  </w:pPr>
                  <w:r>
                    <w:rPr>
                      <w:rFonts w:hint="eastAsia" w:ascii="Times New Roman" w:hAnsi="Times New Roman" w:eastAsia="宋体" w:cs="Times New Roman"/>
                      <w:sz w:val="21"/>
                      <w:szCs w:val="20"/>
                      <w:highlight w:val="none"/>
                      <w:vertAlign w:val="baseline"/>
                      <w:lang w:val="en-US" w:eastAsia="zh-CN"/>
                    </w:rPr>
                    <w:t>1715</w:t>
                  </w:r>
                </w:p>
              </w:tc>
            </w:tr>
          </w:tbl>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center"/>
              <w:rPr>
                <w:rFonts w:hint="eastAsia" w:ascii="Times New Roman" w:hAnsi="Times New Roman" w:eastAsia="黑体" w:cs="Times New Roman"/>
                <w:sz w:val="24"/>
              </w:rPr>
            </w:pPr>
          </w:p>
          <w:p>
            <w:pPr>
              <w:tabs>
                <w:tab w:val="left" w:pos="3405"/>
              </w:tabs>
              <w:adjustRightInd w:val="0"/>
              <w:snapToGrid w:val="0"/>
              <w:spacing w:line="360" w:lineRule="auto"/>
              <w:jc w:val="both"/>
              <w:rPr>
                <w:rFonts w:hint="eastAsia" w:ascii="Times New Roman" w:hAnsi="Times New Roman" w:eastAsia="黑体" w:cs="Times New Roman"/>
                <w:sz w:val="24"/>
              </w:rPr>
            </w:pPr>
          </w:p>
          <w:p>
            <w:pPr>
              <w:pStyle w:val="8"/>
              <w:spacing w:after="0"/>
              <w:rPr>
                <w:rFonts w:hint="eastAsia" w:ascii="Times New Roman" w:hAnsi="Times New Roman"/>
                <w:b/>
                <w:sz w:val="24"/>
                <w:szCs w:val="24"/>
              </w:rPr>
            </w:pPr>
          </w:p>
        </w:tc>
      </w:tr>
    </w:tbl>
    <w:p>
      <w:pPr>
        <w:pStyle w:val="15"/>
        <w:spacing w:line="240" w:lineRule="auto"/>
        <w:jc w:val="both"/>
        <w:outlineLvl w:val="0"/>
        <w:rPr>
          <w:rFonts w:hint="default" w:ascii="Times New Roman" w:hAnsi="Times New Roman" w:eastAsia="宋体" w:cs="Times New Roman"/>
          <w:b/>
          <w:bCs/>
          <w:sz w:val="32"/>
          <w:szCs w:val="32"/>
        </w:rPr>
      </w:pPr>
      <w:r>
        <w:rPr>
          <w:rFonts w:hint="eastAsia" w:ascii="Times New Roman" w:hAnsi="Times New Roman" w:eastAsia="宋体" w:cs="Times New Roman"/>
          <w:b/>
          <w:bCs/>
          <w:sz w:val="32"/>
          <w:szCs w:val="32"/>
          <w:lang w:eastAsia="zh-CN"/>
        </w:rPr>
        <w:t>四、</w:t>
      </w:r>
      <w:r>
        <w:rPr>
          <w:rFonts w:hint="default" w:ascii="Times New Roman" w:hAnsi="Times New Roman" w:eastAsia="宋体" w:cs="Times New Roman"/>
          <w:b/>
          <w:bCs/>
          <w:sz w:val="32"/>
          <w:szCs w:val="32"/>
        </w:rPr>
        <w:t>评价适用标准</w:t>
      </w:r>
    </w:p>
    <w:tbl>
      <w:tblPr>
        <w:tblStyle w:val="19"/>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61"/>
        <w:gridCol w:w="882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949" w:hRule="atLeast"/>
          <w:jc w:val="center"/>
        </w:trPr>
        <w:tc>
          <w:tcPr>
            <w:tcW w:w="461" w:type="dxa"/>
            <w:noWrap w:val="0"/>
            <w:vAlign w:val="center"/>
          </w:tcPr>
          <w:p>
            <w:pPr>
              <w:snapToGrid w:val="0"/>
              <w:jc w:val="center"/>
              <w:rPr>
                <w:b/>
                <w:sz w:val="24"/>
              </w:rPr>
            </w:pPr>
            <w:r>
              <w:rPr>
                <w:b/>
                <w:sz w:val="24"/>
              </w:rPr>
              <w:t>环</w:t>
            </w:r>
          </w:p>
          <w:p>
            <w:pPr>
              <w:snapToGrid w:val="0"/>
              <w:jc w:val="center"/>
              <w:rPr>
                <w:b/>
                <w:sz w:val="24"/>
              </w:rPr>
            </w:pPr>
            <w:r>
              <w:rPr>
                <w:b/>
                <w:sz w:val="24"/>
              </w:rPr>
              <w:t>境</w:t>
            </w:r>
          </w:p>
          <w:p>
            <w:pPr>
              <w:snapToGrid w:val="0"/>
              <w:jc w:val="center"/>
              <w:rPr>
                <w:b/>
                <w:sz w:val="24"/>
              </w:rPr>
            </w:pPr>
            <w:r>
              <w:rPr>
                <w:b/>
                <w:sz w:val="24"/>
              </w:rPr>
              <w:t>质</w:t>
            </w:r>
          </w:p>
          <w:p>
            <w:pPr>
              <w:snapToGrid w:val="0"/>
              <w:jc w:val="center"/>
              <w:rPr>
                <w:b/>
                <w:sz w:val="24"/>
              </w:rPr>
            </w:pPr>
            <w:r>
              <w:rPr>
                <w:b/>
                <w:sz w:val="24"/>
              </w:rPr>
              <w:t>量</w:t>
            </w:r>
          </w:p>
          <w:p>
            <w:pPr>
              <w:snapToGrid w:val="0"/>
              <w:jc w:val="center"/>
              <w:rPr>
                <w:b/>
                <w:sz w:val="24"/>
              </w:rPr>
            </w:pPr>
            <w:r>
              <w:rPr>
                <w:b/>
                <w:sz w:val="24"/>
              </w:rPr>
              <w:t>标</w:t>
            </w:r>
          </w:p>
          <w:p>
            <w:pPr>
              <w:snapToGrid w:val="0"/>
              <w:jc w:val="center"/>
              <w:rPr>
                <w:b/>
                <w:sz w:val="24"/>
              </w:rPr>
            </w:pPr>
            <w:r>
              <w:rPr>
                <w:b/>
                <w:sz w:val="24"/>
              </w:rPr>
              <w:t>准</w:t>
            </w:r>
          </w:p>
        </w:tc>
        <w:tc>
          <w:tcPr>
            <w:tcW w:w="8825" w:type="dxa"/>
            <w:noWrap w:val="0"/>
            <w:vAlign w:val="top"/>
          </w:tcPr>
          <w:p>
            <w:pPr>
              <w:spacing w:line="360" w:lineRule="auto"/>
              <w:ind w:firstLine="480" w:firstLineChars="200"/>
              <w:rPr>
                <w:rFonts w:hint="eastAsia"/>
                <w:sz w:val="24"/>
              </w:rPr>
            </w:pPr>
            <w:r>
              <w:rPr>
                <w:rFonts w:hint="eastAsia" w:ascii="宋体" w:hAnsi="宋体" w:cs="宋体"/>
                <w:sz w:val="24"/>
              </w:rPr>
              <w:t>⑴</w:t>
            </w:r>
            <w:r>
              <w:rPr>
                <w:rFonts w:hint="eastAsia"/>
                <w:sz w:val="24"/>
              </w:rPr>
              <w:t>大气环境</w:t>
            </w:r>
          </w:p>
          <w:p>
            <w:pPr>
              <w:spacing w:line="360" w:lineRule="auto"/>
              <w:ind w:firstLine="480" w:firstLineChars="200"/>
              <w:rPr>
                <w:sz w:val="24"/>
              </w:rPr>
            </w:pPr>
            <w:r>
              <w:rPr>
                <w:rFonts w:hint="eastAsia"/>
                <w:sz w:val="24"/>
              </w:rPr>
              <w:t>本项目所在区域环境空气质量执行《环境空气质量标准》（GB3095-2012）</w:t>
            </w:r>
            <w:r>
              <w:rPr>
                <w:rFonts w:hint="eastAsia"/>
                <w:sz w:val="24"/>
                <w:lang w:val="en-US" w:eastAsia="zh-CN"/>
              </w:rPr>
              <w:t>及其修改单</w:t>
            </w:r>
            <w:r>
              <w:rPr>
                <w:rFonts w:hint="eastAsia"/>
                <w:sz w:val="24"/>
              </w:rPr>
              <w:t>中二级标准</w:t>
            </w:r>
            <w:r>
              <w:rPr>
                <w:sz w:val="24"/>
              </w:rPr>
              <w:t>。</w:t>
            </w:r>
          </w:p>
          <w:p>
            <w:pPr>
              <w:tabs>
                <w:tab w:val="left" w:pos="3405"/>
              </w:tabs>
              <w:adjustRightInd w:val="0"/>
              <w:snapToGrid w:val="0"/>
              <w:spacing w:line="360" w:lineRule="auto"/>
              <w:jc w:val="center"/>
              <w:rPr>
                <w:rFonts w:hint="default" w:ascii="Times New Roman" w:hAnsi="Times New Roman" w:eastAsia="黑体" w:cs="Times New Roman"/>
                <w:sz w:val="24"/>
                <w:lang w:val="en-US" w:eastAsia="zh-CN"/>
              </w:rPr>
            </w:pPr>
            <w:bookmarkStart w:id="6" w:name="_Ref456349856"/>
            <w:r>
              <w:rPr>
                <w:rFonts w:hint="eastAsia" w:ascii="Times New Roman" w:hAnsi="Times New Roman" w:eastAsia="黑体" w:cs="Times New Roman"/>
                <w:sz w:val="24"/>
              </w:rPr>
              <w:t>表</w:t>
            </w:r>
            <w:bookmarkEnd w:id="6"/>
            <w:r>
              <w:rPr>
                <w:rFonts w:hint="eastAsia" w:ascii="Times New Roman" w:hAnsi="Times New Roman" w:eastAsia="黑体" w:cs="Times New Roman"/>
                <w:sz w:val="24"/>
                <w:lang w:val="en-US" w:eastAsia="zh-CN"/>
              </w:rPr>
              <w:t>4-1    《环境空气质量标准》（GB3095-2012）二级标准</w:t>
            </w:r>
            <w:r>
              <w:rPr>
                <w:rFonts w:hint="eastAsia" w:eastAsia="黑体" w:cs="Times New Roman"/>
                <w:sz w:val="24"/>
                <w:lang w:val="en-US" w:eastAsia="zh-CN"/>
              </w:rPr>
              <w:t>及其修改单</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14"/>
              <w:gridCol w:w="2100"/>
              <w:gridCol w:w="2223"/>
              <w:gridCol w:w="23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tcBorders>
                    <w:tl2br w:val="nil"/>
                    <w:tr2bl w:val="nil"/>
                  </w:tcBorders>
                  <w:noWrap w:val="0"/>
                  <w:vAlign w:val="center"/>
                </w:tcPr>
                <w:p>
                  <w:pPr>
                    <w:spacing w:line="240" w:lineRule="exact"/>
                    <w:jc w:val="center"/>
                    <w:rPr>
                      <w:b/>
                      <w:sz w:val="21"/>
                      <w:szCs w:val="21"/>
                    </w:rPr>
                  </w:pPr>
                  <w:r>
                    <w:rPr>
                      <w:b/>
                      <w:sz w:val="21"/>
                      <w:szCs w:val="21"/>
                    </w:rPr>
                    <w:t>评价因子</w:t>
                  </w:r>
                </w:p>
              </w:tc>
              <w:tc>
                <w:tcPr>
                  <w:tcW w:w="2100" w:type="dxa"/>
                  <w:tcBorders>
                    <w:tl2br w:val="nil"/>
                    <w:tr2bl w:val="nil"/>
                  </w:tcBorders>
                  <w:noWrap w:val="0"/>
                  <w:vAlign w:val="center"/>
                </w:tcPr>
                <w:p>
                  <w:pPr>
                    <w:spacing w:line="240" w:lineRule="exact"/>
                    <w:jc w:val="center"/>
                    <w:rPr>
                      <w:b/>
                      <w:sz w:val="21"/>
                      <w:szCs w:val="21"/>
                    </w:rPr>
                  </w:pPr>
                  <w:r>
                    <w:rPr>
                      <w:b/>
                      <w:sz w:val="21"/>
                      <w:szCs w:val="21"/>
                    </w:rPr>
                    <w:t>平均时间</w:t>
                  </w:r>
                </w:p>
              </w:tc>
              <w:tc>
                <w:tcPr>
                  <w:tcW w:w="2223" w:type="dxa"/>
                  <w:tcBorders>
                    <w:tl2br w:val="nil"/>
                    <w:tr2bl w:val="nil"/>
                  </w:tcBorders>
                  <w:noWrap w:val="0"/>
                  <w:vAlign w:val="center"/>
                </w:tcPr>
                <w:p>
                  <w:pPr>
                    <w:spacing w:line="240" w:lineRule="exact"/>
                    <w:jc w:val="center"/>
                    <w:rPr>
                      <w:b/>
                      <w:sz w:val="21"/>
                      <w:szCs w:val="21"/>
                    </w:rPr>
                  </w:pPr>
                  <w:r>
                    <w:rPr>
                      <w:b/>
                      <w:sz w:val="21"/>
                      <w:szCs w:val="21"/>
                    </w:rPr>
                    <w:t>浓度限值（二级）</w:t>
                  </w:r>
                </w:p>
              </w:tc>
              <w:tc>
                <w:tcPr>
                  <w:tcW w:w="2342" w:type="dxa"/>
                  <w:tcBorders>
                    <w:tl2br w:val="nil"/>
                    <w:tr2bl w:val="nil"/>
                  </w:tcBorders>
                  <w:noWrap w:val="0"/>
                  <w:vAlign w:val="center"/>
                </w:tcPr>
                <w:p>
                  <w:pPr>
                    <w:spacing w:line="240" w:lineRule="exact"/>
                    <w:jc w:val="center"/>
                    <w:rPr>
                      <w:b/>
                      <w:sz w:val="21"/>
                      <w:szCs w:val="21"/>
                    </w:rPr>
                  </w:pPr>
                  <w:r>
                    <w:rPr>
                      <w:b/>
                      <w:sz w:val="21"/>
                      <w:szCs w:val="21"/>
                    </w:rPr>
                    <w:t>备  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restart"/>
                  <w:tcBorders>
                    <w:tl2br w:val="nil"/>
                    <w:tr2bl w:val="nil"/>
                  </w:tcBorders>
                  <w:noWrap w:val="0"/>
                  <w:vAlign w:val="center"/>
                </w:tcPr>
                <w:p>
                  <w:pPr>
                    <w:spacing w:line="240" w:lineRule="exact"/>
                    <w:jc w:val="center"/>
                    <w:rPr>
                      <w:sz w:val="21"/>
                      <w:szCs w:val="21"/>
                    </w:rPr>
                  </w:pPr>
                  <w:r>
                    <w:rPr>
                      <w:sz w:val="21"/>
                      <w:szCs w:val="21"/>
                    </w:rPr>
                    <w:t>SO</w:t>
                  </w:r>
                  <w:r>
                    <w:rPr>
                      <w:sz w:val="21"/>
                      <w:szCs w:val="21"/>
                      <w:vertAlign w:val="subscript"/>
                    </w:rPr>
                    <w:t>2</w:t>
                  </w:r>
                  <w:r>
                    <w:rPr>
                      <w:sz w:val="21"/>
                      <w:szCs w:val="21"/>
                    </w:rPr>
                    <w:t>（μg/m</w:t>
                  </w:r>
                  <w:r>
                    <w:rPr>
                      <w:sz w:val="21"/>
                      <w:szCs w:val="21"/>
                      <w:vertAlign w:val="superscript"/>
                    </w:rPr>
                    <w:t>3</w:t>
                  </w:r>
                  <w:r>
                    <w:rPr>
                      <w:sz w:val="21"/>
                      <w:szCs w:val="21"/>
                    </w:rPr>
                    <w:t>）</w:t>
                  </w:r>
                </w:p>
              </w:tc>
              <w:tc>
                <w:tcPr>
                  <w:tcW w:w="2100" w:type="dxa"/>
                  <w:tcBorders>
                    <w:tl2br w:val="nil"/>
                    <w:tr2bl w:val="nil"/>
                  </w:tcBorders>
                  <w:noWrap w:val="0"/>
                  <w:vAlign w:val="center"/>
                </w:tcPr>
                <w:p>
                  <w:pPr>
                    <w:spacing w:line="240" w:lineRule="exact"/>
                    <w:jc w:val="center"/>
                    <w:rPr>
                      <w:sz w:val="21"/>
                      <w:szCs w:val="21"/>
                    </w:rPr>
                  </w:pPr>
                  <w:r>
                    <w:rPr>
                      <w:sz w:val="21"/>
                      <w:szCs w:val="21"/>
                    </w:rPr>
                    <w:t>年平均</w:t>
                  </w:r>
                </w:p>
              </w:tc>
              <w:tc>
                <w:tcPr>
                  <w:tcW w:w="2223" w:type="dxa"/>
                  <w:tcBorders>
                    <w:tl2br w:val="nil"/>
                    <w:tr2bl w:val="nil"/>
                  </w:tcBorders>
                  <w:noWrap w:val="0"/>
                  <w:vAlign w:val="center"/>
                </w:tcPr>
                <w:p>
                  <w:pPr>
                    <w:spacing w:line="240" w:lineRule="exact"/>
                    <w:jc w:val="center"/>
                    <w:rPr>
                      <w:sz w:val="21"/>
                      <w:szCs w:val="21"/>
                    </w:rPr>
                  </w:pPr>
                  <w:r>
                    <w:rPr>
                      <w:sz w:val="21"/>
                      <w:szCs w:val="21"/>
                    </w:rPr>
                    <w:t>60</w:t>
                  </w:r>
                </w:p>
              </w:tc>
              <w:tc>
                <w:tcPr>
                  <w:tcW w:w="2342" w:type="dxa"/>
                  <w:vMerge w:val="restart"/>
                  <w:tcBorders>
                    <w:tl2br w:val="nil"/>
                    <w:tr2bl w:val="nil"/>
                  </w:tcBorders>
                  <w:noWrap w:val="0"/>
                  <w:vAlign w:val="center"/>
                </w:tcPr>
                <w:p>
                  <w:pPr>
                    <w:spacing w:line="240" w:lineRule="exact"/>
                    <w:jc w:val="center"/>
                    <w:rPr>
                      <w:rFonts w:hint="default" w:eastAsia="宋体"/>
                      <w:sz w:val="21"/>
                      <w:szCs w:val="21"/>
                      <w:lang w:val="en-US" w:eastAsia="zh-CN"/>
                    </w:rPr>
                  </w:pPr>
                  <w:r>
                    <w:rPr>
                      <w:sz w:val="21"/>
                      <w:szCs w:val="21"/>
                    </w:rPr>
                    <w:t>《环境空气质量标准》（GB3095-2012）二级标准</w:t>
                  </w:r>
                  <w:r>
                    <w:rPr>
                      <w:rFonts w:hint="eastAsia"/>
                      <w:sz w:val="21"/>
                      <w:szCs w:val="21"/>
                      <w:lang w:val="en-US" w:eastAsia="zh-CN"/>
                    </w:rPr>
                    <w:t>及其修改单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continue"/>
                  <w:tcBorders>
                    <w:tl2br w:val="nil"/>
                    <w:tr2bl w:val="nil"/>
                  </w:tcBorders>
                  <w:noWrap w:val="0"/>
                  <w:vAlign w:val="center"/>
                </w:tcPr>
                <w:p>
                  <w:pPr>
                    <w:widowControl/>
                    <w:spacing w:line="240" w:lineRule="exact"/>
                    <w:jc w:val="left"/>
                    <w:rPr>
                      <w:sz w:val="21"/>
                      <w:szCs w:val="21"/>
                    </w:rPr>
                  </w:pPr>
                </w:p>
              </w:tc>
              <w:tc>
                <w:tcPr>
                  <w:tcW w:w="2100" w:type="dxa"/>
                  <w:tcBorders>
                    <w:tl2br w:val="nil"/>
                    <w:tr2bl w:val="nil"/>
                  </w:tcBorders>
                  <w:noWrap w:val="0"/>
                  <w:vAlign w:val="center"/>
                </w:tcPr>
                <w:p>
                  <w:pPr>
                    <w:spacing w:line="240" w:lineRule="exact"/>
                    <w:jc w:val="center"/>
                    <w:rPr>
                      <w:sz w:val="21"/>
                      <w:szCs w:val="21"/>
                    </w:rPr>
                  </w:pPr>
                  <w:r>
                    <w:rPr>
                      <w:sz w:val="21"/>
                      <w:szCs w:val="21"/>
                    </w:rPr>
                    <w:t>24小时平均</w:t>
                  </w:r>
                </w:p>
              </w:tc>
              <w:tc>
                <w:tcPr>
                  <w:tcW w:w="2223" w:type="dxa"/>
                  <w:tcBorders>
                    <w:tl2br w:val="nil"/>
                    <w:tr2bl w:val="nil"/>
                  </w:tcBorders>
                  <w:noWrap w:val="0"/>
                  <w:vAlign w:val="center"/>
                </w:tcPr>
                <w:p>
                  <w:pPr>
                    <w:spacing w:line="240" w:lineRule="exact"/>
                    <w:jc w:val="center"/>
                    <w:rPr>
                      <w:sz w:val="21"/>
                      <w:szCs w:val="21"/>
                    </w:rPr>
                  </w:pPr>
                  <w:r>
                    <w:rPr>
                      <w:sz w:val="21"/>
                      <w:szCs w:val="21"/>
                    </w:rPr>
                    <w:t>150</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continue"/>
                  <w:tcBorders>
                    <w:tl2br w:val="nil"/>
                    <w:tr2bl w:val="nil"/>
                  </w:tcBorders>
                  <w:noWrap w:val="0"/>
                  <w:vAlign w:val="center"/>
                </w:tcPr>
                <w:p>
                  <w:pPr>
                    <w:widowControl/>
                    <w:spacing w:line="240" w:lineRule="exact"/>
                    <w:jc w:val="left"/>
                    <w:rPr>
                      <w:sz w:val="21"/>
                      <w:szCs w:val="21"/>
                    </w:rPr>
                  </w:pPr>
                </w:p>
              </w:tc>
              <w:tc>
                <w:tcPr>
                  <w:tcW w:w="2100" w:type="dxa"/>
                  <w:tcBorders>
                    <w:tl2br w:val="nil"/>
                    <w:tr2bl w:val="nil"/>
                  </w:tcBorders>
                  <w:noWrap w:val="0"/>
                  <w:vAlign w:val="center"/>
                </w:tcPr>
                <w:p>
                  <w:pPr>
                    <w:spacing w:line="240" w:lineRule="exact"/>
                    <w:jc w:val="center"/>
                    <w:rPr>
                      <w:sz w:val="21"/>
                      <w:szCs w:val="21"/>
                    </w:rPr>
                  </w:pPr>
                  <w:r>
                    <w:rPr>
                      <w:sz w:val="21"/>
                      <w:szCs w:val="21"/>
                    </w:rPr>
                    <w:t>1小时平均</w:t>
                  </w:r>
                </w:p>
              </w:tc>
              <w:tc>
                <w:tcPr>
                  <w:tcW w:w="2223" w:type="dxa"/>
                  <w:tcBorders>
                    <w:tl2br w:val="nil"/>
                    <w:tr2bl w:val="nil"/>
                  </w:tcBorders>
                  <w:noWrap w:val="0"/>
                  <w:vAlign w:val="center"/>
                </w:tcPr>
                <w:p>
                  <w:pPr>
                    <w:spacing w:line="240" w:lineRule="exact"/>
                    <w:jc w:val="center"/>
                    <w:rPr>
                      <w:sz w:val="21"/>
                      <w:szCs w:val="21"/>
                    </w:rPr>
                  </w:pPr>
                  <w:r>
                    <w:rPr>
                      <w:sz w:val="21"/>
                      <w:szCs w:val="21"/>
                    </w:rPr>
                    <w:t>500</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restart"/>
                  <w:tcBorders>
                    <w:tl2br w:val="nil"/>
                    <w:tr2bl w:val="nil"/>
                  </w:tcBorders>
                  <w:noWrap w:val="0"/>
                  <w:vAlign w:val="center"/>
                </w:tcPr>
                <w:p>
                  <w:pPr>
                    <w:spacing w:line="240" w:lineRule="exact"/>
                    <w:jc w:val="center"/>
                    <w:rPr>
                      <w:sz w:val="21"/>
                      <w:szCs w:val="21"/>
                    </w:rPr>
                  </w:pPr>
                  <w:r>
                    <w:rPr>
                      <w:sz w:val="21"/>
                      <w:szCs w:val="21"/>
                    </w:rPr>
                    <w:t>NO</w:t>
                  </w:r>
                  <w:r>
                    <w:rPr>
                      <w:sz w:val="21"/>
                      <w:szCs w:val="21"/>
                      <w:vertAlign w:val="subscript"/>
                    </w:rPr>
                    <w:t>2</w:t>
                  </w:r>
                  <w:r>
                    <w:rPr>
                      <w:sz w:val="21"/>
                      <w:szCs w:val="21"/>
                    </w:rPr>
                    <w:t>（μg/m</w:t>
                  </w:r>
                  <w:r>
                    <w:rPr>
                      <w:sz w:val="21"/>
                      <w:szCs w:val="21"/>
                      <w:vertAlign w:val="superscript"/>
                    </w:rPr>
                    <w:t>3</w:t>
                  </w:r>
                  <w:r>
                    <w:rPr>
                      <w:sz w:val="21"/>
                      <w:szCs w:val="21"/>
                    </w:rPr>
                    <w:t>）</w:t>
                  </w:r>
                </w:p>
              </w:tc>
              <w:tc>
                <w:tcPr>
                  <w:tcW w:w="2100" w:type="dxa"/>
                  <w:tcBorders>
                    <w:tl2br w:val="nil"/>
                    <w:tr2bl w:val="nil"/>
                  </w:tcBorders>
                  <w:noWrap w:val="0"/>
                  <w:vAlign w:val="center"/>
                </w:tcPr>
                <w:p>
                  <w:pPr>
                    <w:spacing w:line="240" w:lineRule="exact"/>
                    <w:jc w:val="center"/>
                    <w:rPr>
                      <w:sz w:val="21"/>
                      <w:szCs w:val="21"/>
                    </w:rPr>
                  </w:pPr>
                  <w:r>
                    <w:rPr>
                      <w:sz w:val="21"/>
                      <w:szCs w:val="21"/>
                    </w:rPr>
                    <w:t>年平均</w:t>
                  </w:r>
                </w:p>
              </w:tc>
              <w:tc>
                <w:tcPr>
                  <w:tcW w:w="2223" w:type="dxa"/>
                  <w:tcBorders>
                    <w:tl2br w:val="nil"/>
                    <w:tr2bl w:val="nil"/>
                  </w:tcBorders>
                  <w:noWrap w:val="0"/>
                  <w:vAlign w:val="center"/>
                </w:tcPr>
                <w:p>
                  <w:pPr>
                    <w:spacing w:line="240" w:lineRule="exact"/>
                    <w:jc w:val="center"/>
                    <w:rPr>
                      <w:sz w:val="21"/>
                      <w:szCs w:val="21"/>
                    </w:rPr>
                  </w:pPr>
                  <w:r>
                    <w:rPr>
                      <w:sz w:val="21"/>
                      <w:szCs w:val="21"/>
                    </w:rPr>
                    <w:t>40</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continue"/>
                  <w:tcBorders>
                    <w:tl2br w:val="nil"/>
                    <w:tr2bl w:val="nil"/>
                  </w:tcBorders>
                  <w:noWrap w:val="0"/>
                  <w:vAlign w:val="center"/>
                </w:tcPr>
                <w:p>
                  <w:pPr>
                    <w:widowControl/>
                    <w:spacing w:line="240" w:lineRule="exact"/>
                    <w:jc w:val="left"/>
                    <w:rPr>
                      <w:sz w:val="21"/>
                      <w:szCs w:val="21"/>
                    </w:rPr>
                  </w:pPr>
                </w:p>
              </w:tc>
              <w:tc>
                <w:tcPr>
                  <w:tcW w:w="2100" w:type="dxa"/>
                  <w:tcBorders>
                    <w:tl2br w:val="nil"/>
                    <w:tr2bl w:val="nil"/>
                  </w:tcBorders>
                  <w:noWrap w:val="0"/>
                  <w:vAlign w:val="center"/>
                </w:tcPr>
                <w:p>
                  <w:pPr>
                    <w:spacing w:line="240" w:lineRule="exact"/>
                    <w:jc w:val="center"/>
                    <w:rPr>
                      <w:sz w:val="21"/>
                      <w:szCs w:val="21"/>
                    </w:rPr>
                  </w:pPr>
                  <w:r>
                    <w:rPr>
                      <w:sz w:val="21"/>
                      <w:szCs w:val="21"/>
                    </w:rPr>
                    <w:t>24小时平均</w:t>
                  </w:r>
                </w:p>
              </w:tc>
              <w:tc>
                <w:tcPr>
                  <w:tcW w:w="2223" w:type="dxa"/>
                  <w:tcBorders>
                    <w:tl2br w:val="nil"/>
                    <w:tr2bl w:val="nil"/>
                  </w:tcBorders>
                  <w:noWrap w:val="0"/>
                  <w:vAlign w:val="center"/>
                </w:tcPr>
                <w:p>
                  <w:pPr>
                    <w:spacing w:line="240" w:lineRule="exact"/>
                    <w:jc w:val="center"/>
                    <w:rPr>
                      <w:sz w:val="21"/>
                      <w:szCs w:val="21"/>
                    </w:rPr>
                  </w:pPr>
                  <w:r>
                    <w:rPr>
                      <w:sz w:val="21"/>
                      <w:szCs w:val="21"/>
                    </w:rPr>
                    <w:t>80</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continue"/>
                  <w:tcBorders>
                    <w:tl2br w:val="nil"/>
                    <w:tr2bl w:val="nil"/>
                  </w:tcBorders>
                  <w:noWrap w:val="0"/>
                  <w:vAlign w:val="center"/>
                </w:tcPr>
                <w:p>
                  <w:pPr>
                    <w:widowControl/>
                    <w:spacing w:line="240" w:lineRule="exact"/>
                    <w:jc w:val="left"/>
                    <w:rPr>
                      <w:sz w:val="21"/>
                      <w:szCs w:val="21"/>
                    </w:rPr>
                  </w:pPr>
                </w:p>
              </w:tc>
              <w:tc>
                <w:tcPr>
                  <w:tcW w:w="2100" w:type="dxa"/>
                  <w:tcBorders>
                    <w:tl2br w:val="nil"/>
                    <w:tr2bl w:val="nil"/>
                  </w:tcBorders>
                  <w:noWrap w:val="0"/>
                  <w:vAlign w:val="center"/>
                </w:tcPr>
                <w:p>
                  <w:pPr>
                    <w:spacing w:line="240" w:lineRule="exact"/>
                    <w:jc w:val="center"/>
                    <w:rPr>
                      <w:sz w:val="21"/>
                      <w:szCs w:val="21"/>
                    </w:rPr>
                  </w:pPr>
                  <w:r>
                    <w:rPr>
                      <w:sz w:val="21"/>
                      <w:szCs w:val="21"/>
                    </w:rPr>
                    <w:t>1小时平均</w:t>
                  </w:r>
                </w:p>
              </w:tc>
              <w:tc>
                <w:tcPr>
                  <w:tcW w:w="2223" w:type="dxa"/>
                  <w:tcBorders>
                    <w:tl2br w:val="nil"/>
                    <w:tr2bl w:val="nil"/>
                  </w:tcBorders>
                  <w:noWrap w:val="0"/>
                  <w:vAlign w:val="center"/>
                </w:tcPr>
                <w:p>
                  <w:pPr>
                    <w:spacing w:line="240" w:lineRule="exact"/>
                    <w:jc w:val="center"/>
                    <w:rPr>
                      <w:sz w:val="21"/>
                      <w:szCs w:val="21"/>
                    </w:rPr>
                  </w:pPr>
                  <w:r>
                    <w:rPr>
                      <w:sz w:val="21"/>
                      <w:szCs w:val="21"/>
                    </w:rPr>
                    <w:t>200</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restart"/>
                  <w:tcBorders>
                    <w:tl2br w:val="nil"/>
                    <w:tr2bl w:val="nil"/>
                  </w:tcBorders>
                  <w:noWrap w:val="0"/>
                  <w:vAlign w:val="center"/>
                </w:tcPr>
                <w:p>
                  <w:pPr>
                    <w:spacing w:line="240" w:lineRule="exact"/>
                    <w:jc w:val="center"/>
                    <w:rPr>
                      <w:sz w:val="21"/>
                      <w:szCs w:val="21"/>
                    </w:rPr>
                  </w:pPr>
                  <w:r>
                    <w:rPr>
                      <w:sz w:val="21"/>
                      <w:szCs w:val="21"/>
                    </w:rPr>
                    <w:t>CO（mg/m</w:t>
                  </w:r>
                  <w:r>
                    <w:rPr>
                      <w:sz w:val="21"/>
                      <w:szCs w:val="21"/>
                      <w:vertAlign w:val="superscript"/>
                    </w:rPr>
                    <w:t>3</w:t>
                  </w:r>
                  <w:r>
                    <w:rPr>
                      <w:sz w:val="21"/>
                      <w:szCs w:val="21"/>
                    </w:rPr>
                    <w:t>）</w:t>
                  </w:r>
                </w:p>
              </w:tc>
              <w:tc>
                <w:tcPr>
                  <w:tcW w:w="2100" w:type="dxa"/>
                  <w:tcBorders>
                    <w:tl2br w:val="nil"/>
                    <w:tr2bl w:val="nil"/>
                  </w:tcBorders>
                  <w:noWrap w:val="0"/>
                  <w:vAlign w:val="center"/>
                </w:tcPr>
                <w:p>
                  <w:pPr>
                    <w:spacing w:line="240" w:lineRule="exact"/>
                    <w:jc w:val="center"/>
                    <w:rPr>
                      <w:sz w:val="21"/>
                      <w:szCs w:val="21"/>
                    </w:rPr>
                  </w:pPr>
                  <w:r>
                    <w:rPr>
                      <w:sz w:val="21"/>
                      <w:szCs w:val="21"/>
                    </w:rPr>
                    <w:t>24小时平均</w:t>
                  </w:r>
                </w:p>
              </w:tc>
              <w:tc>
                <w:tcPr>
                  <w:tcW w:w="2223" w:type="dxa"/>
                  <w:tcBorders>
                    <w:tl2br w:val="nil"/>
                    <w:tr2bl w:val="nil"/>
                  </w:tcBorders>
                  <w:noWrap w:val="0"/>
                  <w:vAlign w:val="center"/>
                </w:tcPr>
                <w:p>
                  <w:pPr>
                    <w:spacing w:line="240" w:lineRule="exact"/>
                    <w:jc w:val="center"/>
                    <w:rPr>
                      <w:sz w:val="21"/>
                      <w:szCs w:val="21"/>
                    </w:rPr>
                  </w:pPr>
                  <w:r>
                    <w:rPr>
                      <w:sz w:val="21"/>
                      <w:szCs w:val="21"/>
                    </w:rPr>
                    <w:t>4</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continue"/>
                  <w:tcBorders>
                    <w:tl2br w:val="nil"/>
                    <w:tr2bl w:val="nil"/>
                  </w:tcBorders>
                  <w:noWrap w:val="0"/>
                  <w:vAlign w:val="center"/>
                </w:tcPr>
                <w:p>
                  <w:pPr>
                    <w:widowControl/>
                    <w:spacing w:line="240" w:lineRule="exact"/>
                    <w:jc w:val="left"/>
                    <w:rPr>
                      <w:sz w:val="21"/>
                      <w:szCs w:val="21"/>
                    </w:rPr>
                  </w:pPr>
                </w:p>
              </w:tc>
              <w:tc>
                <w:tcPr>
                  <w:tcW w:w="2100" w:type="dxa"/>
                  <w:tcBorders>
                    <w:tl2br w:val="nil"/>
                    <w:tr2bl w:val="nil"/>
                  </w:tcBorders>
                  <w:noWrap w:val="0"/>
                  <w:vAlign w:val="center"/>
                </w:tcPr>
                <w:p>
                  <w:pPr>
                    <w:spacing w:line="240" w:lineRule="exact"/>
                    <w:jc w:val="center"/>
                    <w:rPr>
                      <w:sz w:val="21"/>
                      <w:szCs w:val="21"/>
                    </w:rPr>
                  </w:pPr>
                  <w:r>
                    <w:rPr>
                      <w:sz w:val="21"/>
                      <w:szCs w:val="21"/>
                    </w:rPr>
                    <w:t>1小时平均</w:t>
                  </w:r>
                </w:p>
              </w:tc>
              <w:tc>
                <w:tcPr>
                  <w:tcW w:w="2223" w:type="dxa"/>
                  <w:tcBorders>
                    <w:tl2br w:val="nil"/>
                    <w:tr2bl w:val="nil"/>
                  </w:tcBorders>
                  <w:noWrap w:val="0"/>
                  <w:vAlign w:val="center"/>
                </w:tcPr>
                <w:p>
                  <w:pPr>
                    <w:spacing w:line="240" w:lineRule="exact"/>
                    <w:jc w:val="center"/>
                    <w:rPr>
                      <w:sz w:val="21"/>
                      <w:szCs w:val="21"/>
                    </w:rPr>
                  </w:pPr>
                  <w:r>
                    <w:rPr>
                      <w:sz w:val="21"/>
                      <w:szCs w:val="21"/>
                    </w:rPr>
                    <w:t>10</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restart"/>
                  <w:tcBorders>
                    <w:tl2br w:val="nil"/>
                    <w:tr2bl w:val="nil"/>
                  </w:tcBorders>
                  <w:noWrap w:val="0"/>
                  <w:vAlign w:val="center"/>
                </w:tcPr>
                <w:p>
                  <w:pPr>
                    <w:spacing w:line="240" w:lineRule="exact"/>
                    <w:jc w:val="center"/>
                    <w:rPr>
                      <w:sz w:val="21"/>
                      <w:szCs w:val="21"/>
                    </w:rPr>
                  </w:pPr>
                  <w:r>
                    <w:rPr>
                      <w:sz w:val="21"/>
                      <w:szCs w:val="21"/>
                    </w:rPr>
                    <w:t>O</w:t>
                  </w:r>
                  <w:r>
                    <w:rPr>
                      <w:sz w:val="21"/>
                      <w:szCs w:val="21"/>
                      <w:vertAlign w:val="subscript"/>
                    </w:rPr>
                    <w:t>3</w:t>
                  </w:r>
                  <w:r>
                    <w:rPr>
                      <w:sz w:val="21"/>
                      <w:szCs w:val="21"/>
                    </w:rPr>
                    <w:t>（μg/m</w:t>
                  </w:r>
                  <w:r>
                    <w:rPr>
                      <w:sz w:val="21"/>
                      <w:szCs w:val="21"/>
                      <w:vertAlign w:val="superscript"/>
                    </w:rPr>
                    <w:t>3</w:t>
                  </w:r>
                  <w:r>
                    <w:rPr>
                      <w:sz w:val="21"/>
                      <w:szCs w:val="21"/>
                    </w:rPr>
                    <w:t>）</w:t>
                  </w:r>
                </w:p>
              </w:tc>
              <w:tc>
                <w:tcPr>
                  <w:tcW w:w="2100" w:type="dxa"/>
                  <w:tcBorders>
                    <w:tl2br w:val="nil"/>
                    <w:tr2bl w:val="nil"/>
                  </w:tcBorders>
                  <w:noWrap w:val="0"/>
                  <w:vAlign w:val="center"/>
                </w:tcPr>
                <w:p>
                  <w:pPr>
                    <w:spacing w:line="240" w:lineRule="exact"/>
                    <w:jc w:val="center"/>
                    <w:rPr>
                      <w:sz w:val="21"/>
                      <w:szCs w:val="21"/>
                    </w:rPr>
                  </w:pPr>
                  <w:r>
                    <w:rPr>
                      <w:sz w:val="21"/>
                      <w:szCs w:val="21"/>
                    </w:rPr>
                    <w:t>日最大8小时平均</w:t>
                  </w:r>
                </w:p>
              </w:tc>
              <w:tc>
                <w:tcPr>
                  <w:tcW w:w="2223" w:type="dxa"/>
                  <w:tcBorders>
                    <w:tl2br w:val="nil"/>
                    <w:tr2bl w:val="nil"/>
                  </w:tcBorders>
                  <w:noWrap w:val="0"/>
                  <w:vAlign w:val="center"/>
                </w:tcPr>
                <w:p>
                  <w:pPr>
                    <w:spacing w:line="240" w:lineRule="exact"/>
                    <w:jc w:val="center"/>
                    <w:rPr>
                      <w:sz w:val="21"/>
                      <w:szCs w:val="21"/>
                    </w:rPr>
                  </w:pPr>
                  <w:r>
                    <w:rPr>
                      <w:sz w:val="21"/>
                      <w:szCs w:val="21"/>
                    </w:rPr>
                    <w:t>160</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continue"/>
                  <w:tcBorders>
                    <w:tl2br w:val="nil"/>
                    <w:tr2bl w:val="nil"/>
                  </w:tcBorders>
                  <w:noWrap w:val="0"/>
                  <w:vAlign w:val="center"/>
                </w:tcPr>
                <w:p>
                  <w:pPr>
                    <w:widowControl/>
                    <w:spacing w:line="240" w:lineRule="exact"/>
                    <w:jc w:val="left"/>
                    <w:rPr>
                      <w:sz w:val="21"/>
                      <w:szCs w:val="21"/>
                    </w:rPr>
                  </w:pPr>
                </w:p>
              </w:tc>
              <w:tc>
                <w:tcPr>
                  <w:tcW w:w="2100" w:type="dxa"/>
                  <w:tcBorders>
                    <w:tl2br w:val="nil"/>
                    <w:tr2bl w:val="nil"/>
                  </w:tcBorders>
                  <w:noWrap w:val="0"/>
                  <w:vAlign w:val="center"/>
                </w:tcPr>
                <w:p>
                  <w:pPr>
                    <w:spacing w:line="240" w:lineRule="exact"/>
                    <w:jc w:val="center"/>
                    <w:rPr>
                      <w:sz w:val="21"/>
                      <w:szCs w:val="21"/>
                    </w:rPr>
                  </w:pPr>
                  <w:r>
                    <w:rPr>
                      <w:sz w:val="21"/>
                      <w:szCs w:val="21"/>
                    </w:rPr>
                    <w:t>1小时平均</w:t>
                  </w:r>
                </w:p>
              </w:tc>
              <w:tc>
                <w:tcPr>
                  <w:tcW w:w="2223" w:type="dxa"/>
                  <w:tcBorders>
                    <w:tl2br w:val="nil"/>
                    <w:tr2bl w:val="nil"/>
                  </w:tcBorders>
                  <w:noWrap w:val="0"/>
                  <w:vAlign w:val="center"/>
                </w:tcPr>
                <w:p>
                  <w:pPr>
                    <w:spacing w:line="240" w:lineRule="exact"/>
                    <w:jc w:val="center"/>
                    <w:rPr>
                      <w:sz w:val="21"/>
                      <w:szCs w:val="21"/>
                    </w:rPr>
                  </w:pPr>
                  <w:r>
                    <w:rPr>
                      <w:sz w:val="21"/>
                      <w:szCs w:val="21"/>
                    </w:rPr>
                    <w:t>200</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restart"/>
                  <w:tcBorders>
                    <w:tl2br w:val="nil"/>
                    <w:tr2bl w:val="nil"/>
                  </w:tcBorders>
                  <w:noWrap w:val="0"/>
                  <w:vAlign w:val="center"/>
                </w:tcPr>
                <w:p>
                  <w:pPr>
                    <w:spacing w:line="240" w:lineRule="exact"/>
                    <w:jc w:val="center"/>
                    <w:rPr>
                      <w:sz w:val="21"/>
                      <w:szCs w:val="21"/>
                    </w:rPr>
                  </w:pPr>
                  <w:r>
                    <w:rPr>
                      <w:sz w:val="21"/>
                      <w:szCs w:val="21"/>
                    </w:rPr>
                    <w:t>PM</w:t>
                  </w:r>
                  <w:r>
                    <w:rPr>
                      <w:sz w:val="21"/>
                      <w:szCs w:val="21"/>
                      <w:vertAlign w:val="subscript"/>
                    </w:rPr>
                    <w:t>10</w:t>
                  </w:r>
                  <w:r>
                    <w:rPr>
                      <w:sz w:val="21"/>
                      <w:szCs w:val="21"/>
                    </w:rPr>
                    <w:t>（μg/m</w:t>
                  </w:r>
                  <w:r>
                    <w:rPr>
                      <w:sz w:val="21"/>
                      <w:szCs w:val="21"/>
                      <w:vertAlign w:val="superscript"/>
                    </w:rPr>
                    <w:t>3</w:t>
                  </w:r>
                  <w:r>
                    <w:rPr>
                      <w:sz w:val="21"/>
                      <w:szCs w:val="21"/>
                    </w:rPr>
                    <w:t>）</w:t>
                  </w:r>
                </w:p>
              </w:tc>
              <w:tc>
                <w:tcPr>
                  <w:tcW w:w="2100" w:type="dxa"/>
                  <w:tcBorders>
                    <w:tl2br w:val="nil"/>
                    <w:tr2bl w:val="nil"/>
                  </w:tcBorders>
                  <w:noWrap w:val="0"/>
                  <w:vAlign w:val="center"/>
                </w:tcPr>
                <w:p>
                  <w:pPr>
                    <w:spacing w:line="240" w:lineRule="exact"/>
                    <w:jc w:val="center"/>
                    <w:rPr>
                      <w:sz w:val="21"/>
                      <w:szCs w:val="21"/>
                    </w:rPr>
                  </w:pPr>
                  <w:r>
                    <w:rPr>
                      <w:sz w:val="21"/>
                      <w:szCs w:val="21"/>
                    </w:rPr>
                    <w:t>年平均</w:t>
                  </w:r>
                </w:p>
              </w:tc>
              <w:tc>
                <w:tcPr>
                  <w:tcW w:w="2223" w:type="dxa"/>
                  <w:tcBorders>
                    <w:tl2br w:val="nil"/>
                    <w:tr2bl w:val="nil"/>
                  </w:tcBorders>
                  <w:noWrap w:val="0"/>
                  <w:vAlign w:val="center"/>
                </w:tcPr>
                <w:p>
                  <w:pPr>
                    <w:spacing w:line="240" w:lineRule="exact"/>
                    <w:jc w:val="center"/>
                    <w:rPr>
                      <w:sz w:val="21"/>
                      <w:szCs w:val="21"/>
                    </w:rPr>
                  </w:pPr>
                  <w:r>
                    <w:rPr>
                      <w:sz w:val="21"/>
                      <w:szCs w:val="21"/>
                    </w:rPr>
                    <w:t>70</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continue"/>
                  <w:tcBorders>
                    <w:tl2br w:val="nil"/>
                    <w:tr2bl w:val="nil"/>
                  </w:tcBorders>
                  <w:noWrap w:val="0"/>
                  <w:vAlign w:val="center"/>
                </w:tcPr>
                <w:p>
                  <w:pPr>
                    <w:widowControl/>
                    <w:spacing w:line="240" w:lineRule="exact"/>
                    <w:jc w:val="left"/>
                    <w:rPr>
                      <w:sz w:val="21"/>
                      <w:szCs w:val="21"/>
                    </w:rPr>
                  </w:pPr>
                </w:p>
              </w:tc>
              <w:tc>
                <w:tcPr>
                  <w:tcW w:w="2100" w:type="dxa"/>
                  <w:tcBorders>
                    <w:tl2br w:val="nil"/>
                    <w:tr2bl w:val="nil"/>
                  </w:tcBorders>
                  <w:noWrap w:val="0"/>
                  <w:vAlign w:val="center"/>
                </w:tcPr>
                <w:p>
                  <w:pPr>
                    <w:spacing w:line="240" w:lineRule="exact"/>
                    <w:jc w:val="center"/>
                    <w:rPr>
                      <w:sz w:val="21"/>
                      <w:szCs w:val="21"/>
                    </w:rPr>
                  </w:pPr>
                  <w:r>
                    <w:rPr>
                      <w:sz w:val="21"/>
                      <w:szCs w:val="21"/>
                    </w:rPr>
                    <w:t>24小时平均</w:t>
                  </w:r>
                </w:p>
              </w:tc>
              <w:tc>
                <w:tcPr>
                  <w:tcW w:w="2223" w:type="dxa"/>
                  <w:tcBorders>
                    <w:tl2br w:val="nil"/>
                    <w:tr2bl w:val="nil"/>
                  </w:tcBorders>
                  <w:noWrap w:val="0"/>
                  <w:vAlign w:val="center"/>
                </w:tcPr>
                <w:p>
                  <w:pPr>
                    <w:spacing w:line="240" w:lineRule="exact"/>
                    <w:jc w:val="center"/>
                    <w:rPr>
                      <w:sz w:val="21"/>
                      <w:szCs w:val="21"/>
                    </w:rPr>
                  </w:pPr>
                  <w:r>
                    <w:rPr>
                      <w:sz w:val="21"/>
                      <w:szCs w:val="21"/>
                    </w:rPr>
                    <w:t>150</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restart"/>
                  <w:tcBorders>
                    <w:tl2br w:val="nil"/>
                    <w:tr2bl w:val="nil"/>
                  </w:tcBorders>
                  <w:noWrap w:val="0"/>
                  <w:vAlign w:val="center"/>
                </w:tcPr>
                <w:p>
                  <w:pPr>
                    <w:spacing w:line="240" w:lineRule="exact"/>
                    <w:jc w:val="center"/>
                    <w:rPr>
                      <w:sz w:val="21"/>
                      <w:szCs w:val="21"/>
                    </w:rPr>
                  </w:pPr>
                  <w:r>
                    <w:rPr>
                      <w:sz w:val="21"/>
                      <w:szCs w:val="21"/>
                    </w:rPr>
                    <w:t>PM</w:t>
                  </w:r>
                  <w:r>
                    <w:rPr>
                      <w:sz w:val="21"/>
                      <w:szCs w:val="21"/>
                      <w:vertAlign w:val="subscript"/>
                    </w:rPr>
                    <w:t>2.5</w:t>
                  </w:r>
                  <w:r>
                    <w:rPr>
                      <w:sz w:val="21"/>
                      <w:szCs w:val="21"/>
                    </w:rPr>
                    <w:t>（μg/m</w:t>
                  </w:r>
                  <w:r>
                    <w:rPr>
                      <w:sz w:val="21"/>
                      <w:szCs w:val="21"/>
                      <w:vertAlign w:val="superscript"/>
                    </w:rPr>
                    <w:t>3</w:t>
                  </w:r>
                  <w:r>
                    <w:rPr>
                      <w:sz w:val="21"/>
                      <w:szCs w:val="21"/>
                    </w:rPr>
                    <w:t>）</w:t>
                  </w:r>
                </w:p>
              </w:tc>
              <w:tc>
                <w:tcPr>
                  <w:tcW w:w="2100" w:type="dxa"/>
                  <w:tcBorders>
                    <w:tl2br w:val="nil"/>
                    <w:tr2bl w:val="nil"/>
                  </w:tcBorders>
                  <w:noWrap w:val="0"/>
                  <w:vAlign w:val="center"/>
                </w:tcPr>
                <w:p>
                  <w:pPr>
                    <w:spacing w:line="240" w:lineRule="exact"/>
                    <w:jc w:val="center"/>
                    <w:rPr>
                      <w:sz w:val="21"/>
                      <w:szCs w:val="21"/>
                    </w:rPr>
                  </w:pPr>
                  <w:r>
                    <w:rPr>
                      <w:sz w:val="21"/>
                      <w:szCs w:val="21"/>
                    </w:rPr>
                    <w:t>年平均</w:t>
                  </w:r>
                </w:p>
              </w:tc>
              <w:tc>
                <w:tcPr>
                  <w:tcW w:w="2223" w:type="dxa"/>
                  <w:tcBorders>
                    <w:tl2br w:val="nil"/>
                    <w:tr2bl w:val="nil"/>
                  </w:tcBorders>
                  <w:noWrap w:val="0"/>
                  <w:vAlign w:val="center"/>
                </w:tcPr>
                <w:p>
                  <w:pPr>
                    <w:spacing w:line="240" w:lineRule="exact"/>
                    <w:jc w:val="center"/>
                    <w:rPr>
                      <w:sz w:val="21"/>
                      <w:szCs w:val="21"/>
                    </w:rPr>
                  </w:pPr>
                  <w:r>
                    <w:rPr>
                      <w:sz w:val="21"/>
                      <w:szCs w:val="21"/>
                    </w:rPr>
                    <w:t>35</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continue"/>
                  <w:tcBorders>
                    <w:tl2br w:val="nil"/>
                    <w:tr2bl w:val="nil"/>
                  </w:tcBorders>
                  <w:noWrap w:val="0"/>
                  <w:vAlign w:val="center"/>
                </w:tcPr>
                <w:p>
                  <w:pPr>
                    <w:widowControl/>
                    <w:spacing w:line="240" w:lineRule="exact"/>
                    <w:jc w:val="left"/>
                    <w:rPr>
                      <w:sz w:val="21"/>
                      <w:szCs w:val="21"/>
                    </w:rPr>
                  </w:pPr>
                </w:p>
              </w:tc>
              <w:tc>
                <w:tcPr>
                  <w:tcW w:w="2100" w:type="dxa"/>
                  <w:tcBorders>
                    <w:tl2br w:val="nil"/>
                    <w:tr2bl w:val="nil"/>
                  </w:tcBorders>
                  <w:noWrap w:val="0"/>
                  <w:vAlign w:val="center"/>
                </w:tcPr>
                <w:p>
                  <w:pPr>
                    <w:spacing w:line="240" w:lineRule="exact"/>
                    <w:jc w:val="center"/>
                    <w:rPr>
                      <w:sz w:val="21"/>
                      <w:szCs w:val="21"/>
                    </w:rPr>
                  </w:pPr>
                  <w:r>
                    <w:rPr>
                      <w:sz w:val="21"/>
                      <w:szCs w:val="21"/>
                    </w:rPr>
                    <w:t>24小时平均</w:t>
                  </w:r>
                </w:p>
              </w:tc>
              <w:tc>
                <w:tcPr>
                  <w:tcW w:w="2223" w:type="dxa"/>
                  <w:tcBorders>
                    <w:tl2br w:val="nil"/>
                    <w:tr2bl w:val="nil"/>
                  </w:tcBorders>
                  <w:noWrap w:val="0"/>
                  <w:vAlign w:val="center"/>
                </w:tcPr>
                <w:p>
                  <w:pPr>
                    <w:spacing w:line="240" w:lineRule="exact"/>
                    <w:jc w:val="center"/>
                    <w:rPr>
                      <w:sz w:val="21"/>
                      <w:szCs w:val="21"/>
                    </w:rPr>
                  </w:pPr>
                  <w:r>
                    <w:rPr>
                      <w:sz w:val="21"/>
                      <w:szCs w:val="21"/>
                    </w:rPr>
                    <w:t>75</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restart"/>
                  <w:tcBorders>
                    <w:tl2br w:val="nil"/>
                    <w:tr2bl w:val="nil"/>
                  </w:tcBorders>
                  <w:noWrap w:val="0"/>
                  <w:vAlign w:val="center"/>
                </w:tcPr>
                <w:p>
                  <w:pPr>
                    <w:widowControl/>
                    <w:spacing w:line="240" w:lineRule="exact"/>
                    <w:jc w:val="center"/>
                    <w:rPr>
                      <w:rFonts w:hint="default" w:eastAsia="宋体"/>
                      <w:sz w:val="21"/>
                      <w:szCs w:val="21"/>
                      <w:lang w:val="en-US" w:eastAsia="zh-CN"/>
                    </w:rPr>
                  </w:pPr>
                  <w:r>
                    <w:rPr>
                      <w:rFonts w:hint="eastAsia"/>
                      <w:sz w:val="21"/>
                      <w:szCs w:val="21"/>
                      <w:lang w:val="en-US" w:eastAsia="zh-CN"/>
                    </w:rPr>
                    <w:t>TSP</w:t>
                  </w:r>
                  <w:r>
                    <w:rPr>
                      <w:sz w:val="21"/>
                      <w:szCs w:val="21"/>
                    </w:rPr>
                    <w:t>（μg/m</w:t>
                  </w:r>
                  <w:r>
                    <w:rPr>
                      <w:sz w:val="21"/>
                      <w:szCs w:val="21"/>
                      <w:vertAlign w:val="superscript"/>
                    </w:rPr>
                    <w:t>3</w:t>
                  </w:r>
                  <w:r>
                    <w:rPr>
                      <w:sz w:val="21"/>
                      <w:szCs w:val="21"/>
                    </w:rPr>
                    <w:t>）</w:t>
                  </w:r>
                </w:p>
              </w:tc>
              <w:tc>
                <w:tcPr>
                  <w:tcW w:w="2100" w:type="dxa"/>
                  <w:tcBorders>
                    <w:tl2br w:val="nil"/>
                    <w:tr2bl w:val="nil"/>
                  </w:tcBorders>
                  <w:noWrap w:val="0"/>
                  <w:vAlign w:val="center"/>
                </w:tcPr>
                <w:p>
                  <w:pPr>
                    <w:spacing w:line="240" w:lineRule="exact"/>
                    <w:jc w:val="center"/>
                    <w:rPr>
                      <w:sz w:val="21"/>
                      <w:szCs w:val="21"/>
                    </w:rPr>
                  </w:pPr>
                  <w:r>
                    <w:rPr>
                      <w:sz w:val="21"/>
                      <w:szCs w:val="21"/>
                    </w:rPr>
                    <w:t>年平均</w:t>
                  </w:r>
                </w:p>
              </w:tc>
              <w:tc>
                <w:tcPr>
                  <w:tcW w:w="2223" w:type="dxa"/>
                  <w:tcBorders>
                    <w:tl2br w:val="nil"/>
                    <w:tr2bl w:val="nil"/>
                  </w:tcBorders>
                  <w:noWrap w:val="0"/>
                  <w:vAlign w:val="center"/>
                </w:tcPr>
                <w:p>
                  <w:pPr>
                    <w:spacing w:line="240" w:lineRule="exact"/>
                    <w:jc w:val="center"/>
                    <w:rPr>
                      <w:rFonts w:hint="default" w:eastAsia="宋体"/>
                      <w:sz w:val="21"/>
                      <w:szCs w:val="21"/>
                      <w:lang w:val="en-US" w:eastAsia="zh-CN"/>
                    </w:rPr>
                  </w:pPr>
                  <w:r>
                    <w:rPr>
                      <w:rFonts w:hint="eastAsia"/>
                      <w:sz w:val="21"/>
                      <w:szCs w:val="21"/>
                      <w:lang w:val="en-US" w:eastAsia="zh-CN"/>
                    </w:rPr>
                    <w:t>200</w:t>
                  </w:r>
                </w:p>
              </w:tc>
              <w:tc>
                <w:tcPr>
                  <w:tcW w:w="2342" w:type="dxa"/>
                  <w:vMerge w:val="continue"/>
                  <w:tcBorders>
                    <w:tl2br w:val="nil"/>
                    <w:tr2bl w:val="nil"/>
                  </w:tcBorders>
                  <w:noWrap w:val="0"/>
                  <w:vAlign w:val="center"/>
                </w:tcPr>
                <w:p>
                  <w:pPr>
                    <w:widowControl/>
                    <w:spacing w:line="240" w:lineRule="exact"/>
                    <w:jc w:val="left"/>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14" w:type="dxa"/>
                  <w:vMerge w:val="continue"/>
                  <w:tcBorders>
                    <w:tl2br w:val="nil"/>
                    <w:tr2bl w:val="nil"/>
                  </w:tcBorders>
                  <w:noWrap w:val="0"/>
                  <w:vAlign w:val="center"/>
                </w:tcPr>
                <w:p>
                  <w:pPr>
                    <w:widowControl/>
                    <w:spacing w:line="240" w:lineRule="exact"/>
                    <w:jc w:val="left"/>
                    <w:rPr>
                      <w:sz w:val="21"/>
                      <w:szCs w:val="21"/>
                    </w:rPr>
                  </w:pPr>
                </w:p>
              </w:tc>
              <w:tc>
                <w:tcPr>
                  <w:tcW w:w="2100" w:type="dxa"/>
                  <w:tcBorders>
                    <w:tl2br w:val="nil"/>
                    <w:tr2bl w:val="nil"/>
                  </w:tcBorders>
                  <w:noWrap w:val="0"/>
                  <w:vAlign w:val="center"/>
                </w:tcPr>
                <w:p>
                  <w:pPr>
                    <w:spacing w:line="240" w:lineRule="exact"/>
                    <w:jc w:val="center"/>
                    <w:rPr>
                      <w:sz w:val="21"/>
                      <w:szCs w:val="21"/>
                    </w:rPr>
                  </w:pPr>
                  <w:r>
                    <w:rPr>
                      <w:sz w:val="21"/>
                      <w:szCs w:val="21"/>
                    </w:rPr>
                    <w:t>24小时平均</w:t>
                  </w:r>
                </w:p>
              </w:tc>
              <w:tc>
                <w:tcPr>
                  <w:tcW w:w="2223" w:type="dxa"/>
                  <w:tcBorders>
                    <w:tl2br w:val="nil"/>
                    <w:tr2bl w:val="nil"/>
                  </w:tcBorders>
                  <w:noWrap w:val="0"/>
                  <w:vAlign w:val="center"/>
                </w:tcPr>
                <w:p>
                  <w:pPr>
                    <w:spacing w:line="240" w:lineRule="exact"/>
                    <w:jc w:val="center"/>
                    <w:rPr>
                      <w:rFonts w:hint="default" w:eastAsia="宋体"/>
                      <w:sz w:val="21"/>
                      <w:szCs w:val="21"/>
                      <w:lang w:val="en-US" w:eastAsia="zh-CN"/>
                    </w:rPr>
                  </w:pPr>
                  <w:r>
                    <w:rPr>
                      <w:rFonts w:hint="eastAsia"/>
                      <w:sz w:val="21"/>
                      <w:szCs w:val="21"/>
                      <w:lang w:val="en-US" w:eastAsia="zh-CN"/>
                    </w:rPr>
                    <w:t>300</w:t>
                  </w:r>
                </w:p>
              </w:tc>
              <w:tc>
                <w:tcPr>
                  <w:tcW w:w="2342" w:type="dxa"/>
                  <w:vMerge w:val="continue"/>
                  <w:tcBorders>
                    <w:tl2br w:val="nil"/>
                    <w:tr2bl w:val="nil"/>
                  </w:tcBorders>
                  <w:noWrap w:val="0"/>
                  <w:vAlign w:val="center"/>
                </w:tcPr>
                <w:p>
                  <w:pPr>
                    <w:widowControl/>
                    <w:spacing w:line="240" w:lineRule="exact"/>
                    <w:jc w:val="left"/>
                    <w:rPr>
                      <w:sz w:val="21"/>
                      <w:szCs w:val="21"/>
                    </w:rPr>
                  </w:pPr>
                </w:p>
              </w:tc>
            </w:tr>
          </w:tbl>
          <w:p>
            <w:pPr>
              <w:spacing w:line="360" w:lineRule="auto"/>
              <w:ind w:firstLine="480" w:firstLineChars="200"/>
              <w:rPr>
                <w:sz w:val="24"/>
              </w:rPr>
            </w:pPr>
            <w:r>
              <w:rPr>
                <w:rFonts w:hint="eastAsia" w:ascii="宋体" w:hAnsi="宋体" w:cs="宋体"/>
                <w:sz w:val="24"/>
              </w:rPr>
              <w:t>⑵</w:t>
            </w:r>
            <w:r>
              <w:rPr>
                <w:sz w:val="24"/>
              </w:rPr>
              <w:t>声环境</w:t>
            </w:r>
          </w:p>
          <w:p>
            <w:pPr>
              <w:adjustRightInd w:val="0"/>
              <w:snapToGrid w:val="0"/>
              <w:spacing w:line="360" w:lineRule="auto"/>
              <w:ind w:firstLine="480" w:firstLineChars="200"/>
              <w:rPr>
                <w:sz w:val="24"/>
                <w:szCs w:val="24"/>
              </w:rPr>
            </w:pPr>
            <w:r>
              <w:rPr>
                <w:sz w:val="24"/>
                <w:szCs w:val="24"/>
              </w:rPr>
              <w:t>本项目所在区域声环境质量评价执行《声环境质量标准》(GB3096-2008)中</w:t>
            </w:r>
            <w:r>
              <w:rPr>
                <w:rFonts w:hint="eastAsia"/>
                <w:sz w:val="24"/>
                <w:szCs w:val="24"/>
                <w:lang w:val="en-US" w:eastAsia="zh-CN"/>
              </w:rPr>
              <w:t>2</w:t>
            </w:r>
            <w:r>
              <w:rPr>
                <w:sz w:val="24"/>
                <w:szCs w:val="24"/>
              </w:rPr>
              <w:t>类标准。具体标准值见表4-2。</w:t>
            </w:r>
          </w:p>
          <w:p>
            <w:pPr>
              <w:adjustRightInd w:val="0"/>
              <w:snapToGrid w:val="0"/>
              <w:spacing w:line="360" w:lineRule="auto"/>
              <w:jc w:val="center"/>
              <w:rPr>
                <w:rFonts w:ascii="Times New Roman" w:hAnsi="Times New Roman" w:eastAsia="黑体"/>
                <w:sz w:val="24"/>
              </w:rPr>
            </w:pPr>
            <w:r>
              <w:rPr>
                <w:rFonts w:ascii="Times New Roman" w:hAnsi="Times New Roman" w:eastAsia="黑体"/>
                <w:sz w:val="24"/>
              </w:rPr>
              <w:t>表4-2    《声环境质量标准》(GB3096-2008)中</w:t>
            </w:r>
            <w:r>
              <w:rPr>
                <w:rFonts w:hint="eastAsia" w:ascii="Times New Roman" w:hAnsi="Times New Roman" w:eastAsia="黑体"/>
                <w:sz w:val="24"/>
                <w:lang w:val="en-US" w:eastAsia="zh-CN"/>
              </w:rPr>
              <w:t>2</w:t>
            </w:r>
            <w:r>
              <w:rPr>
                <w:rFonts w:ascii="Times New Roman" w:hAnsi="Times New Roman" w:eastAsia="黑体"/>
                <w:sz w:val="24"/>
              </w:rPr>
              <w:t>类标准   单位：dB(A)</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36"/>
              <w:gridCol w:w="2942"/>
              <w:gridCol w:w="34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pct"/>
                  <w:noWrap w:val="0"/>
                  <w:vAlign w:val="center"/>
                </w:tcPr>
                <w:p>
                  <w:pPr>
                    <w:widowControl/>
                    <w:adjustRightInd w:val="0"/>
                    <w:snapToGrid w:val="0"/>
                    <w:spacing w:line="0" w:lineRule="atLeast"/>
                    <w:jc w:val="center"/>
                    <w:rPr>
                      <w:b/>
                      <w:bCs/>
                    </w:rPr>
                  </w:pPr>
                  <w:r>
                    <w:rPr>
                      <w:b/>
                      <w:bCs/>
                    </w:rPr>
                    <w:t>类别</w:t>
                  </w:r>
                </w:p>
              </w:tc>
              <w:tc>
                <w:tcPr>
                  <w:tcW w:w="3700" w:type="pct"/>
                  <w:gridSpan w:val="2"/>
                  <w:noWrap w:val="0"/>
                  <w:vAlign w:val="center"/>
                </w:tcPr>
                <w:p>
                  <w:pPr>
                    <w:widowControl/>
                    <w:adjustRightInd w:val="0"/>
                    <w:snapToGrid w:val="0"/>
                    <w:spacing w:line="0" w:lineRule="atLeast"/>
                    <w:jc w:val="center"/>
                    <w:rPr>
                      <w:b/>
                      <w:bCs/>
                    </w:rPr>
                  </w:pPr>
                  <w:r>
                    <w:rPr>
                      <w:b/>
                      <w:bCs/>
                    </w:rPr>
                    <w:t>时段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pct"/>
                  <w:vMerge w:val="restart"/>
                  <w:noWrap w:val="0"/>
                  <w:vAlign w:val="center"/>
                </w:tcPr>
                <w:p>
                  <w:pPr>
                    <w:widowControl/>
                    <w:adjustRightInd w:val="0"/>
                    <w:snapToGrid w:val="0"/>
                    <w:spacing w:line="0" w:lineRule="atLeast"/>
                    <w:jc w:val="center"/>
                    <w:rPr>
                      <w:rFonts w:hint="default"/>
                      <w:lang w:val="en-US" w:eastAsia="zh-CN"/>
                    </w:rPr>
                  </w:pPr>
                  <w:r>
                    <w:rPr>
                      <w:rFonts w:hint="eastAsia"/>
                      <w:lang w:val="en-US" w:eastAsia="zh-CN"/>
                    </w:rPr>
                    <w:t>2</w:t>
                  </w:r>
                </w:p>
              </w:tc>
              <w:tc>
                <w:tcPr>
                  <w:tcW w:w="1708" w:type="pct"/>
                  <w:noWrap w:val="0"/>
                  <w:vAlign w:val="center"/>
                </w:tcPr>
                <w:p>
                  <w:pPr>
                    <w:widowControl/>
                    <w:adjustRightInd w:val="0"/>
                    <w:snapToGrid w:val="0"/>
                    <w:spacing w:line="0" w:lineRule="atLeast"/>
                    <w:jc w:val="center"/>
                    <w:rPr>
                      <w:b/>
                      <w:bCs/>
                    </w:rPr>
                  </w:pPr>
                  <w:r>
                    <w:rPr>
                      <w:b/>
                      <w:bCs/>
                    </w:rPr>
                    <w:t>昼间</w:t>
                  </w:r>
                </w:p>
              </w:tc>
              <w:tc>
                <w:tcPr>
                  <w:tcW w:w="1992" w:type="pct"/>
                  <w:noWrap w:val="0"/>
                  <w:vAlign w:val="center"/>
                </w:tcPr>
                <w:p>
                  <w:pPr>
                    <w:widowControl/>
                    <w:adjustRightInd w:val="0"/>
                    <w:snapToGrid w:val="0"/>
                    <w:spacing w:line="0" w:lineRule="atLeast"/>
                    <w:jc w:val="center"/>
                    <w:rPr>
                      <w:b/>
                      <w:bCs/>
                    </w:rPr>
                  </w:pPr>
                  <w:r>
                    <w:rPr>
                      <w:b/>
                      <w:bCs/>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pct"/>
                  <w:vMerge w:val="continue"/>
                  <w:noWrap w:val="0"/>
                  <w:vAlign w:val="center"/>
                </w:tcPr>
                <w:p>
                  <w:pPr>
                    <w:widowControl/>
                    <w:adjustRightInd w:val="0"/>
                    <w:snapToGrid w:val="0"/>
                    <w:spacing w:line="0" w:lineRule="atLeast"/>
                    <w:jc w:val="center"/>
                  </w:pPr>
                </w:p>
              </w:tc>
              <w:tc>
                <w:tcPr>
                  <w:tcW w:w="1708" w:type="pct"/>
                  <w:noWrap w:val="0"/>
                  <w:vAlign w:val="center"/>
                </w:tcPr>
                <w:p>
                  <w:pPr>
                    <w:widowControl/>
                    <w:adjustRightInd w:val="0"/>
                    <w:snapToGrid w:val="0"/>
                    <w:spacing w:line="0" w:lineRule="atLeast"/>
                    <w:jc w:val="center"/>
                    <w:rPr>
                      <w:rFonts w:hint="eastAsia"/>
                      <w:lang w:eastAsia="zh-CN"/>
                    </w:rPr>
                  </w:pPr>
                  <w:r>
                    <w:t>6</w:t>
                  </w:r>
                  <w:r>
                    <w:rPr>
                      <w:rFonts w:hint="eastAsia"/>
                      <w:lang w:val="en-US" w:eastAsia="zh-CN"/>
                    </w:rPr>
                    <w:t>0</w:t>
                  </w:r>
                </w:p>
              </w:tc>
              <w:tc>
                <w:tcPr>
                  <w:tcW w:w="1992" w:type="pct"/>
                  <w:noWrap w:val="0"/>
                  <w:vAlign w:val="center"/>
                </w:tcPr>
                <w:p>
                  <w:pPr>
                    <w:widowControl/>
                    <w:adjustRightInd w:val="0"/>
                    <w:snapToGrid w:val="0"/>
                    <w:spacing w:line="0" w:lineRule="atLeast"/>
                    <w:jc w:val="center"/>
                    <w:rPr>
                      <w:rFonts w:hint="eastAsia"/>
                      <w:lang w:eastAsia="zh-CN"/>
                    </w:rPr>
                  </w:pPr>
                  <w:r>
                    <w:t>5</w:t>
                  </w:r>
                  <w:r>
                    <w:rPr>
                      <w:rFonts w:hint="eastAsia"/>
                      <w:lang w:val="en-US" w:eastAsia="zh-CN"/>
                    </w:rPr>
                    <w:t>0</w:t>
                  </w:r>
                </w:p>
              </w:tc>
            </w:tr>
          </w:tbl>
          <w:p>
            <w:pPr>
              <w:adjustRightInd w:val="0"/>
              <w:snapToGrid w:val="0"/>
              <w:spacing w:line="360" w:lineRule="auto"/>
              <w:ind w:firstLine="480"/>
              <w:rPr>
                <w:sz w:val="24"/>
                <w:szCs w:val="24"/>
              </w:rPr>
            </w:pPr>
            <w:r>
              <w:rPr>
                <w:sz w:val="24"/>
                <w:szCs w:val="24"/>
              </w:rPr>
              <w:t>⑶地表水环境</w:t>
            </w:r>
          </w:p>
          <w:p>
            <w:pPr>
              <w:adjustRightInd w:val="0"/>
              <w:snapToGrid w:val="0"/>
              <w:spacing w:line="360" w:lineRule="auto"/>
              <w:ind w:firstLine="480"/>
              <w:rPr>
                <w:rFonts w:hint="eastAsia"/>
              </w:rPr>
            </w:pPr>
            <w:r>
              <w:rPr>
                <w:rFonts w:hint="eastAsia"/>
                <w:sz w:val="24"/>
                <w:szCs w:val="24"/>
                <w:lang w:eastAsia="zh-CN"/>
              </w:rPr>
              <w:t>红柳沟</w:t>
            </w:r>
            <w:r>
              <w:rPr>
                <w:sz w:val="24"/>
                <w:szCs w:val="24"/>
              </w:rPr>
              <w:t>水质评价执行《地表水环境质量标准》(GB3838-2002)</w:t>
            </w:r>
            <w:r>
              <w:rPr>
                <w:rFonts w:hint="eastAsia"/>
                <w:sz w:val="24"/>
                <w:szCs w:val="24"/>
              </w:rPr>
              <w:t>Ⅴ</w:t>
            </w:r>
            <w:r>
              <w:rPr>
                <w:sz w:val="24"/>
                <w:szCs w:val="24"/>
              </w:rPr>
              <w:t>类标准，具体见表4-3。</w:t>
            </w:r>
          </w:p>
          <w:p>
            <w:pPr>
              <w:adjustRightInd w:val="0"/>
              <w:snapToGrid w:val="0"/>
              <w:spacing w:line="360" w:lineRule="auto"/>
              <w:jc w:val="center"/>
              <w:rPr>
                <w:rFonts w:ascii="Times New Roman" w:hAnsi="Times New Roman" w:eastAsia="黑体"/>
                <w:sz w:val="24"/>
              </w:rPr>
            </w:pPr>
          </w:p>
          <w:p>
            <w:pPr>
              <w:adjustRightInd w:val="0"/>
              <w:snapToGrid w:val="0"/>
              <w:spacing w:line="360" w:lineRule="auto"/>
              <w:jc w:val="both"/>
              <w:rPr>
                <w:rFonts w:ascii="Times New Roman" w:hAnsi="Times New Roman" w:eastAsia="黑体"/>
                <w:sz w:val="24"/>
              </w:rPr>
            </w:pPr>
          </w:p>
          <w:p>
            <w:pPr>
              <w:adjustRightInd w:val="0"/>
              <w:snapToGrid w:val="0"/>
              <w:spacing w:line="360" w:lineRule="auto"/>
              <w:jc w:val="center"/>
              <w:rPr>
                <w:rFonts w:ascii="Times New Roman" w:hAnsi="Times New Roman" w:eastAsia="黑体"/>
                <w:sz w:val="24"/>
              </w:rPr>
            </w:pPr>
            <w:r>
              <w:rPr>
                <w:rFonts w:ascii="Times New Roman" w:hAnsi="Times New Roman" w:eastAsia="黑体"/>
                <w:sz w:val="24"/>
              </w:rPr>
              <w:t>表4-3    《地表水环境质量标准》(GB3838-2002)</w:t>
            </w:r>
            <w:r>
              <w:rPr>
                <w:rFonts w:ascii="Times New Roman" w:hAnsi="Times New Roman" w:eastAsia="黑体" w:cs="Times New Roman"/>
                <w:sz w:val="24"/>
              </w:rPr>
              <w:t xml:space="preserve"> </w:t>
            </w:r>
            <w:r>
              <w:rPr>
                <w:rFonts w:hint="eastAsia" w:ascii="Times New Roman" w:hAnsi="Times New Roman" w:eastAsia="黑体" w:cs="Times New Roman"/>
                <w:sz w:val="24"/>
              </w:rPr>
              <w:t>Ⅴ</w:t>
            </w:r>
            <w:r>
              <w:rPr>
                <w:rFonts w:ascii="Times New Roman" w:hAnsi="Times New Roman" w:eastAsia="黑体" w:cs="Times New Roman"/>
                <w:sz w:val="24"/>
              </w:rPr>
              <w:t>类标</w:t>
            </w:r>
            <w:r>
              <w:rPr>
                <w:rFonts w:ascii="Times New Roman" w:hAnsi="Times New Roman" w:eastAsia="黑体"/>
                <w:sz w:val="24"/>
              </w:rPr>
              <w:t>准    单位：mg/L</w:t>
            </w:r>
          </w:p>
          <w:tbl>
            <w:tblPr>
              <w:tblStyle w:val="1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572"/>
              <w:gridCol w:w="40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adjustRightInd w:val="0"/>
                    <w:snapToGrid w:val="0"/>
                    <w:spacing w:line="0" w:lineRule="atLeast"/>
                    <w:jc w:val="center"/>
                  </w:pPr>
                  <w:r>
                    <w:t>项目名称</w:t>
                  </w:r>
                </w:p>
              </w:tc>
              <w:tc>
                <w:tcPr>
                  <w:tcW w:w="2343" w:type="pct"/>
                  <w:noWrap w:val="0"/>
                  <w:vAlign w:val="center"/>
                </w:tcPr>
                <w:p>
                  <w:pPr>
                    <w:adjustRightInd w:val="0"/>
                    <w:snapToGrid w:val="0"/>
                    <w:spacing w:line="0" w:lineRule="atLeast"/>
                    <w:jc w:val="center"/>
                  </w:pPr>
                  <w:r>
                    <w:t>标准值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pH（无量纲）</w:t>
                  </w:r>
                </w:p>
              </w:tc>
              <w:tc>
                <w:tcPr>
                  <w:tcW w:w="3991" w:type="dxa"/>
                  <w:noWrap w:val="0"/>
                  <w:vAlign w:val="center"/>
                </w:tcPr>
                <w:p>
                  <w:pPr>
                    <w:widowControl/>
                    <w:spacing w:line="0" w:lineRule="atLeast"/>
                    <w:contextualSpacing/>
                    <w:jc w:val="center"/>
                  </w:pPr>
                  <w: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溶解氧</w:t>
                  </w:r>
                </w:p>
              </w:tc>
              <w:tc>
                <w:tcPr>
                  <w:tcW w:w="3991" w:type="dxa"/>
                  <w:noWrap w:val="0"/>
                  <w:vAlign w:val="center"/>
                </w:tcPr>
                <w:p>
                  <w:pPr>
                    <w:widowControl/>
                    <w:spacing w:line="0" w:lineRule="atLeast"/>
                    <w:contextualSpacing/>
                    <w:jc w:val="center"/>
                  </w:pPr>
                  <w:r>
                    <w:t>≥</w:t>
                  </w:r>
                  <w:r>
                    <w:rPr>
                      <w:rFonts w:hint="eastAsia"/>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高锰酸盐指数</w:t>
                  </w:r>
                </w:p>
              </w:tc>
              <w:tc>
                <w:tcPr>
                  <w:tcW w:w="3991" w:type="dxa"/>
                  <w:noWrap w:val="0"/>
                  <w:vAlign w:val="center"/>
                </w:tcPr>
                <w:p>
                  <w:pPr>
                    <w:widowControl/>
                    <w:spacing w:line="0" w:lineRule="atLeast"/>
                    <w:contextualSpacing/>
                    <w:jc w:val="center"/>
                  </w:pPr>
                  <w:r>
                    <w:t>≤</w:t>
                  </w:r>
                  <w:r>
                    <w:rPr>
                      <w:rFonts w:hint="eastAsia"/>
                      <w:lang w:val="en-US" w:eastAsia="zh-CN"/>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BOD5</w:t>
                  </w:r>
                </w:p>
              </w:tc>
              <w:tc>
                <w:tcPr>
                  <w:tcW w:w="3991" w:type="dxa"/>
                  <w:noWrap w:val="0"/>
                  <w:vAlign w:val="center"/>
                </w:tcPr>
                <w:p>
                  <w:pPr>
                    <w:spacing w:line="0" w:lineRule="atLeast"/>
                    <w:contextualSpacing/>
                    <w:jc w:val="center"/>
                  </w:pPr>
                  <w:r>
                    <w:t>≤</w:t>
                  </w:r>
                  <w:r>
                    <w:rPr>
                      <w:rFonts w:hint="eastAsia"/>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氨氮</w:t>
                  </w:r>
                </w:p>
              </w:tc>
              <w:tc>
                <w:tcPr>
                  <w:tcW w:w="3991" w:type="dxa"/>
                  <w:noWrap w:val="0"/>
                  <w:vAlign w:val="center"/>
                </w:tcPr>
                <w:p>
                  <w:pPr>
                    <w:spacing w:line="0" w:lineRule="atLeast"/>
                    <w:contextualSpacing/>
                    <w:jc w:val="center"/>
                  </w:pPr>
                  <w:r>
                    <w:t>≤</w:t>
                  </w:r>
                  <w:r>
                    <w:rPr>
                      <w:rFonts w:hint="eastAsia"/>
                      <w:lang w:val="en-US" w:eastAsia="zh-CN"/>
                    </w:rPr>
                    <w:t>2</w:t>
                  </w:r>
                  <w: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石油类</w:t>
                  </w:r>
                </w:p>
              </w:tc>
              <w:tc>
                <w:tcPr>
                  <w:tcW w:w="3991" w:type="dxa"/>
                  <w:noWrap w:val="0"/>
                  <w:vAlign w:val="center"/>
                </w:tcPr>
                <w:p>
                  <w:pPr>
                    <w:widowControl/>
                    <w:spacing w:line="0" w:lineRule="atLeast"/>
                    <w:contextualSpacing/>
                    <w:jc w:val="center"/>
                  </w:pPr>
                  <w:r>
                    <w:t>≤</w:t>
                  </w:r>
                  <w:r>
                    <w:rPr>
                      <w:rFonts w:hint="eastAsia"/>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挥发酚</w:t>
                  </w:r>
                </w:p>
              </w:tc>
              <w:tc>
                <w:tcPr>
                  <w:tcW w:w="3991" w:type="dxa"/>
                  <w:noWrap w:val="0"/>
                  <w:vAlign w:val="center"/>
                </w:tcPr>
                <w:p>
                  <w:pPr>
                    <w:widowControl/>
                    <w:spacing w:line="0" w:lineRule="atLeast"/>
                    <w:contextualSpacing/>
                    <w:jc w:val="center"/>
                  </w:pPr>
                  <w:r>
                    <w:t>≤0.</w:t>
                  </w:r>
                  <w:r>
                    <w:rPr>
                      <w:rFonts w:hint="eastAsia"/>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汞</w:t>
                  </w:r>
                </w:p>
              </w:tc>
              <w:tc>
                <w:tcPr>
                  <w:tcW w:w="3991" w:type="dxa"/>
                  <w:noWrap w:val="0"/>
                  <w:vAlign w:val="center"/>
                </w:tcPr>
                <w:p>
                  <w:pPr>
                    <w:spacing w:line="0" w:lineRule="atLeast"/>
                    <w:contextualSpacing/>
                    <w:jc w:val="center"/>
                  </w:pPr>
                  <w:r>
                    <w:t>≤0.001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铅</w:t>
                  </w:r>
                </w:p>
              </w:tc>
              <w:tc>
                <w:tcPr>
                  <w:tcW w:w="3991" w:type="dxa"/>
                  <w:noWrap w:val="0"/>
                  <w:vAlign w:val="center"/>
                </w:tcPr>
                <w:p>
                  <w:pPr>
                    <w:spacing w:line="0" w:lineRule="atLeast"/>
                    <w:contextualSpacing/>
                    <w:jc w:val="center"/>
                  </w:pPr>
                  <w:r>
                    <w:t>≤0.</w:t>
                  </w:r>
                  <w:r>
                    <w:rPr>
                      <w:rFonts w:hint="eastAsia"/>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COD</w:t>
                  </w:r>
                </w:p>
              </w:tc>
              <w:tc>
                <w:tcPr>
                  <w:tcW w:w="3991" w:type="dxa"/>
                  <w:noWrap w:val="0"/>
                  <w:vAlign w:val="center"/>
                </w:tcPr>
                <w:p>
                  <w:pPr>
                    <w:widowControl/>
                    <w:spacing w:line="0" w:lineRule="atLeast"/>
                    <w:contextualSpacing/>
                    <w:jc w:val="center"/>
                  </w:pPr>
                  <w:r>
                    <w:t>≤</w:t>
                  </w:r>
                  <w:r>
                    <w:rPr>
                      <w:rFonts w:hint="eastAsia"/>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rPr>
                      <w:rFonts w:hint="eastAsia" w:eastAsia="宋体"/>
                      <w:lang w:eastAsia="zh-CN"/>
                    </w:rPr>
                  </w:pPr>
                  <w:r>
                    <w:rPr>
                      <w:rFonts w:hint="eastAsia"/>
                      <w:lang w:eastAsia="zh-CN"/>
                    </w:rPr>
                    <w:t>总氮</w:t>
                  </w:r>
                </w:p>
              </w:tc>
              <w:tc>
                <w:tcPr>
                  <w:tcW w:w="3991" w:type="dxa"/>
                  <w:noWrap w:val="0"/>
                  <w:vAlign w:val="center"/>
                </w:tcPr>
                <w:p>
                  <w:pPr>
                    <w:widowControl/>
                    <w:spacing w:line="0" w:lineRule="atLeast"/>
                    <w:contextualSpacing/>
                    <w:jc w:val="center"/>
                    <w:rPr>
                      <w:rFonts w:hint="default"/>
                      <w:lang w:val="en-US"/>
                    </w:rPr>
                  </w:pPr>
                  <w:r>
                    <w:t>≤</w:t>
                  </w:r>
                  <w:r>
                    <w:rPr>
                      <w:rFonts w:hint="eastAsia"/>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总磷</w:t>
                  </w:r>
                </w:p>
              </w:tc>
              <w:tc>
                <w:tcPr>
                  <w:tcW w:w="3991" w:type="dxa"/>
                  <w:noWrap w:val="0"/>
                  <w:vAlign w:val="center"/>
                </w:tcPr>
                <w:p>
                  <w:pPr>
                    <w:widowControl/>
                    <w:spacing w:line="0" w:lineRule="atLeast"/>
                    <w:contextualSpacing/>
                    <w:jc w:val="center"/>
                  </w:pPr>
                  <w:r>
                    <w:t>≤</w:t>
                  </w:r>
                  <w:r>
                    <w:rPr>
                      <w:rFonts w:hint="eastAsia"/>
                      <w:lang w:val="en-US" w:eastAsia="zh-CN"/>
                    </w:rPr>
                    <w:t>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铜</w:t>
                  </w:r>
                </w:p>
              </w:tc>
              <w:tc>
                <w:tcPr>
                  <w:tcW w:w="3991" w:type="dxa"/>
                  <w:noWrap w:val="0"/>
                  <w:vAlign w:val="center"/>
                </w:tcPr>
                <w:p>
                  <w:pPr>
                    <w:widowControl/>
                    <w:spacing w:line="0" w:lineRule="atLeast"/>
                    <w:contextualSpacing/>
                    <w:jc w:val="center"/>
                  </w:pPr>
                  <w: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锌</w:t>
                  </w:r>
                </w:p>
              </w:tc>
              <w:tc>
                <w:tcPr>
                  <w:tcW w:w="3991" w:type="dxa"/>
                  <w:noWrap w:val="0"/>
                  <w:vAlign w:val="center"/>
                </w:tcPr>
                <w:p>
                  <w:pPr>
                    <w:spacing w:line="0" w:lineRule="atLeast"/>
                    <w:contextualSpacing/>
                    <w:jc w:val="center"/>
                  </w:pPr>
                  <w:r>
                    <w:t>≤</w:t>
                  </w:r>
                  <w:r>
                    <w:rPr>
                      <w:rFonts w:hint="eastAsia"/>
                      <w:lang w:val="en-US" w:eastAsia="zh-CN"/>
                    </w:rPr>
                    <w:t>2</w:t>
                  </w:r>
                  <w: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氟化物</w:t>
                  </w:r>
                </w:p>
              </w:tc>
              <w:tc>
                <w:tcPr>
                  <w:tcW w:w="3991" w:type="dxa"/>
                  <w:noWrap w:val="0"/>
                  <w:vAlign w:val="center"/>
                </w:tcPr>
                <w:p>
                  <w:pPr>
                    <w:spacing w:line="0" w:lineRule="atLeast"/>
                    <w:contextualSpacing/>
                    <w:jc w:val="center"/>
                  </w:pPr>
                  <w:r>
                    <w:t>≤1.</w:t>
                  </w:r>
                  <w:r>
                    <w:rPr>
                      <w:rFonts w:hint="eastAsia"/>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硒</w:t>
                  </w:r>
                </w:p>
              </w:tc>
              <w:tc>
                <w:tcPr>
                  <w:tcW w:w="3991" w:type="dxa"/>
                  <w:noWrap w:val="0"/>
                  <w:vAlign w:val="center"/>
                </w:tcPr>
                <w:p>
                  <w:pPr>
                    <w:spacing w:line="0" w:lineRule="atLeast"/>
                    <w:contextualSpacing/>
                    <w:jc w:val="center"/>
                  </w:pPr>
                  <w:r>
                    <w:t>≤0.0</w:t>
                  </w:r>
                  <w:r>
                    <w:rPr>
                      <w:rFonts w:hint="eastAsia"/>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砷</w:t>
                  </w:r>
                </w:p>
              </w:tc>
              <w:tc>
                <w:tcPr>
                  <w:tcW w:w="3991" w:type="dxa"/>
                  <w:noWrap w:val="0"/>
                  <w:vAlign w:val="center"/>
                </w:tcPr>
                <w:p>
                  <w:pPr>
                    <w:spacing w:line="0" w:lineRule="atLeast"/>
                    <w:contextualSpacing/>
                    <w:jc w:val="center"/>
                  </w:pPr>
                  <w:r>
                    <w:t>≤0.</w:t>
                  </w:r>
                  <w:r>
                    <w:rPr>
                      <w:rFonts w:hint="eastAsia"/>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镉</w:t>
                  </w:r>
                </w:p>
              </w:tc>
              <w:tc>
                <w:tcPr>
                  <w:tcW w:w="3991" w:type="dxa"/>
                  <w:noWrap w:val="0"/>
                  <w:vAlign w:val="center"/>
                </w:tcPr>
                <w:p>
                  <w:pPr>
                    <w:widowControl/>
                    <w:spacing w:line="0" w:lineRule="atLeast"/>
                    <w:contextualSpacing/>
                    <w:jc w:val="center"/>
                  </w:pPr>
                  <w:r>
                    <w:t>≤0.0</w:t>
                  </w:r>
                  <w:r>
                    <w:rPr>
                      <w:rFonts w:hint="eastAsia"/>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六价铬</w:t>
                  </w:r>
                </w:p>
              </w:tc>
              <w:tc>
                <w:tcPr>
                  <w:tcW w:w="3991" w:type="dxa"/>
                  <w:noWrap w:val="0"/>
                  <w:vAlign w:val="center"/>
                </w:tcPr>
                <w:p>
                  <w:pPr>
                    <w:spacing w:line="0" w:lineRule="atLeast"/>
                    <w:contextualSpacing/>
                    <w:jc w:val="center"/>
                  </w:pPr>
                  <w:r>
                    <w:t>≤0.</w:t>
                  </w:r>
                  <w:r>
                    <w:rPr>
                      <w:rFonts w:hint="eastAsia"/>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氰化物</w:t>
                  </w:r>
                </w:p>
              </w:tc>
              <w:tc>
                <w:tcPr>
                  <w:tcW w:w="3991" w:type="dxa"/>
                  <w:noWrap w:val="0"/>
                  <w:vAlign w:val="center"/>
                </w:tcPr>
                <w:p>
                  <w:pPr>
                    <w:spacing w:line="0" w:lineRule="atLeast"/>
                    <w:contextualSpacing/>
                    <w:jc w:val="center"/>
                  </w:pPr>
                  <w:r>
                    <w:t>≤0.2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阴离子表面活性剂</w:t>
                  </w:r>
                </w:p>
              </w:tc>
              <w:tc>
                <w:tcPr>
                  <w:tcW w:w="3991" w:type="dxa"/>
                  <w:noWrap w:val="0"/>
                  <w:vAlign w:val="center"/>
                </w:tcPr>
                <w:p>
                  <w:pPr>
                    <w:spacing w:line="0" w:lineRule="atLeast"/>
                    <w:contextualSpacing/>
                    <w:jc w:val="center"/>
                  </w:pPr>
                  <w:r>
                    <w:t>≤0.</w:t>
                  </w:r>
                  <w:r>
                    <w:rPr>
                      <w:rFonts w:hint="eastAsia"/>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56" w:type="pct"/>
                  <w:noWrap w:val="0"/>
                  <w:vAlign w:val="center"/>
                </w:tcPr>
                <w:p>
                  <w:pPr>
                    <w:widowControl/>
                    <w:spacing w:line="0" w:lineRule="atLeast"/>
                    <w:contextualSpacing/>
                    <w:jc w:val="center"/>
                  </w:pPr>
                  <w:r>
                    <w:t>硫化物</w:t>
                  </w:r>
                </w:p>
              </w:tc>
              <w:tc>
                <w:tcPr>
                  <w:tcW w:w="3991" w:type="dxa"/>
                  <w:noWrap w:val="0"/>
                  <w:vAlign w:val="center"/>
                </w:tcPr>
                <w:p>
                  <w:pPr>
                    <w:spacing w:line="0" w:lineRule="atLeast"/>
                    <w:contextualSpacing/>
                    <w:jc w:val="center"/>
                  </w:pPr>
                  <w:r>
                    <w:t>≤</w:t>
                  </w:r>
                  <w:r>
                    <w:rPr>
                      <w:rFonts w:hint="eastAsia"/>
                      <w:lang w:val="en-US" w:eastAsia="zh-CN"/>
                    </w:rPr>
                    <w:t>1.0</w:t>
                  </w:r>
                </w:p>
              </w:tc>
            </w:tr>
          </w:tbl>
          <w:p>
            <w:pPr>
              <w:adjustRightInd w:val="0"/>
              <w:snapToGrid w:val="0"/>
              <w:spacing w:line="360" w:lineRule="auto"/>
              <w:ind w:firstLine="480" w:firstLineChars="0"/>
              <w:rPr>
                <w:rFonts w:hint="eastAsia" w:ascii="Times New Roman" w:hAnsi="Times New Roman" w:cs="Times New Roman"/>
                <w:sz w:val="24"/>
                <w:szCs w:val="24"/>
              </w:rPr>
            </w:pPr>
            <w:r>
              <w:rPr>
                <w:rFonts w:hint="eastAsia" w:ascii="Times New Roman" w:hAnsi="Times New Roman" w:eastAsia="宋体" w:cs="Times New Roman"/>
                <w:sz w:val="24"/>
                <w:szCs w:val="24"/>
              </w:rPr>
              <w:t>⑷</w:t>
            </w:r>
            <w:r>
              <w:rPr>
                <w:rFonts w:hint="eastAsia" w:ascii="Times New Roman" w:hAnsi="Times New Roman" w:cs="Times New Roman"/>
                <w:sz w:val="24"/>
                <w:szCs w:val="24"/>
              </w:rPr>
              <w:t>土壤环境</w:t>
            </w:r>
          </w:p>
          <w:p>
            <w:pPr>
              <w:adjustRightInd/>
              <w:snapToGrid/>
              <w:spacing w:line="360" w:lineRule="auto"/>
              <w:ind w:firstLine="480" w:firstLineChars="200"/>
              <w:jc w:val="both"/>
              <w:rPr>
                <w:rFonts w:hint="eastAsia" w:ascii="Times New Roman" w:hAnsi="Times New Roman" w:cs="Times New Roman"/>
                <w:sz w:val="24"/>
                <w:szCs w:val="24"/>
              </w:rPr>
            </w:pPr>
            <w:r>
              <w:rPr>
                <w:rFonts w:hint="eastAsia" w:ascii="Times New Roman" w:hAnsi="Times New Roman" w:cs="Times New Roman"/>
                <w:sz w:val="24"/>
                <w:szCs w:val="24"/>
              </w:rPr>
              <w:t>根据生态遥感解译结果，</w:t>
            </w:r>
            <w:r>
              <w:rPr>
                <w:rFonts w:hint="eastAsia"/>
                <w:sz w:val="24"/>
                <w:highlight w:val="none"/>
                <w:lang w:val="en-US" w:eastAsia="zh-CN"/>
              </w:rPr>
              <w:t>煤炭治理区土地类型主要为其他草地和采矿用地</w:t>
            </w:r>
            <w:r>
              <w:rPr>
                <w:rFonts w:hint="default" w:ascii="Times New Roman" w:hAnsi="Times New Roman" w:cs="Times New Roman"/>
                <w:sz w:val="24"/>
                <w:szCs w:val="24"/>
              </w:rPr>
              <w:t>，土壤环境质量评价执行《土壤环境质量 建设用地土壤污染风险管控标准(试行)》(GB36600-2018)中第二类用地筛选值标准；</w:t>
            </w:r>
            <w:r>
              <w:rPr>
                <w:rFonts w:hint="eastAsia" w:cs="Times New Roman"/>
                <w:sz w:val="24"/>
                <w:highlight w:val="none"/>
                <w:lang w:val="en-US" w:eastAsia="zh-CN"/>
              </w:rPr>
              <w:t>建筑用砂治理区土地类型主要为为旱地、其他草地、交通运输用地和裸地</w:t>
            </w:r>
            <w:r>
              <w:rPr>
                <w:rFonts w:hint="default" w:ascii="Times New Roman" w:hAnsi="Times New Roman" w:cs="Times New Roman"/>
                <w:sz w:val="24"/>
                <w:szCs w:val="24"/>
              </w:rPr>
              <w:t>等，土壤环境质量评价执行《土壤环境质量 农用地土壤污染风险管控标准(试行)》(GB15618-2018)中风险筛选值标准。</w:t>
            </w:r>
            <w:r>
              <w:rPr>
                <w:rFonts w:hint="eastAsia" w:ascii="Times New Roman" w:hAnsi="Times New Roman" w:cs="Times New Roman"/>
                <w:sz w:val="24"/>
                <w:szCs w:val="24"/>
              </w:rPr>
              <w:t>具体见表</w:t>
            </w:r>
            <w:r>
              <w:rPr>
                <w:rFonts w:hint="eastAsia" w:ascii="Times New Roman" w:hAnsi="Times New Roman" w:cs="Times New Roman"/>
                <w:sz w:val="24"/>
                <w:szCs w:val="24"/>
                <w:lang w:val="en-US" w:eastAsia="zh-CN"/>
              </w:rPr>
              <w:t>4</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4</w:t>
            </w:r>
            <w:r>
              <w:rPr>
                <w:rFonts w:hint="eastAsia" w:ascii="Times New Roman" w:hAnsi="Times New Roman" w:cs="Times New Roman"/>
                <w:sz w:val="24"/>
                <w:szCs w:val="24"/>
              </w:rPr>
              <w:t>和表</w:t>
            </w:r>
            <w:r>
              <w:rPr>
                <w:rFonts w:hint="eastAsia" w:ascii="Times New Roman" w:hAnsi="Times New Roman" w:cs="Times New Roman"/>
                <w:sz w:val="24"/>
                <w:szCs w:val="24"/>
                <w:lang w:val="en-US" w:eastAsia="zh-CN"/>
              </w:rPr>
              <w:t>4</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5</w:t>
            </w:r>
            <w:r>
              <w:rPr>
                <w:rFonts w:hint="eastAsia" w:ascii="Times New Roman" w:hAnsi="Times New Roman" w:cs="Times New Roman"/>
                <w:sz w:val="24"/>
                <w:szCs w:val="24"/>
              </w:rPr>
              <w:t>。</w:t>
            </w:r>
          </w:p>
          <w:p>
            <w:pPr>
              <w:adjustRightInd/>
              <w:snapToGrid/>
              <w:spacing w:line="360" w:lineRule="auto"/>
              <w:ind w:firstLine="0" w:firstLineChars="0"/>
              <w:jc w:val="center"/>
              <w:rPr>
                <w:rFonts w:ascii="Times New Roman" w:hAnsi="Times New Roman" w:eastAsia="黑体" w:cs="Times New Roman"/>
                <w:sz w:val="24"/>
              </w:rPr>
            </w:pPr>
            <w:r>
              <w:rPr>
                <w:rFonts w:ascii="Times New Roman" w:hAnsi="Times New Roman" w:eastAsia="黑体" w:cs="Times New Roman"/>
                <w:sz w:val="24"/>
              </w:rPr>
              <w:t>表</w:t>
            </w:r>
            <w:r>
              <w:rPr>
                <w:rFonts w:hint="eastAsia" w:ascii="Times New Roman" w:hAnsi="Times New Roman" w:eastAsia="黑体" w:cs="Times New Roman"/>
                <w:sz w:val="24"/>
                <w:lang w:eastAsia="zh-CN"/>
              </w:rPr>
              <w:t>4</w:t>
            </w:r>
            <w:r>
              <w:rPr>
                <w:rFonts w:ascii="Times New Roman" w:hAnsi="Times New Roman" w:eastAsia="黑体" w:cs="Times New Roman"/>
                <w:sz w:val="24"/>
              </w:rPr>
              <w:t>-</w:t>
            </w:r>
            <w:r>
              <w:rPr>
                <w:rFonts w:hint="eastAsia" w:ascii="Times New Roman" w:hAnsi="Times New Roman" w:eastAsia="黑体" w:cs="Times New Roman"/>
                <w:sz w:val="24"/>
                <w:lang w:eastAsia="zh-CN"/>
              </w:rPr>
              <w:t>4</w:t>
            </w:r>
            <w:r>
              <w:rPr>
                <w:rFonts w:ascii="Times New Roman" w:hAnsi="Times New Roman" w:eastAsia="黑体" w:cs="Times New Roman"/>
                <w:sz w:val="24"/>
              </w:rPr>
              <w:t xml:space="preserve">    </w:t>
            </w:r>
            <w:r>
              <w:rPr>
                <w:rFonts w:hint="default" w:ascii="Times New Roman" w:hAnsi="Times New Roman" w:eastAsia="黑体" w:cs="Times New Roman"/>
                <w:sz w:val="24"/>
              </w:rPr>
              <w:t>《土壤环境质量 农用地土壤污染风险管控标准(试行)》(GB15618-2018)</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82"/>
              <w:gridCol w:w="1816"/>
              <w:gridCol w:w="2152"/>
              <w:gridCol w:w="29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12" w:hRule="atLeast"/>
                <w:jc w:val="center"/>
              </w:trPr>
              <w:tc>
                <w:tcPr>
                  <w:tcW w:w="977" w:type="pct"/>
                  <w:vMerge w:val="restart"/>
                  <w:noWrap w:val="0"/>
                  <w:vAlign w:val="center"/>
                </w:tcPr>
                <w:p>
                  <w:pPr>
                    <w:pStyle w:val="31"/>
                    <w:spacing w:line="240" w:lineRule="auto"/>
                    <w:rPr>
                      <w:rFonts w:ascii="Times New Roman"/>
                      <w:b/>
                    </w:rPr>
                  </w:pPr>
                  <w:r>
                    <w:rPr>
                      <w:rFonts w:ascii="Times New Roman"/>
                      <w:b/>
                    </w:rPr>
                    <w:t>序号</w:t>
                  </w:r>
                </w:p>
              </w:tc>
              <w:tc>
                <w:tcPr>
                  <w:tcW w:w="2305" w:type="pct"/>
                  <w:gridSpan w:val="2"/>
                  <w:vMerge w:val="restart"/>
                  <w:noWrap w:val="0"/>
                  <w:vAlign w:val="center"/>
                </w:tcPr>
                <w:p>
                  <w:pPr>
                    <w:pStyle w:val="31"/>
                    <w:spacing w:line="240" w:lineRule="auto"/>
                    <w:rPr>
                      <w:rFonts w:ascii="Times New Roman"/>
                      <w:b/>
                    </w:rPr>
                  </w:pPr>
                  <w:r>
                    <w:rPr>
                      <w:rFonts w:ascii="Times New Roman"/>
                      <w:b/>
                    </w:rPr>
                    <w:t>污染物项目</w:t>
                  </w:r>
                </w:p>
              </w:tc>
              <w:tc>
                <w:tcPr>
                  <w:tcW w:w="1718" w:type="pct"/>
                  <w:noWrap w:val="0"/>
                  <w:vAlign w:val="center"/>
                </w:tcPr>
                <w:p>
                  <w:pPr>
                    <w:pStyle w:val="31"/>
                    <w:spacing w:line="240" w:lineRule="auto"/>
                    <w:rPr>
                      <w:rFonts w:ascii="Times New Roman"/>
                      <w:b/>
                    </w:rPr>
                  </w:pPr>
                  <w:r>
                    <w:rPr>
                      <w:rFonts w:ascii="Times New Roman"/>
                      <w:b/>
                    </w:rPr>
                    <w:t>风险筛选值</w:t>
                  </w:r>
                  <w:r>
                    <w:rPr>
                      <w:rFonts w:hint="eastAsia" w:ascii="Times New Roman"/>
                      <w:b/>
                    </w:rPr>
                    <w:t>(m</w:t>
                  </w:r>
                  <w:r>
                    <w:rPr>
                      <w:rFonts w:ascii="Times New Roman"/>
                      <w:b/>
                    </w:rPr>
                    <w:t>g/kg</w:t>
                  </w:r>
                  <w:r>
                    <w:rPr>
                      <w:rFonts w:hint="eastAsia" w:ascii="Times New Roman"/>
                      <w:b/>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3" w:hRule="atLeast"/>
                <w:jc w:val="center"/>
              </w:trPr>
              <w:tc>
                <w:tcPr>
                  <w:tcW w:w="977" w:type="pct"/>
                  <w:vMerge w:val="continue"/>
                  <w:noWrap w:val="0"/>
                  <w:vAlign w:val="center"/>
                </w:tcPr>
                <w:p>
                  <w:pPr>
                    <w:pStyle w:val="31"/>
                    <w:spacing w:line="240" w:lineRule="auto"/>
                    <w:rPr>
                      <w:rFonts w:ascii="Times New Roman"/>
                      <w:b/>
                    </w:rPr>
                  </w:pPr>
                </w:p>
              </w:tc>
              <w:tc>
                <w:tcPr>
                  <w:tcW w:w="2305" w:type="pct"/>
                  <w:gridSpan w:val="2"/>
                  <w:vMerge w:val="continue"/>
                  <w:noWrap w:val="0"/>
                  <w:vAlign w:val="center"/>
                </w:tcPr>
                <w:p>
                  <w:pPr>
                    <w:pStyle w:val="31"/>
                    <w:spacing w:line="240" w:lineRule="auto"/>
                    <w:rPr>
                      <w:rFonts w:ascii="Times New Roman"/>
                      <w:b/>
                    </w:rPr>
                  </w:pPr>
                </w:p>
              </w:tc>
              <w:tc>
                <w:tcPr>
                  <w:tcW w:w="1718" w:type="pct"/>
                  <w:noWrap w:val="0"/>
                  <w:vAlign w:val="center"/>
                </w:tcPr>
                <w:p>
                  <w:pPr>
                    <w:pStyle w:val="31"/>
                    <w:spacing w:line="240" w:lineRule="auto"/>
                    <w:rPr>
                      <w:rFonts w:ascii="Times New Roman"/>
                      <w:b/>
                    </w:rPr>
                  </w:pPr>
                  <w:r>
                    <w:rPr>
                      <w:rFonts w:ascii="Times New Roman"/>
                      <w:b/>
                    </w:rPr>
                    <w:t>pH＞7.5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9" w:hRule="atLeast"/>
                <w:jc w:val="center"/>
              </w:trPr>
              <w:tc>
                <w:tcPr>
                  <w:tcW w:w="977" w:type="pct"/>
                  <w:vMerge w:val="restart"/>
                  <w:noWrap w:val="0"/>
                  <w:vAlign w:val="center"/>
                </w:tcPr>
                <w:p>
                  <w:pPr>
                    <w:pStyle w:val="31"/>
                    <w:spacing w:line="240" w:lineRule="auto"/>
                    <w:rPr>
                      <w:rFonts w:ascii="Times New Roman"/>
                    </w:rPr>
                  </w:pPr>
                  <w:r>
                    <w:rPr>
                      <w:rFonts w:ascii="Times New Roman"/>
                    </w:rPr>
                    <w:t>1</w:t>
                  </w:r>
                </w:p>
              </w:tc>
              <w:tc>
                <w:tcPr>
                  <w:tcW w:w="1055" w:type="pct"/>
                  <w:vMerge w:val="restart"/>
                  <w:noWrap w:val="0"/>
                  <w:vAlign w:val="center"/>
                </w:tcPr>
                <w:p>
                  <w:pPr>
                    <w:pStyle w:val="31"/>
                    <w:spacing w:line="240" w:lineRule="auto"/>
                    <w:rPr>
                      <w:rFonts w:ascii="Times New Roman"/>
                      <w:bCs/>
                    </w:rPr>
                  </w:pPr>
                  <w:r>
                    <w:rPr>
                      <w:rFonts w:ascii="Times New Roman"/>
                      <w:bCs/>
                    </w:rPr>
                    <w:t>镉</w:t>
                  </w:r>
                </w:p>
              </w:tc>
              <w:tc>
                <w:tcPr>
                  <w:tcW w:w="1250" w:type="pct"/>
                  <w:noWrap w:val="0"/>
                  <w:vAlign w:val="center"/>
                </w:tcPr>
                <w:p>
                  <w:pPr>
                    <w:pStyle w:val="31"/>
                    <w:spacing w:line="240" w:lineRule="auto"/>
                    <w:rPr>
                      <w:rFonts w:ascii="Times New Roman"/>
                      <w:bCs/>
                    </w:rPr>
                  </w:pPr>
                  <w:r>
                    <w:rPr>
                      <w:rFonts w:ascii="Times New Roman"/>
                      <w:bCs/>
                    </w:rPr>
                    <w:t>水田</w:t>
                  </w:r>
                </w:p>
              </w:tc>
              <w:tc>
                <w:tcPr>
                  <w:tcW w:w="1718" w:type="pct"/>
                  <w:noWrap w:val="0"/>
                  <w:vAlign w:val="center"/>
                </w:tcPr>
                <w:p>
                  <w:pPr>
                    <w:pStyle w:val="31"/>
                    <w:spacing w:line="240" w:lineRule="auto"/>
                    <w:rPr>
                      <w:rFonts w:ascii="Times New Roman"/>
                      <w:bCs/>
                    </w:rPr>
                  </w:pPr>
                  <w:r>
                    <w:rPr>
                      <w:rFonts w:ascii="Times New Roman"/>
                      <w:bCs/>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12" w:hRule="atLeast"/>
                <w:jc w:val="center"/>
              </w:trPr>
              <w:tc>
                <w:tcPr>
                  <w:tcW w:w="977" w:type="pct"/>
                  <w:vMerge w:val="continue"/>
                  <w:noWrap w:val="0"/>
                  <w:vAlign w:val="center"/>
                </w:tcPr>
                <w:p>
                  <w:pPr>
                    <w:pStyle w:val="31"/>
                    <w:spacing w:line="240" w:lineRule="auto"/>
                    <w:rPr>
                      <w:rFonts w:ascii="Times New Roman"/>
                    </w:rPr>
                  </w:pPr>
                </w:p>
              </w:tc>
              <w:tc>
                <w:tcPr>
                  <w:tcW w:w="1055" w:type="pct"/>
                  <w:vMerge w:val="continue"/>
                  <w:noWrap w:val="0"/>
                  <w:vAlign w:val="center"/>
                </w:tcPr>
                <w:p>
                  <w:pPr>
                    <w:pStyle w:val="31"/>
                    <w:spacing w:line="240" w:lineRule="auto"/>
                    <w:rPr>
                      <w:rFonts w:ascii="Times New Roman"/>
                      <w:bCs/>
                    </w:rPr>
                  </w:pPr>
                </w:p>
              </w:tc>
              <w:tc>
                <w:tcPr>
                  <w:tcW w:w="1250" w:type="pct"/>
                  <w:noWrap w:val="0"/>
                  <w:vAlign w:val="center"/>
                </w:tcPr>
                <w:p>
                  <w:pPr>
                    <w:pStyle w:val="31"/>
                    <w:spacing w:line="240" w:lineRule="auto"/>
                    <w:rPr>
                      <w:rFonts w:ascii="Times New Roman"/>
                      <w:bCs/>
                    </w:rPr>
                  </w:pPr>
                  <w:r>
                    <w:rPr>
                      <w:rFonts w:ascii="Times New Roman"/>
                      <w:bCs/>
                    </w:rPr>
                    <w:t>其他</w:t>
                  </w:r>
                </w:p>
              </w:tc>
              <w:tc>
                <w:tcPr>
                  <w:tcW w:w="1718" w:type="pct"/>
                  <w:noWrap w:val="0"/>
                  <w:vAlign w:val="center"/>
                </w:tcPr>
                <w:p>
                  <w:pPr>
                    <w:pStyle w:val="31"/>
                    <w:spacing w:line="240" w:lineRule="auto"/>
                    <w:rPr>
                      <w:rFonts w:ascii="Times New Roman"/>
                      <w:bCs/>
                    </w:rPr>
                  </w:pPr>
                  <w:r>
                    <w:rPr>
                      <w:rFonts w:ascii="Times New Roman"/>
                      <w:bCs/>
                    </w:rPr>
                    <w:t>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977" w:type="pct"/>
                  <w:vMerge w:val="restart"/>
                  <w:noWrap w:val="0"/>
                  <w:vAlign w:val="center"/>
                </w:tcPr>
                <w:p>
                  <w:pPr>
                    <w:pStyle w:val="31"/>
                    <w:spacing w:line="240" w:lineRule="auto"/>
                    <w:rPr>
                      <w:rFonts w:ascii="Times New Roman"/>
                    </w:rPr>
                  </w:pPr>
                  <w:r>
                    <w:rPr>
                      <w:rFonts w:ascii="Times New Roman"/>
                    </w:rPr>
                    <w:t>2</w:t>
                  </w:r>
                </w:p>
              </w:tc>
              <w:tc>
                <w:tcPr>
                  <w:tcW w:w="1055" w:type="pct"/>
                  <w:vMerge w:val="restart"/>
                  <w:noWrap w:val="0"/>
                  <w:vAlign w:val="center"/>
                </w:tcPr>
                <w:p>
                  <w:pPr>
                    <w:pStyle w:val="31"/>
                    <w:spacing w:line="240" w:lineRule="auto"/>
                    <w:rPr>
                      <w:rFonts w:ascii="Times New Roman"/>
                      <w:bCs/>
                    </w:rPr>
                  </w:pPr>
                  <w:r>
                    <w:rPr>
                      <w:rFonts w:ascii="Times New Roman"/>
                      <w:bCs/>
                    </w:rPr>
                    <w:t>汞</w:t>
                  </w:r>
                </w:p>
              </w:tc>
              <w:tc>
                <w:tcPr>
                  <w:tcW w:w="1250" w:type="pct"/>
                  <w:noWrap w:val="0"/>
                  <w:vAlign w:val="center"/>
                </w:tcPr>
                <w:p>
                  <w:pPr>
                    <w:pStyle w:val="31"/>
                    <w:spacing w:line="240" w:lineRule="auto"/>
                    <w:rPr>
                      <w:rFonts w:ascii="Times New Roman"/>
                      <w:bCs/>
                    </w:rPr>
                  </w:pPr>
                  <w:r>
                    <w:rPr>
                      <w:rFonts w:ascii="Times New Roman"/>
                      <w:bCs/>
                    </w:rPr>
                    <w:t>水田</w:t>
                  </w:r>
                </w:p>
              </w:tc>
              <w:tc>
                <w:tcPr>
                  <w:tcW w:w="1718" w:type="pct"/>
                  <w:noWrap w:val="0"/>
                  <w:vAlign w:val="center"/>
                </w:tcPr>
                <w:p>
                  <w:pPr>
                    <w:pStyle w:val="31"/>
                    <w:spacing w:line="240" w:lineRule="auto"/>
                    <w:rPr>
                      <w:rFonts w:ascii="Times New Roman"/>
                      <w:bCs/>
                    </w:rPr>
                  </w:pPr>
                  <w:r>
                    <w:rPr>
                      <w:rFonts w:ascii="Times New Roman"/>
                      <w:bCs/>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4" w:hRule="atLeast"/>
                <w:jc w:val="center"/>
              </w:trPr>
              <w:tc>
                <w:tcPr>
                  <w:tcW w:w="977" w:type="pct"/>
                  <w:vMerge w:val="continue"/>
                  <w:noWrap w:val="0"/>
                  <w:vAlign w:val="center"/>
                </w:tcPr>
                <w:p>
                  <w:pPr>
                    <w:pStyle w:val="31"/>
                    <w:spacing w:line="240" w:lineRule="auto"/>
                    <w:rPr>
                      <w:rFonts w:ascii="Times New Roman"/>
                    </w:rPr>
                  </w:pPr>
                </w:p>
              </w:tc>
              <w:tc>
                <w:tcPr>
                  <w:tcW w:w="1055" w:type="pct"/>
                  <w:vMerge w:val="continue"/>
                  <w:noWrap w:val="0"/>
                  <w:vAlign w:val="center"/>
                </w:tcPr>
                <w:p>
                  <w:pPr>
                    <w:pStyle w:val="31"/>
                    <w:spacing w:line="240" w:lineRule="auto"/>
                    <w:rPr>
                      <w:rFonts w:ascii="Times New Roman"/>
                      <w:bCs/>
                    </w:rPr>
                  </w:pPr>
                </w:p>
              </w:tc>
              <w:tc>
                <w:tcPr>
                  <w:tcW w:w="1250" w:type="pct"/>
                  <w:noWrap w:val="0"/>
                  <w:vAlign w:val="center"/>
                </w:tcPr>
                <w:p>
                  <w:pPr>
                    <w:pStyle w:val="31"/>
                    <w:spacing w:line="240" w:lineRule="auto"/>
                    <w:rPr>
                      <w:rFonts w:ascii="Times New Roman"/>
                      <w:bCs/>
                    </w:rPr>
                  </w:pPr>
                  <w:r>
                    <w:rPr>
                      <w:rFonts w:ascii="Times New Roman"/>
                      <w:bCs/>
                    </w:rPr>
                    <w:t>其他</w:t>
                  </w:r>
                </w:p>
              </w:tc>
              <w:tc>
                <w:tcPr>
                  <w:tcW w:w="1718" w:type="pct"/>
                  <w:noWrap w:val="0"/>
                  <w:vAlign w:val="center"/>
                </w:tcPr>
                <w:p>
                  <w:pPr>
                    <w:pStyle w:val="31"/>
                    <w:spacing w:line="240" w:lineRule="auto"/>
                    <w:rPr>
                      <w:rFonts w:ascii="Times New Roman"/>
                      <w:bCs/>
                    </w:rPr>
                  </w:pPr>
                  <w:r>
                    <w:rPr>
                      <w:rFonts w:ascii="Times New Roman"/>
                      <w:bCs/>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977" w:type="pct"/>
                  <w:vMerge w:val="restart"/>
                  <w:noWrap w:val="0"/>
                  <w:vAlign w:val="center"/>
                </w:tcPr>
                <w:p>
                  <w:pPr>
                    <w:pStyle w:val="31"/>
                    <w:spacing w:line="240" w:lineRule="auto"/>
                    <w:rPr>
                      <w:rFonts w:ascii="Times New Roman"/>
                    </w:rPr>
                  </w:pPr>
                  <w:r>
                    <w:rPr>
                      <w:rFonts w:ascii="Times New Roman"/>
                    </w:rPr>
                    <w:t>3</w:t>
                  </w:r>
                </w:p>
              </w:tc>
              <w:tc>
                <w:tcPr>
                  <w:tcW w:w="1055" w:type="pct"/>
                  <w:vMerge w:val="restart"/>
                  <w:noWrap w:val="0"/>
                  <w:vAlign w:val="center"/>
                </w:tcPr>
                <w:p>
                  <w:pPr>
                    <w:pStyle w:val="31"/>
                    <w:spacing w:line="240" w:lineRule="auto"/>
                    <w:rPr>
                      <w:rFonts w:ascii="Times New Roman"/>
                      <w:bCs/>
                    </w:rPr>
                  </w:pPr>
                  <w:r>
                    <w:rPr>
                      <w:rFonts w:ascii="Times New Roman"/>
                      <w:bCs/>
                    </w:rPr>
                    <w:t>砷</w:t>
                  </w:r>
                </w:p>
              </w:tc>
              <w:tc>
                <w:tcPr>
                  <w:tcW w:w="1250" w:type="pct"/>
                  <w:noWrap w:val="0"/>
                  <w:vAlign w:val="center"/>
                </w:tcPr>
                <w:p>
                  <w:pPr>
                    <w:pStyle w:val="31"/>
                    <w:spacing w:line="240" w:lineRule="auto"/>
                    <w:rPr>
                      <w:rFonts w:ascii="Times New Roman"/>
                      <w:bCs/>
                    </w:rPr>
                  </w:pPr>
                  <w:r>
                    <w:rPr>
                      <w:rFonts w:ascii="Times New Roman"/>
                      <w:bCs/>
                    </w:rPr>
                    <w:t>水田</w:t>
                  </w:r>
                </w:p>
              </w:tc>
              <w:tc>
                <w:tcPr>
                  <w:tcW w:w="1718" w:type="pct"/>
                  <w:noWrap w:val="0"/>
                  <w:vAlign w:val="center"/>
                </w:tcPr>
                <w:p>
                  <w:pPr>
                    <w:pStyle w:val="31"/>
                    <w:spacing w:line="240" w:lineRule="auto"/>
                    <w:rPr>
                      <w:rFonts w:ascii="Times New Roman"/>
                      <w:bCs/>
                    </w:rPr>
                  </w:pPr>
                  <w:r>
                    <w:rPr>
                      <w:rFonts w:ascii="Times New Roman"/>
                      <w:bCs/>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977" w:type="pct"/>
                  <w:vMerge w:val="continue"/>
                  <w:noWrap w:val="0"/>
                  <w:vAlign w:val="center"/>
                </w:tcPr>
                <w:p>
                  <w:pPr>
                    <w:pStyle w:val="31"/>
                    <w:spacing w:line="240" w:lineRule="auto"/>
                    <w:rPr>
                      <w:rFonts w:ascii="Times New Roman"/>
                    </w:rPr>
                  </w:pPr>
                </w:p>
              </w:tc>
              <w:tc>
                <w:tcPr>
                  <w:tcW w:w="1055" w:type="pct"/>
                  <w:vMerge w:val="continue"/>
                  <w:noWrap w:val="0"/>
                  <w:vAlign w:val="center"/>
                </w:tcPr>
                <w:p>
                  <w:pPr>
                    <w:pStyle w:val="31"/>
                    <w:spacing w:line="240" w:lineRule="auto"/>
                    <w:rPr>
                      <w:rFonts w:ascii="Times New Roman"/>
                      <w:bCs/>
                    </w:rPr>
                  </w:pPr>
                </w:p>
              </w:tc>
              <w:tc>
                <w:tcPr>
                  <w:tcW w:w="1250" w:type="pct"/>
                  <w:noWrap w:val="0"/>
                  <w:vAlign w:val="center"/>
                </w:tcPr>
                <w:p>
                  <w:pPr>
                    <w:pStyle w:val="31"/>
                    <w:spacing w:line="240" w:lineRule="auto"/>
                    <w:rPr>
                      <w:rFonts w:ascii="Times New Roman"/>
                      <w:bCs/>
                    </w:rPr>
                  </w:pPr>
                  <w:r>
                    <w:rPr>
                      <w:rFonts w:ascii="Times New Roman"/>
                      <w:bCs/>
                    </w:rPr>
                    <w:t>其他</w:t>
                  </w:r>
                </w:p>
              </w:tc>
              <w:tc>
                <w:tcPr>
                  <w:tcW w:w="1718" w:type="pct"/>
                  <w:noWrap w:val="0"/>
                  <w:vAlign w:val="center"/>
                </w:tcPr>
                <w:p>
                  <w:pPr>
                    <w:pStyle w:val="31"/>
                    <w:spacing w:line="240" w:lineRule="auto"/>
                    <w:rPr>
                      <w:rFonts w:ascii="Times New Roman"/>
                      <w:bCs/>
                    </w:rPr>
                  </w:pPr>
                  <w:r>
                    <w:rPr>
                      <w:rFonts w:ascii="Times New Roman"/>
                      <w:bCs/>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977" w:type="pct"/>
                  <w:vMerge w:val="restart"/>
                  <w:noWrap w:val="0"/>
                  <w:vAlign w:val="center"/>
                </w:tcPr>
                <w:p>
                  <w:pPr>
                    <w:pStyle w:val="31"/>
                    <w:spacing w:line="240" w:lineRule="auto"/>
                    <w:rPr>
                      <w:rFonts w:ascii="Times New Roman"/>
                    </w:rPr>
                  </w:pPr>
                  <w:r>
                    <w:rPr>
                      <w:rFonts w:ascii="Times New Roman"/>
                    </w:rPr>
                    <w:t>4</w:t>
                  </w:r>
                </w:p>
              </w:tc>
              <w:tc>
                <w:tcPr>
                  <w:tcW w:w="1055" w:type="pct"/>
                  <w:vMerge w:val="restart"/>
                  <w:noWrap w:val="0"/>
                  <w:vAlign w:val="center"/>
                </w:tcPr>
                <w:p>
                  <w:pPr>
                    <w:pStyle w:val="31"/>
                    <w:spacing w:line="240" w:lineRule="auto"/>
                    <w:rPr>
                      <w:rFonts w:ascii="Times New Roman"/>
                      <w:bCs/>
                    </w:rPr>
                  </w:pPr>
                  <w:r>
                    <w:rPr>
                      <w:rFonts w:ascii="Times New Roman"/>
                      <w:bCs/>
                    </w:rPr>
                    <w:t>铅</w:t>
                  </w:r>
                </w:p>
              </w:tc>
              <w:tc>
                <w:tcPr>
                  <w:tcW w:w="1250" w:type="pct"/>
                  <w:noWrap w:val="0"/>
                  <w:vAlign w:val="center"/>
                </w:tcPr>
                <w:p>
                  <w:pPr>
                    <w:pStyle w:val="31"/>
                    <w:spacing w:line="240" w:lineRule="auto"/>
                    <w:rPr>
                      <w:rFonts w:ascii="Times New Roman"/>
                      <w:bCs/>
                    </w:rPr>
                  </w:pPr>
                  <w:r>
                    <w:rPr>
                      <w:rFonts w:ascii="Times New Roman"/>
                      <w:bCs/>
                    </w:rPr>
                    <w:t>水田</w:t>
                  </w:r>
                </w:p>
              </w:tc>
              <w:tc>
                <w:tcPr>
                  <w:tcW w:w="1718" w:type="pct"/>
                  <w:noWrap w:val="0"/>
                  <w:vAlign w:val="center"/>
                </w:tcPr>
                <w:p>
                  <w:pPr>
                    <w:pStyle w:val="31"/>
                    <w:spacing w:line="240" w:lineRule="auto"/>
                    <w:rPr>
                      <w:rFonts w:ascii="Times New Roman"/>
                      <w:bCs/>
                    </w:rPr>
                  </w:pPr>
                  <w:r>
                    <w:rPr>
                      <w:rFonts w:ascii="Times New Roman"/>
                      <w:bCs/>
                    </w:rPr>
                    <w:t>240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977" w:type="pct"/>
                  <w:vMerge w:val="continue"/>
                  <w:noWrap w:val="0"/>
                  <w:vAlign w:val="center"/>
                </w:tcPr>
                <w:p>
                  <w:pPr>
                    <w:pStyle w:val="31"/>
                    <w:spacing w:line="240" w:lineRule="auto"/>
                    <w:rPr>
                      <w:rFonts w:ascii="Times New Roman"/>
                    </w:rPr>
                  </w:pPr>
                </w:p>
              </w:tc>
              <w:tc>
                <w:tcPr>
                  <w:tcW w:w="1055" w:type="pct"/>
                  <w:vMerge w:val="continue"/>
                  <w:noWrap w:val="0"/>
                  <w:vAlign w:val="center"/>
                </w:tcPr>
                <w:p>
                  <w:pPr>
                    <w:pStyle w:val="31"/>
                    <w:spacing w:line="240" w:lineRule="auto"/>
                    <w:rPr>
                      <w:rFonts w:ascii="Times New Roman"/>
                      <w:bCs/>
                    </w:rPr>
                  </w:pPr>
                </w:p>
              </w:tc>
              <w:tc>
                <w:tcPr>
                  <w:tcW w:w="1250" w:type="pct"/>
                  <w:noWrap w:val="0"/>
                  <w:vAlign w:val="center"/>
                </w:tcPr>
                <w:p>
                  <w:pPr>
                    <w:pStyle w:val="31"/>
                    <w:spacing w:line="240" w:lineRule="auto"/>
                    <w:rPr>
                      <w:rFonts w:ascii="Times New Roman"/>
                      <w:bCs/>
                    </w:rPr>
                  </w:pPr>
                  <w:r>
                    <w:rPr>
                      <w:rFonts w:ascii="Times New Roman"/>
                      <w:bCs/>
                    </w:rPr>
                    <w:t>其他</w:t>
                  </w:r>
                </w:p>
              </w:tc>
              <w:tc>
                <w:tcPr>
                  <w:tcW w:w="1718" w:type="pct"/>
                  <w:noWrap w:val="0"/>
                  <w:vAlign w:val="center"/>
                </w:tcPr>
                <w:p>
                  <w:pPr>
                    <w:pStyle w:val="31"/>
                    <w:spacing w:line="240" w:lineRule="auto"/>
                    <w:rPr>
                      <w:rFonts w:ascii="Times New Roman"/>
                      <w:bCs/>
                    </w:rPr>
                  </w:pPr>
                  <w:r>
                    <w:rPr>
                      <w:rFonts w:ascii="Times New Roman"/>
                      <w:bCs/>
                    </w:rPr>
                    <w:t>170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1" w:hRule="atLeast"/>
                <w:jc w:val="center"/>
              </w:trPr>
              <w:tc>
                <w:tcPr>
                  <w:tcW w:w="977" w:type="pct"/>
                  <w:vMerge w:val="restart"/>
                  <w:noWrap w:val="0"/>
                  <w:vAlign w:val="center"/>
                </w:tcPr>
                <w:p>
                  <w:pPr>
                    <w:pStyle w:val="31"/>
                    <w:spacing w:line="240" w:lineRule="auto"/>
                    <w:rPr>
                      <w:rFonts w:ascii="Times New Roman"/>
                    </w:rPr>
                  </w:pPr>
                  <w:r>
                    <w:rPr>
                      <w:rFonts w:ascii="Times New Roman"/>
                    </w:rPr>
                    <w:t>5</w:t>
                  </w:r>
                </w:p>
              </w:tc>
              <w:tc>
                <w:tcPr>
                  <w:tcW w:w="1055" w:type="pct"/>
                  <w:vMerge w:val="restart"/>
                  <w:noWrap w:val="0"/>
                  <w:vAlign w:val="center"/>
                </w:tcPr>
                <w:p>
                  <w:pPr>
                    <w:pStyle w:val="31"/>
                    <w:spacing w:line="240" w:lineRule="auto"/>
                    <w:rPr>
                      <w:rFonts w:ascii="Times New Roman"/>
                      <w:bCs/>
                    </w:rPr>
                  </w:pPr>
                  <w:r>
                    <w:rPr>
                      <w:rFonts w:ascii="Times New Roman"/>
                      <w:bCs/>
                    </w:rPr>
                    <w:t>铬</w:t>
                  </w:r>
                </w:p>
              </w:tc>
              <w:tc>
                <w:tcPr>
                  <w:tcW w:w="1250" w:type="pct"/>
                  <w:noWrap w:val="0"/>
                  <w:vAlign w:val="center"/>
                </w:tcPr>
                <w:p>
                  <w:pPr>
                    <w:pStyle w:val="31"/>
                    <w:spacing w:line="240" w:lineRule="auto"/>
                    <w:rPr>
                      <w:rFonts w:ascii="Times New Roman"/>
                      <w:bCs/>
                    </w:rPr>
                  </w:pPr>
                  <w:r>
                    <w:rPr>
                      <w:rFonts w:ascii="Times New Roman"/>
                      <w:bCs/>
                    </w:rPr>
                    <w:t>水田</w:t>
                  </w:r>
                </w:p>
              </w:tc>
              <w:tc>
                <w:tcPr>
                  <w:tcW w:w="1718" w:type="pct"/>
                  <w:noWrap w:val="0"/>
                  <w:vAlign w:val="center"/>
                </w:tcPr>
                <w:p>
                  <w:pPr>
                    <w:pStyle w:val="31"/>
                    <w:spacing w:line="240" w:lineRule="auto"/>
                    <w:rPr>
                      <w:rFonts w:ascii="Times New Roman"/>
                      <w:bCs/>
                    </w:rPr>
                  </w:pPr>
                  <w:r>
                    <w:rPr>
                      <w:rFonts w:ascii="Times New Roman"/>
                      <w:bCs/>
                    </w:rPr>
                    <w:t>350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977" w:type="pct"/>
                  <w:vMerge w:val="continue"/>
                  <w:noWrap w:val="0"/>
                  <w:vAlign w:val="center"/>
                </w:tcPr>
                <w:p>
                  <w:pPr>
                    <w:pStyle w:val="31"/>
                    <w:spacing w:line="240" w:lineRule="auto"/>
                    <w:rPr>
                      <w:rFonts w:ascii="Times New Roman"/>
                    </w:rPr>
                  </w:pPr>
                </w:p>
              </w:tc>
              <w:tc>
                <w:tcPr>
                  <w:tcW w:w="1055" w:type="pct"/>
                  <w:vMerge w:val="continue"/>
                  <w:noWrap w:val="0"/>
                  <w:vAlign w:val="center"/>
                </w:tcPr>
                <w:p>
                  <w:pPr>
                    <w:pStyle w:val="31"/>
                    <w:spacing w:line="240" w:lineRule="auto"/>
                    <w:rPr>
                      <w:rFonts w:ascii="Times New Roman"/>
                      <w:bCs/>
                    </w:rPr>
                  </w:pPr>
                </w:p>
              </w:tc>
              <w:tc>
                <w:tcPr>
                  <w:tcW w:w="1250" w:type="pct"/>
                  <w:noWrap w:val="0"/>
                  <w:vAlign w:val="center"/>
                </w:tcPr>
                <w:p>
                  <w:pPr>
                    <w:pStyle w:val="31"/>
                    <w:spacing w:line="240" w:lineRule="auto"/>
                    <w:rPr>
                      <w:rFonts w:ascii="Times New Roman"/>
                      <w:bCs/>
                    </w:rPr>
                  </w:pPr>
                  <w:r>
                    <w:rPr>
                      <w:rFonts w:ascii="Times New Roman"/>
                      <w:bCs/>
                    </w:rPr>
                    <w:t>其他</w:t>
                  </w:r>
                </w:p>
              </w:tc>
              <w:tc>
                <w:tcPr>
                  <w:tcW w:w="1718" w:type="pct"/>
                  <w:noWrap w:val="0"/>
                  <w:vAlign w:val="center"/>
                </w:tcPr>
                <w:p>
                  <w:pPr>
                    <w:pStyle w:val="31"/>
                    <w:spacing w:line="240" w:lineRule="auto"/>
                    <w:rPr>
                      <w:rFonts w:ascii="Times New Roman"/>
                      <w:bCs/>
                    </w:rPr>
                  </w:pPr>
                  <w:r>
                    <w:rPr>
                      <w:rFonts w:ascii="Times New Roman"/>
                      <w:bCs/>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977" w:type="pct"/>
                  <w:vMerge w:val="restart"/>
                  <w:noWrap w:val="0"/>
                  <w:vAlign w:val="center"/>
                </w:tcPr>
                <w:p>
                  <w:pPr>
                    <w:pStyle w:val="31"/>
                    <w:spacing w:line="240" w:lineRule="auto"/>
                    <w:rPr>
                      <w:rFonts w:ascii="Times New Roman"/>
                    </w:rPr>
                  </w:pPr>
                  <w:r>
                    <w:rPr>
                      <w:rFonts w:ascii="Times New Roman"/>
                    </w:rPr>
                    <w:t>6</w:t>
                  </w:r>
                </w:p>
              </w:tc>
              <w:tc>
                <w:tcPr>
                  <w:tcW w:w="1055" w:type="pct"/>
                  <w:vMerge w:val="restart"/>
                  <w:noWrap w:val="0"/>
                  <w:vAlign w:val="center"/>
                </w:tcPr>
                <w:p>
                  <w:pPr>
                    <w:pStyle w:val="31"/>
                    <w:spacing w:line="240" w:lineRule="auto"/>
                    <w:rPr>
                      <w:rFonts w:ascii="Times New Roman"/>
                      <w:bCs/>
                    </w:rPr>
                  </w:pPr>
                  <w:r>
                    <w:rPr>
                      <w:rFonts w:ascii="Times New Roman"/>
                      <w:bCs/>
                    </w:rPr>
                    <w:t>铜</w:t>
                  </w:r>
                </w:p>
              </w:tc>
              <w:tc>
                <w:tcPr>
                  <w:tcW w:w="1250" w:type="pct"/>
                  <w:noWrap w:val="0"/>
                  <w:vAlign w:val="center"/>
                </w:tcPr>
                <w:p>
                  <w:pPr>
                    <w:pStyle w:val="31"/>
                    <w:spacing w:line="240" w:lineRule="auto"/>
                    <w:rPr>
                      <w:rFonts w:ascii="Times New Roman"/>
                      <w:bCs/>
                    </w:rPr>
                  </w:pPr>
                  <w:r>
                    <w:rPr>
                      <w:rFonts w:ascii="Times New Roman"/>
                      <w:bCs/>
                    </w:rPr>
                    <w:t>水田</w:t>
                  </w:r>
                </w:p>
              </w:tc>
              <w:tc>
                <w:tcPr>
                  <w:tcW w:w="1718" w:type="pct"/>
                  <w:noWrap w:val="0"/>
                  <w:vAlign w:val="center"/>
                </w:tcPr>
                <w:p>
                  <w:pPr>
                    <w:pStyle w:val="31"/>
                    <w:spacing w:line="240" w:lineRule="auto"/>
                    <w:rPr>
                      <w:rFonts w:ascii="Times New Roman"/>
                      <w:bCs/>
                    </w:rPr>
                  </w:pPr>
                  <w:r>
                    <w:rPr>
                      <w:rFonts w:ascii="Times New Roman"/>
                      <w:bCs/>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10" w:hRule="atLeast"/>
                <w:jc w:val="center"/>
              </w:trPr>
              <w:tc>
                <w:tcPr>
                  <w:tcW w:w="977" w:type="pct"/>
                  <w:vMerge w:val="continue"/>
                  <w:noWrap w:val="0"/>
                  <w:vAlign w:val="center"/>
                </w:tcPr>
                <w:p>
                  <w:pPr>
                    <w:pStyle w:val="31"/>
                    <w:spacing w:line="240" w:lineRule="auto"/>
                    <w:rPr>
                      <w:rFonts w:ascii="Times New Roman"/>
                    </w:rPr>
                  </w:pPr>
                </w:p>
              </w:tc>
              <w:tc>
                <w:tcPr>
                  <w:tcW w:w="1055" w:type="pct"/>
                  <w:vMerge w:val="continue"/>
                  <w:noWrap w:val="0"/>
                  <w:vAlign w:val="center"/>
                </w:tcPr>
                <w:p>
                  <w:pPr>
                    <w:pStyle w:val="31"/>
                    <w:spacing w:line="240" w:lineRule="auto"/>
                    <w:rPr>
                      <w:rFonts w:ascii="Times New Roman"/>
                      <w:bCs/>
                    </w:rPr>
                  </w:pPr>
                </w:p>
              </w:tc>
              <w:tc>
                <w:tcPr>
                  <w:tcW w:w="1250" w:type="pct"/>
                  <w:noWrap w:val="0"/>
                  <w:vAlign w:val="center"/>
                </w:tcPr>
                <w:p>
                  <w:pPr>
                    <w:pStyle w:val="31"/>
                    <w:spacing w:line="240" w:lineRule="auto"/>
                    <w:rPr>
                      <w:rFonts w:ascii="Times New Roman"/>
                      <w:bCs/>
                    </w:rPr>
                  </w:pPr>
                  <w:r>
                    <w:rPr>
                      <w:rFonts w:ascii="Times New Roman"/>
                      <w:bCs/>
                    </w:rPr>
                    <w:t>其他</w:t>
                  </w:r>
                </w:p>
              </w:tc>
              <w:tc>
                <w:tcPr>
                  <w:tcW w:w="1718" w:type="pct"/>
                  <w:noWrap w:val="0"/>
                  <w:vAlign w:val="center"/>
                </w:tcPr>
                <w:p>
                  <w:pPr>
                    <w:pStyle w:val="31"/>
                    <w:spacing w:line="240" w:lineRule="auto"/>
                    <w:rPr>
                      <w:rFonts w:ascii="Times New Roman"/>
                      <w:bCs/>
                    </w:rPr>
                  </w:pPr>
                  <w:r>
                    <w:rPr>
                      <w:rFonts w:ascii="Times New Roman"/>
                      <w:bCs/>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977" w:type="pct"/>
                  <w:noWrap w:val="0"/>
                  <w:vAlign w:val="center"/>
                </w:tcPr>
                <w:p>
                  <w:pPr>
                    <w:pStyle w:val="31"/>
                    <w:spacing w:line="240" w:lineRule="auto"/>
                    <w:rPr>
                      <w:rFonts w:ascii="Times New Roman"/>
                    </w:rPr>
                  </w:pPr>
                  <w:r>
                    <w:rPr>
                      <w:rFonts w:ascii="Times New Roman"/>
                    </w:rPr>
                    <w:t>7</w:t>
                  </w:r>
                </w:p>
              </w:tc>
              <w:tc>
                <w:tcPr>
                  <w:tcW w:w="1055" w:type="pct"/>
                  <w:noWrap w:val="0"/>
                  <w:vAlign w:val="center"/>
                </w:tcPr>
                <w:p>
                  <w:pPr>
                    <w:pStyle w:val="31"/>
                    <w:spacing w:line="240" w:lineRule="auto"/>
                    <w:rPr>
                      <w:rFonts w:ascii="Times New Roman"/>
                      <w:bCs/>
                    </w:rPr>
                  </w:pPr>
                  <w:r>
                    <w:rPr>
                      <w:rFonts w:ascii="Times New Roman"/>
                      <w:bCs/>
                    </w:rPr>
                    <w:t>镍</w:t>
                  </w:r>
                </w:p>
              </w:tc>
              <w:tc>
                <w:tcPr>
                  <w:tcW w:w="1250" w:type="pct"/>
                  <w:noWrap w:val="0"/>
                  <w:vAlign w:val="center"/>
                </w:tcPr>
                <w:p>
                  <w:pPr>
                    <w:pStyle w:val="31"/>
                    <w:spacing w:line="240" w:lineRule="auto"/>
                    <w:rPr>
                      <w:rFonts w:ascii="Times New Roman"/>
                      <w:bCs/>
                    </w:rPr>
                  </w:pPr>
                  <w:r>
                    <w:rPr>
                      <w:rFonts w:ascii="Times New Roman"/>
                      <w:bCs/>
                    </w:rPr>
                    <w:t>/</w:t>
                  </w:r>
                </w:p>
              </w:tc>
              <w:tc>
                <w:tcPr>
                  <w:tcW w:w="1718" w:type="pct"/>
                  <w:noWrap w:val="0"/>
                  <w:vAlign w:val="center"/>
                </w:tcPr>
                <w:p>
                  <w:pPr>
                    <w:pStyle w:val="31"/>
                    <w:spacing w:line="240" w:lineRule="auto"/>
                    <w:rPr>
                      <w:rFonts w:ascii="Times New Roman"/>
                      <w:bCs/>
                    </w:rPr>
                  </w:pPr>
                  <w:r>
                    <w:rPr>
                      <w:rFonts w:ascii="Times New Roman"/>
                      <w:bCs/>
                    </w:rPr>
                    <w:t>190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1" w:hRule="atLeast"/>
                <w:jc w:val="center"/>
              </w:trPr>
              <w:tc>
                <w:tcPr>
                  <w:tcW w:w="977" w:type="pct"/>
                  <w:noWrap w:val="0"/>
                  <w:vAlign w:val="center"/>
                </w:tcPr>
                <w:p>
                  <w:pPr>
                    <w:pStyle w:val="31"/>
                    <w:spacing w:line="240" w:lineRule="auto"/>
                    <w:rPr>
                      <w:rFonts w:ascii="Times New Roman"/>
                    </w:rPr>
                  </w:pPr>
                  <w:r>
                    <w:rPr>
                      <w:rFonts w:ascii="Times New Roman"/>
                    </w:rPr>
                    <w:t>8</w:t>
                  </w:r>
                </w:p>
              </w:tc>
              <w:tc>
                <w:tcPr>
                  <w:tcW w:w="1055" w:type="pct"/>
                  <w:noWrap w:val="0"/>
                  <w:vAlign w:val="center"/>
                </w:tcPr>
                <w:p>
                  <w:pPr>
                    <w:pStyle w:val="31"/>
                    <w:spacing w:line="240" w:lineRule="auto"/>
                    <w:rPr>
                      <w:rFonts w:ascii="Times New Roman"/>
                      <w:bCs/>
                    </w:rPr>
                  </w:pPr>
                  <w:r>
                    <w:rPr>
                      <w:rFonts w:ascii="Times New Roman"/>
                      <w:bCs/>
                    </w:rPr>
                    <w:t>锌</w:t>
                  </w:r>
                </w:p>
              </w:tc>
              <w:tc>
                <w:tcPr>
                  <w:tcW w:w="1250" w:type="pct"/>
                  <w:noWrap w:val="0"/>
                  <w:vAlign w:val="center"/>
                </w:tcPr>
                <w:p>
                  <w:pPr>
                    <w:pStyle w:val="31"/>
                    <w:spacing w:line="240" w:lineRule="auto"/>
                    <w:rPr>
                      <w:rFonts w:ascii="Times New Roman"/>
                      <w:bCs/>
                    </w:rPr>
                  </w:pPr>
                  <w:r>
                    <w:rPr>
                      <w:rFonts w:ascii="Times New Roman"/>
                      <w:bCs/>
                    </w:rPr>
                    <w:t>/</w:t>
                  </w:r>
                </w:p>
              </w:tc>
              <w:tc>
                <w:tcPr>
                  <w:tcW w:w="1718" w:type="pct"/>
                  <w:noWrap w:val="0"/>
                  <w:vAlign w:val="center"/>
                </w:tcPr>
                <w:p>
                  <w:pPr>
                    <w:pStyle w:val="31"/>
                    <w:spacing w:line="240" w:lineRule="auto"/>
                    <w:rPr>
                      <w:rFonts w:ascii="Times New Roman"/>
                      <w:bCs/>
                    </w:rPr>
                  </w:pPr>
                  <w:r>
                    <w:rPr>
                      <w:rFonts w:ascii="Times New Roman"/>
                      <w:bCs/>
                    </w:rPr>
                    <w:t>300</w:t>
                  </w:r>
                </w:p>
              </w:tc>
            </w:tr>
          </w:tbl>
          <w:p>
            <w:pPr>
              <w:adjustRightInd w:val="0"/>
              <w:snapToGrid w:val="0"/>
              <w:spacing w:line="360" w:lineRule="auto"/>
              <w:jc w:val="center"/>
              <w:rPr>
                <w:rFonts w:ascii="Times New Roman" w:hAnsi="Times New Roman" w:eastAsia="黑体" w:cs="Times New Roman"/>
                <w:sz w:val="24"/>
                <w:szCs w:val="24"/>
              </w:rPr>
            </w:pPr>
            <w:bookmarkStart w:id="7" w:name="_Hlk18450911"/>
            <w:r>
              <w:rPr>
                <w:rFonts w:ascii="Times New Roman" w:hAnsi="Times New Roman" w:eastAsia="黑体" w:cs="Times New Roman"/>
                <w:sz w:val="24"/>
                <w:szCs w:val="24"/>
              </w:rPr>
              <w:t>表</w:t>
            </w:r>
            <w:r>
              <w:rPr>
                <w:rFonts w:hint="eastAsia" w:ascii="Times New Roman" w:hAnsi="Times New Roman" w:eastAsia="黑体" w:cs="Times New Roman"/>
                <w:sz w:val="24"/>
                <w:szCs w:val="24"/>
                <w:lang w:eastAsia="zh-CN"/>
              </w:rPr>
              <w:t>4</w:t>
            </w:r>
            <w:r>
              <w:rPr>
                <w:rFonts w:ascii="Times New Roman" w:hAnsi="Times New Roman" w:eastAsia="黑体" w:cs="Times New Roman"/>
                <w:sz w:val="24"/>
                <w:szCs w:val="24"/>
              </w:rPr>
              <w:t>-</w:t>
            </w:r>
            <w:r>
              <w:rPr>
                <w:rFonts w:hint="eastAsia" w:ascii="Times New Roman" w:hAnsi="Times New Roman" w:eastAsia="黑体" w:cs="Times New Roman"/>
                <w:sz w:val="24"/>
                <w:szCs w:val="24"/>
                <w:lang w:eastAsia="zh-CN"/>
              </w:rPr>
              <w:t>5</w:t>
            </w:r>
            <w:r>
              <w:rPr>
                <w:rFonts w:ascii="Times New Roman" w:hAnsi="Times New Roman" w:eastAsia="黑体" w:cs="Times New Roman"/>
                <w:sz w:val="24"/>
                <w:szCs w:val="24"/>
              </w:rPr>
              <w:t xml:space="preserve">  《土壤环境质量 建设用地土壤污染风险管控标准(试行)》(GB36600-2018)</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14"/>
              <w:gridCol w:w="2247"/>
              <w:gridCol w:w="1756"/>
              <w:gridCol w:w="1753"/>
              <w:gridCol w:w="17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2" w:hRule="atLeast"/>
              </w:trPr>
              <w:tc>
                <w:tcPr>
                  <w:tcW w:w="647" w:type="pct"/>
                  <w:vMerge w:val="restart"/>
                  <w:shd w:val="clear" w:color="auto" w:fill="auto"/>
                  <w:noWrap w:val="0"/>
                  <w:vAlign w:val="center"/>
                </w:tcPr>
                <w:p>
                  <w:pPr>
                    <w:adjustRightInd w:val="0"/>
                    <w:spacing w:line="240" w:lineRule="auto"/>
                    <w:jc w:val="center"/>
                    <w:rPr>
                      <w:b/>
                      <w:sz w:val="21"/>
                      <w:szCs w:val="21"/>
                    </w:rPr>
                  </w:pPr>
                  <w:r>
                    <w:rPr>
                      <w:b/>
                      <w:sz w:val="21"/>
                      <w:szCs w:val="21"/>
                    </w:rPr>
                    <w:t>序号</w:t>
                  </w:r>
                </w:p>
              </w:tc>
              <w:tc>
                <w:tcPr>
                  <w:tcW w:w="1305" w:type="pct"/>
                  <w:vMerge w:val="restart"/>
                  <w:shd w:val="clear" w:color="auto" w:fill="auto"/>
                  <w:noWrap w:val="0"/>
                  <w:vAlign w:val="center"/>
                </w:tcPr>
                <w:p>
                  <w:pPr>
                    <w:adjustRightInd w:val="0"/>
                    <w:spacing w:line="240" w:lineRule="auto"/>
                    <w:jc w:val="center"/>
                    <w:rPr>
                      <w:b/>
                      <w:sz w:val="21"/>
                      <w:szCs w:val="21"/>
                    </w:rPr>
                  </w:pPr>
                  <w:r>
                    <w:rPr>
                      <w:b/>
                      <w:sz w:val="21"/>
                      <w:szCs w:val="21"/>
                    </w:rPr>
                    <w:t>污染物项目</w:t>
                  </w:r>
                </w:p>
              </w:tc>
              <w:tc>
                <w:tcPr>
                  <w:tcW w:w="1020" w:type="pct"/>
                  <w:vMerge w:val="restart"/>
                  <w:shd w:val="clear" w:color="auto" w:fill="auto"/>
                  <w:noWrap w:val="0"/>
                  <w:vAlign w:val="center"/>
                </w:tcPr>
                <w:p>
                  <w:pPr>
                    <w:adjustRightInd w:val="0"/>
                    <w:spacing w:line="240" w:lineRule="auto"/>
                    <w:jc w:val="center"/>
                    <w:rPr>
                      <w:b/>
                      <w:sz w:val="21"/>
                      <w:szCs w:val="21"/>
                    </w:rPr>
                  </w:pPr>
                  <w:r>
                    <w:rPr>
                      <w:b/>
                      <w:sz w:val="21"/>
                      <w:szCs w:val="21"/>
                    </w:rPr>
                    <w:t>CAS编号</w:t>
                  </w:r>
                </w:p>
              </w:tc>
              <w:tc>
                <w:tcPr>
                  <w:tcW w:w="1018" w:type="pct"/>
                  <w:shd w:val="clear" w:color="auto" w:fill="auto"/>
                  <w:noWrap w:val="0"/>
                  <w:vAlign w:val="center"/>
                </w:tcPr>
                <w:p>
                  <w:pPr>
                    <w:adjustRightInd w:val="0"/>
                    <w:spacing w:line="240" w:lineRule="auto"/>
                    <w:jc w:val="center"/>
                    <w:rPr>
                      <w:b/>
                      <w:sz w:val="21"/>
                      <w:szCs w:val="21"/>
                    </w:rPr>
                  </w:pPr>
                  <w:r>
                    <w:rPr>
                      <w:b/>
                      <w:sz w:val="21"/>
                      <w:szCs w:val="21"/>
                    </w:rPr>
                    <w:t>筛选值</w:t>
                  </w:r>
                </w:p>
              </w:tc>
              <w:tc>
                <w:tcPr>
                  <w:tcW w:w="1010" w:type="pct"/>
                  <w:shd w:val="clear" w:color="auto" w:fill="auto"/>
                  <w:noWrap w:val="0"/>
                  <w:vAlign w:val="center"/>
                </w:tcPr>
                <w:p>
                  <w:pPr>
                    <w:adjustRightInd w:val="0"/>
                    <w:spacing w:line="240" w:lineRule="auto"/>
                    <w:jc w:val="center"/>
                    <w:rPr>
                      <w:b/>
                      <w:sz w:val="21"/>
                      <w:szCs w:val="21"/>
                    </w:rPr>
                  </w:pPr>
                  <w:r>
                    <w:rPr>
                      <w:b/>
                      <w:sz w:val="21"/>
                      <w:szCs w:val="21"/>
                    </w:rPr>
                    <w:t>管控值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47" w:type="pct"/>
                  <w:vMerge w:val="continue"/>
                  <w:shd w:val="clear" w:color="auto" w:fill="auto"/>
                  <w:noWrap w:val="0"/>
                  <w:vAlign w:val="center"/>
                </w:tcPr>
                <w:p>
                  <w:pPr>
                    <w:adjustRightInd w:val="0"/>
                    <w:spacing w:line="240" w:lineRule="auto"/>
                    <w:jc w:val="center"/>
                    <w:rPr>
                      <w:b/>
                      <w:sz w:val="21"/>
                      <w:szCs w:val="21"/>
                    </w:rPr>
                  </w:pPr>
                </w:p>
              </w:tc>
              <w:tc>
                <w:tcPr>
                  <w:tcW w:w="1305" w:type="pct"/>
                  <w:vMerge w:val="continue"/>
                  <w:shd w:val="clear" w:color="auto" w:fill="auto"/>
                  <w:noWrap w:val="0"/>
                  <w:vAlign w:val="center"/>
                </w:tcPr>
                <w:p>
                  <w:pPr>
                    <w:adjustRightInd w:val="0"/>
                    <w:spacing w:line="240" w:lineRule="auto"/>
                    <w:jc w:val="center"/>
                    <w:rPr>
                      <w:b/>
                      <w:sz w:val="21"/>
                      <w:szCs w:val="21"/>
                    </w:rPr>
                  </w:pPr>
                </w:p>
              </w:tc>
              <w:tc>
                <w:tcPr>
                  <w:tcW w:w="1020" w:type="pct"/>
                  <w:vMerge w:val="continue"/>
                  <w:shd w:val="clear" w:color="auto" w:fill="auto"/>
                  <w:noWrap w:val="0"/>
                  <w:vAlign w:val="center"/>
                </w:tcPr>
                <w:p>
                  <w:pPr>
                    <w:adjustRightInd w:val="0"/>
                    <w:spacing w:line="240" w:lineRule="auto"/>
                    <w:jc w:val="center"/>
                    <w:rPr>
                      <w:b/>
                      <w:sz w:val="21"/>
                      <w:szCs w:val="21"/>
                    </w:rPr>
                  </w:pPr>
                </w:p>
              </w:tc>
              <w:tc>
                <w:tcPr>
                  <w:tcW w:w="1018" w:type="pct"/>
                  <w:shd w:val="clear" w:color="auto" w:fill="auto"/>
                  <w:noWrap w:val="0"/>
                  <w:vAlign w:val="center"/>
                </w:tcPr>
                <w:p>
                  <w:pPr>
                    <w:adjustRightInd w:val="0"/>
                    <w:spacing w:line="240" w:lineRule="auto"/>
                    <w:jc w:val="center"/>
                    <w:rPr>
                      <w:b/>
                      <w:sz w:val="21"/>
                      <w:szCs w:val="21"/>
                    </w:rPr>
                  </w:pPr>
                  <w:r>
                    <w:rPr>
                      <w:b/>
                      <w:sz w:val="21"/>
                      <w:szCs w:val="21"/>
                    </w:rPr>
                    <w:t>第二类用地</w:t>
                  </w:r>
                </w:p>
              </w:tc>
              <w:tc>
                <w:tcPr>
                  <w:tcW w:w="1010" w:type="pct"/>
                  <w:shd w:val="clear" w:color="auto" w:fill="auto"/>
                  <w:noWrap w:val="0"/>
                  <w:vAlign w:val="center"/>
                </w:tcPr>
                <w:p>
                  <w:pPr>
                    <w:adjustRightInd w:val="0"/>
                    <w:spacing w:line="240" w:lineRule="auto"/>
                    <w:jc w:val="center"/>
                    <w:rPr>
                      <w:b/>
                      <w:sz w:val="21"/>
                      <w:szCs w:val="21"/>
                    </w:rPr>
                  </w:pPr>
                  <w:r>
                    <w:rPr>
                      <w:b/>
                      <w:sz w:val="21"/>
                      <w:szCs w:val="21"/>
                    </w:rPr>
                    <w:t>第二类用地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5000" w:type="pct"/>
                  <w:gridSpan w:val="5"/>
                  <w:shd w:val="clear" w:color="auto" w:fill="auto"/>
                  <w:noWrap w:val="0"/>
                  <w:vAlign w:val="center"/>
                </w:tcPr>
                <w:p>
                  <w:pPr>
                    <w:adjustRightInd w:val="0"/>
                    <w:spacing w:line="240" w:lineRule="auto"/>
                    <w:jc w:val="center"/>
                    <w:rPr>
                      <w:sz w:val="21"/>
                      <w:szCs w:val="21"/>
                    </w:rPr>
                  </w:pPr>
                  <w:r>
                    <w:rPr>
                      <w:sz w:val="21"/>
                      <w:szCs w:val="21"/>
                    </w:rPr>
                    <w:t>重金属和无机物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7"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1</w:t>
                  </w:r>
                </w:p>
              </w:tc>
              <w:tc>
                <w:tcPr>
                  <w:tcW w:w="1305" w:type="pct"/>
                  <w:shd w:val="clear" w:color="auto" w:fill="auto"/>
                  <w:noWrap w:val="0"/>
                  <w:vAlign w:val="center"/>
                </w:tcPr>
                <w:p>
                  <w:pPr>
                    <w:adjustRightInd w:val="0"/>
                    <w:spacing w:line="240" w:lineRule="auto"/>
                    <w:jc w:val="center"/>
                    <w:rPr>
                      <w:sz w:val="21"/>
                      <w:szCs w:val="21"/>
                    </w:rPr>
                  </w:pPr>
                  <w:r>
                    <w:rPr>
                      <w:sz w:val="21"/>
                      <w:szCs w:val="21"/>
                    </w:rPr>
                    <w:t>砷</w:t>
                  </w:r>
                </w:p>
              </w:tc>
              <w:tc>
                <w:tcPr>
                  <w:tcW w:w="1020" w:type="pct"/>
                  <w:shd w:val="clear" w:color="auto" w:fill="auto"/>
                  <w:noWrap w:val="0"/>
                  <w:vAlign w:val="center"/>
                </w:tcPr>
                <w:p>
                  <w:pPr>
                    <w:adjustRightInd w:val="0"/>
                    <w:spacing w:line="240" w:lineRule="auto"/>
                    <w:jc w:val="center"/>
                    <w:rPr>
                      <w:sz w:val="21"/>
                      <w:szCs w:val="21"/>
                    </w:rPr>
                  </w:pPr>
                  <w:r>
                    <w:rPr>
                      <w:sz w:val="21"/>
                      <w:szCs w:val="21"/>
                    </w:rPr>
                    <w:t>7440-38-2</w:t>
                  </w:r>
                </w:p>
              </w:tc>
              <w:tc>
                <w:tcPr>
                  <w:tcW w:w="1018" w:type="pct"/>
                  <w:shd w:val="clear" w:color="auto" w:fill="auto"/>
                  <w:noWrap w:val="0"/>
                  <w:vAlign w:val="center"/>
                </w:tcPr>
                <w:p>
                  <w:pPr>
                    <w:adjustRightInd w:val="0"/>
                    <w:spacing w:line="240" w:lineRule="auto"/>
                    <w:jc w:val="center"/>
                    <w:rPr>
                      <w:sz w:val="21"/>
                      <w:szCs w:val="21"/>
                    </w:rPr>
                  </w:pPr>
                  <w:r>
                    <w:rPr>
                      <w:sz w:val="21"/>
                      <w:szCs w:val="21"/>
                    </w:rPr>
                    <w:t>60</w:t>
                  </w:r>
                </w:p>
              </w:tc>
              <w:tc>
                <w:tcPr>
                  <w:tcW w:w="1010" w:type="pct"/>
                  <w:shd w:val="clear" w:color="auto" w:fill="auto"/>
                  <w:noWrap w:val="0"/>
                  <w:vAlign w:val="center"/>
                </w:tcPr>
                <w:p>
                  <w:pPr>
                    <w:adjustRightInd w:val="0"/>
                    <w:spacing w:line="240" w:lineRule="auto"/>
                    <w:jc w:val="center"/>
                    <w:rPr>
                      <w:sz w:val="21"/>
                      <w:szCs w:val="21"/>
                    </w:rPr>
                  </w:pPr>
                  <w:r>
                    <w:rPr>
                      <w:sz w:val="21"/>
                      <w:szCs w:val="21"/>
                    </w:rPr>
                    <w:t>140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2</w:t>
                  </w:r>
                </w:p>
              </w:tc>
              <w:tc>
                <w:tcPr>
                  <w:tcW w:w="1305" w:type="pct"/>
                  <w:shd w:val="clear" w:color="auto" w:fill="auto"/>
                  <w:noWrap w:val="0"/>
                  <w:vAlign w:val="center"/>
                </w:tcPr>
                <w:p>
                  <w:pPr>
                    <w:adjustRightInd w:val="0"/>
                    <w:spacing w:line="240" w:lineRule="auto"/>
                    <w:jc w:val="center"/>
                    <w:rPr>
                      <w:sz w:val="21"/>
                      <w:szCs w:val="21"/>
                    </w:rPr>
                  </w:pPr>
                  <w:r>
                    <w:rPr>
                      <w:sz w:val="21"/>
                      <w:szCs w:val="21"/>
                    </w:rPr>
                    <w:t>镉</w:t>
                  </w:r>
                </w:p>
              </w:tc>
              <w:tc>
                <w:tcPr>
                  <w:tcW w:w="1020" w:type="pct"/>
                  <w:shd w:val="clear" w:color="auto" w:fill="auto"/>
                  <w:noWrap w:val="0"/>
                  <w:vAlign w:val="center"/>
                </w:tcPr>
                <w:p>
                  <w:pPr>
                    <w:adjustRightInd w:val="0"/>
                    <w:spacing w:line="240" w:lineRule="auto"/>
                    <w:jc w:val="center"/>
                    <w:rPr>
                      <w:sz w:val="21"/>
                      <w:szCs w:val="21"/>
                    </w:rPr>
                  </w:pPr>
                  <w:r>
                    <w:rPr>
                      <w:sz w:val="21"/>
                      <w:szCs w:val="21"/>
                    </w:rPr>
                    <w:t>7440-43-9</w:t>
                  </w:r>
                </w:p>
              </w:tc>
              <w:tc>
                <w:tcPr>
                  <w:tcW w:w="1018" w:type="pct"/>
                  <w:shd w:val="clear" w:color="auto" w:fill="auto"/>
                  <w:noWrap w:val="0"/>
                  <w:vAlign w:val="center"/>
                </w:tcPr>
                <w:p>
                  <w:pPr>
                    <w:adjustRightInd w:val="0"/>
                    <w:spacing w:line="240" w:lineRule="auto"/>
                    <w:jc w:val="center"/>
                    <w:rPr>
                      <w:sz w:val="21"/>
                      <w:szCs w:val="21"/>
                    </w:rPr>
                  </w:pPr>
                  <w:r>
                    <w:rPr>
                      <w:sz w:val="21"/>
                      <w:szCs w:val="21"/>
                    </w:rPr>
                    <w:t>65</w:t>
                  </w:r>
                </w:p>
              </w:tc>
              <w:tc>
                <w:tcPr>
                  <w:tcW w:w="1010" w:type="pct"/>
                  <w:shd w:val="clear" w:color="auto" w:fill="auto"/>
                  <w:noWrap w:val="0"/>
                  <w:vAlign w:val="center"/>
                </w:tcPr>
                <w:p>
                  <w:pPr>
                    <w:adjustRightInd w:val="0"/>
                    <w:spacing w:line="240" w:lineRule="auto"/>
                    <w:jc w:val="center"/>
                    <w:rPr>
                      <w:sz w:val="21"/>
                      <w:szCs w:val="21"/>
                    </w:rPr>
                  </w:pPr>
                  <w:r>
                    <w:rPr>
                      <w:sz w:val="21"/>
                      <w:szCs w:val="21"/>
                    </w:rPr>
                    <w:t>172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0"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3</w:t>
                  </w:r>
                </w:p>
              </w:tc>
              <w:tc>
                <w:tcPr>
                  <w:tcW w:w="1305" w:type="pct"/>
                  <w:shd w:val="clear" w:color="auto" w:fill="auto"/>
                  <w:noWrap w:val="0"/>
                  <w:vAlign w:val="center"/>
                </w:tcPr>
                <w:p>
                  <w:pPr>
                    <w:adjustRightInd w:val="0"/>
                    <w:spacing w:line="240" w:lineRule="auto"/>
                    <w:jc w:val="center"/>
                    <w:rPr>
                      <w:sz w:val="21"/>
                      <w:szCs w:val="21"/>
                    </w:rPr>
                  </w:pPr>
                  <w:r>
                    <w:rPr>
                      <w:sz w:val="21"/>
                      <w:szCs w:val="21"/>
                    </w:rPr>
                    <w:t>铬(六价)</w:t>
                  </w:r>
                </w:p>
              </w:tc>
              <w:tc>
                <w:tcPr>
                  <w:tcW w:w="1020" w:type="pct"/>
                  <w:shd w:val="clear" w:color="auto" w:fill="auto"/>
                  <w:noWrap w:val="0"/>
                  <w:vAlign w:val="center"/>
                </w:tcPr>
                <w:p>
                  <w:pPr>
                    <w:adjustRightInd w:val="0"/>
                    <w:spacing w:line="240" w:lineRule="auto"/>
                    <w:jc w:val="center"/>
                    <w:rPr>
                      <w:sz w:val="21"/>
                      <w:szCs w:val="21"/>
                    </w:rPr>
                  </w:pPr>
                  <w:r>
                    <w:rPr>
                      <w:sz w:val="21"/>
                      <w:szCs w:val="21"/>
                    </w:rPr>
                    <w:t>18540-29-9</w:t>
                  </w:r>
                </w:p>
              </w:tc>
              <w:tc>
                <w:tcPr>
                  <w:tcW w:w="1018" w:type="pct"/>
                  <w:shd w:val="clear" w:color="auto" w:fill="auto"/>
                  <w:noWrap w:val="0"/>
                  <w:vAlign w:val="center"/>
                </w:tcPr>
                <w:p>
                  <w:pPr>
                    <w:adjustRightInd w:val="0"/>
                    <w:spacing w:line="240" w:lineRule="auto"/>
                    <w:jc w:val="center"/>
                    <w:rPr>
                      <w:sz w:val="21"/>
                      <w:szCs w:val="21"/>
                    </w:rPr>
                  </w:pPr>
                  <w:r>
                    <w:rPr>
                      <w:sz w:val="21"/>
                      <w:szCs w:val="21"/>
                    </w:rPr>
                    <w:t>5.7</w:t>
                  </w:r>
                </w:p>
              </w:tc>
              <w:tc>
                <w:tcPr>
                  <w:tcW w:w="1010" w:type="pct"/>
                  <w:shd w:val="clear" w:color="auto" w:fill="auto"/>
                  <w:noWrap w:val="0"/>
                  <w:vAlign w:val="center"/>
                </w:tcPr>
                <w:p>
                  <w:pPr>
                    <w:adjustRightInd w:val="0"/>
                    <w:spacing w:line="240" w:lineRule="auto"/>
                    <w:jc w:val="center"/>
                    <w:rPr>
                      <w:sz w:val="21"/>
                      <w:szCs w:val="21"/>
                    </w:rPr>
                  </w:pPr>
                  <w:r>
                    <w:rPr>
                      <w:sz w:val="21"/>
                      <w:szCs w:val="21"/>
                    </w:rPr>
                    <w:t>78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4</w:t>
                  </w:r>
                </w:p>
              </w:tc>
              <w:tc>
                <w:tcPr>
                  <w:tcW w:w="1305" w:type="pct"/>
                  <w:shd w:val="clear" w:color="auto" w:fill="auto"/>
                  <w:noWrap w:val="0"/>
                  <w:vAlign w:val="center"/>
                </w:tcPr>
                <w:p>
                  <w:pPr>
                    <w:adjustRightInd w:val="0"/>
                    <w:spacing w:line="240" w:lineRule="auto"/>
                    <w:jc w:val="center"/>
                    <w:rPr>
                      <w:sz w:val="21"/>
                      <w:szCs w:val="21"/>
                    </w:rPr>
                  </w:pPr>
                  <w:r>
                    <w:rPr>
                      <w:sz w:val="21"/>
                      <w:szCs w:val="21"/>
                    </w:rPr>
                    <w:t>铜</w:t>
                  </w:r>
                </w:p>
              </w:tc>
              <w:tc>
                <w:tcPr>
                  <w:tcW w:w="1020" w:type="pct"/>
                  <w:shd w:val="clear" w:color="auto" w:fill="auto"/>
                  <w:noWrap w:val="0"/>
                  <w:vAlign w:val="center"/>
                </w:tcPr>
                <w:p>
                  <w:pPr>
                    <w:adjustRightInd w:val="0"/>
                    <w:spacing w:line="240" w:lineRule="auto"/>
                    <w:jc w:val="center"/>
                    <w:rPr>
                      <w:sz w:val="21"/>
                      <w:szCs w:val="21"/>
                    </w:rPr>
                  </w:pPr>
                  <w:r>
                    <w:rPr>
                      <w:sz w:val="21"/>
                      <w:szCs w:val="21"/>
                    </w:rPr>
                    <w:t>7440-50-8</w:t>
                  </w:r>
                </w:p>
              </w:tc>
              <w:tc>
                <w:tcPr>
                  <w:tcW w:w="1018" w:type="pct"/>
                  <w:shd w:val="clear" w:color="auto" w:fill="auto"/>
                  <w:noWrap w:val="0"/>
                  <w:vAlign w:val="center"/>
                </w:tcPr>
                <w:p>
                  <w:pPr>
                    <w:adjustRightInd w:val="0"/>
                    <w:spacing w:line="240" w:lineRule="auto"/>
                    <w:jc w:val="center"/>
                    <w:rPr>
                      <w:sz w:val="21"/>
                      <w:szCs w:val="21"/>
                    </w:rPr>
                  </w:pPr>
                  <w:r>
                    <w:rPr>
                      <w:sz w:val="21"/>
                      <w:szCs w:val="21"/>
                    </w:rPr>
                    <w:t>18000</w:t>
                  </w:r>
                </w:p>
              </w:tc>
              <w:tc>
                <w:tcPr>
                  <w:tcW w:w="1010" w:type="pct"/>
                  <w:shd w:val="clear" w:color="auto" w:fill="auto"/>
                  <w:noWrap w:val="0"/>
                  <w:vAlign w:val="center"/>
                </w:tcPr>
                <w:p>
                  <w:pPr>
                    <w:adjustRightInd w:val="0"/>
                    <w:spacing w:line="240" w:lineRule="auto"/>
                    <w:jc w:val="center"/>
                    <w:rPr>
                      <w:sz w:val="21"/>
                      <w:szCs w:val="21"/>
                    </w:rPr>
                  </w:pPr>
                  <w:r>
                    <w:rPr>
                      <w:sz w:val="21"/>
                      <w:szCs w:val="21"/>
                    </w:rPr>
                    <w:t>36000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4"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5</w:t>
                  </w:r>
                </w:p>
              </w:tc>
              <w:tc>
                <w:tcPr>
                  <w:tcW w:w="1305" w:type="pct"/>
                  <w:shd w:val="clear" w:color="auto" w:fill="auto"/>
                  <w:noWrap w:val="0"/>
                  <w:vAlign w:val="center"/>
                </w:tcPr>
                <w:p>
                  <w:pPr>
                    <w:adjustRightInd w:val="0"/>
                    <w:spacing w:line="240" w:lineRule="auto"/>
                    <w:jc w:val="center"/>
                    <w:rPr>
                      <w:sz w:val="21"/>
                      <w:szCs w:val="21"/>
                    </w:rPr>
                  </w:pPr>
                  <w:r>
                    <w:rPr>
                      <w:sz w:val="21"/>
                      <w:szCs w:val="21"/>
                    </w:rPr>
                    <w:t>铅</w:t>
                  </w:r>
                </w:p>
              </w:tc>
              <w:tc>
                <w:tcPr>
                  <w:tcW w:w="1020" w:type="pct"/>
                  <w:shd w:val="clear" w:color="auto" w:fill="auto"/>
                  <w:noWrap w:val="0"/>
                  <w:vAlign w:val="center"/>
                </w:tcPr>
                <w:p>
                  <w:pPr>
                    <w:adjustRightInd w:val="0"/>
                    <w:spacing w:line="240" w:lineRule="auto"/>
                    <w:jc w:val="center"/>
                    <w:rPr>
                      <w:sz w:val="21"/>
                      <w:szCs w:val="21"/>
                    </w:rPr>
                  </w:pPr>
                  <w:r>
                    <w:rPr>
                      <w:sz w:val="21"/>
                      <w:szCs w:val="21"/>
                    </w:rPr>
                    <w:t>7439-92-1</w:t>
                  </w:r>
                </w:p>
              </w:tc>
              <w:tc>
                <w:tcPr>
                  <w:tcW w:w="1018" w:type="pct"/>
                  <w:shd w:val="clear" w:color="auto" w:fill="auto"/>
                  <w:noWrap w:val="0"/>
                  <w:vAlign w:val="center"/>
                </w:tcPr>
                <w:p>
                  <w:pPr>
                    <w:adjustRightInd w:val="0"/>
                    <w:spacing w:line="240" w:lineRule="auto"/>
                    <w:jc w:val="center"/>
                    <w:rPr>
                      <w:sz w:val="21"/>
                      <w:szCs w:val="21"/>
                    </w:rPr>
                  </w:pPr>
                  <w:r>
                    <w:rPr>
                      <w:sz w:val="21"/>
                      <w:szCs w:val="21"/>
                    </w:rPr>
                    <w:t>800</w:t>
                  </w:r>
                </w:p>
              </w:tc>
              <w:tc>
                <w:tcPr>
                  <w:tcW w:w="1010" w:type="pct"/>
                  <w:shd w:val="clear" w:color="auto" w:fill="auto"/>
                  <w:noWrap w:val="0"/>
                  <w:vAlign w:val="center"/>
                </w:tcPr>
                <w:p>
                  <w:pPr>
                    <w:adjustRightInd w:val="0"/>
                    <w:spacing w:line="240" w:lineRule="auto"/>
                    <w:jc w:val="center"/>
                    <w:rPr>
                      <w:sz w:val="21"/>
                      <w:szCs w:val="21"/>
                    </w:rPr>
                  </w:pPr>
                  <w:r>
                    <w:rPr>
                      <w:sz w:val="21"/>
                      <w:szCs w:val="21"/>
                    </w:rPr>
                    <w:t>2500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6</w:t>
                  </w:r>
                </w:p>
              </w:tc>
              <w:tc>
                <w:tcPr>
                  <w:tcW w:w="1305" w:type="pct"/>
                  <w:shd w:val="clear" w:color="auto" w:fill="auto"/>
                  <w:noWrap w:val="0"/>
                  <w:vAlign w:val="center"/>
                </w:tcPr>
                <w:p>
                  <w:pPr>
                    <w:adjustRightInd w:val="0"/>
                    <w:spacing w:line="240" w:lineRule="auto"/>
                    <w:jc w:val="center"/>
                    <w:rPr>
                      <w:sz w:val="21"/>
                      <w:szCs w:val="21"/>
                    </w:rPr>
                  </w:pPr>
                  <w:r>
                    <w:rPr>
                      <w:sz w:val="21"/>
                      <w:szCs w:val="21"/>
                    </w:rPr>
                    <w:t>汞</w:t>
                  </w:r>
                </w:p>
              </w:tc>
              <w:tc>
                <w:tcPr>
                  <w:tcW w:w="1020" w:type="pct"/>
                  <w:shd w:val="clear" w:color="auto" w:fill="auto"/>
                  <w:noWrap w:val="0"/>
                  <w:vAlign w:val="center"/>
                </w:tcPr>
                <w:p>
                  <w:pPr>
                    <w:adjustRightInd w:val="0"/>
                    <w:spacing w:line="240" w:lineRule="auto"/>
                    <w:jc w:val="center"/>
                    <w:rPr>
                      <w:sz w:val="21"/>
                      <w:szCs w:val="21"/>
                    </w:rPr>
                  </w:pPr>
                  <w:r>
                    <w:rPr>
                      <w:sz w:val="21"/>
                      <w:szCs w:val="21"/>
                    </w:rPr>
                    <w:t>7439-97-6</w:t>
                  </w:r>
                </w:p>
              </w:tc>
              <w:tc>
                <w:tcPr>
                  <w:tcW w:w="1018" w:type="pct"/>
                  <w:shd w:val="clear" w:color="auto" w:fill="auto"/>
                  <w:noWrap w:val="0"/>
                  <w:vAlign w:val="center"/>
                </w:tcPr>
                <w:p>
                  <w:pPr>
                    <w:adjustRightInd w:val="0"/>
                    <w:spacing w:line="240" w:lineRule="auto"/>
                    <w:jc w:val="center"/>
                    <w:rPr>
                      <w:sz w:val="21"/>
                      <w:szCs w:val="21"/>
                    </w:rPr>
                  </w:pPr>
                  <w:r>
                    <w:rPr>
                      <w:sz w:val="21"/>
                      <w:szCs w:val="21"/>
                    </w:rPr>
                    <w:t>38</w:t>
                  </w:r>
                </w:p>
              </w:tc>
              <w:tc>
                <w:tcPr>
                  <w:tcW w:w="1010" w:type="pct"/>
                  <w:shd w:val="clear" w:color="auto" w:fill="auto"/>
                  <w:noWrap w:val="0"/>
                  <w:vAlign w:val="center"/>
                </w:tcPr>
                <w:p>
                  <w:pPr>
                    <w:adjustRightInd w:val="0"/>
                    <w:spacing w:line="240" w:lineRule="auto"/>
                    <w:jc w:val="center"/>
                    <w:rPr>
                      <w:sz w:val="21"/>
                      <w:szCs w:val="21"/>
                    </w:rPr>
                  </w:pPr>
                  <w:r>
                    <w:rPr>
                      <w:sz w:val="21"/>
                      <w:szCs w:val="21"/>
                    </w:rPr>
                    <w:t>82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7</w:t>
                  </w:r>
                </w:p>
              </w:tc>
              <w:tc>
                <w:tcPr>
                  <w:tcW w:w="1305" w:type="pct"/>
                  <w:shd w:val="clear" w:color="auto" w:fill="auto"/>
                  <w:noWrap w:val="0"/>
                  <w:vAlign w:val="center"/>
                </w:tcPr>
                <w:p>
                  <w:pPr>
                    <w:adjustRightInd w:val="0"/>
                    <w:spacing w:line="240" w:lineRule="auto"/>
                    <w:jc w:val="center"/>
                    <w:rPr>
                      <w:sz w:val="21"/>
                      <w:szCs w:val="21"/>
                    </w:rPr>
                  </w:pPr>
                  <w:r>
                    <w:rPr>
                      <w:sz w:val="21"/>
                      <w:szCs w:val="21"/>
                    </w:rPr>
                    <w:t>镍</w:t>
                  </w:r>
                </w:p>
              </w:tc>
              <w:tc>
                <w:tcPr>
                  <w:tcW w:w="1020" w:type="pct"/>
                  <w:shd w:val="clear" w:color="auto" w:fill="auto"/>
                  <w:noWrap w:val="0"/>
                  <w:vAlign w:val="center"/>
                </w:tcPr>
                <w:p>
                  <w:pPr>
                    <w:adjustRightInd w:val="0"/>
                    <w:spacing w:line="240" w:lineRule="auto"/>
                    <w:jc w:val="center"/>
                    <w:rPr>
                      <w:sz w:val="21"/>
                      <w:szCs w:val="21"/>
                    </w:rPr>
                  </w:pPr>
                  <w:r>
                    <w:rPr>
                      <w:sz w:val="21"/>
                      <w:szCs w:val="21"/>
                    </w:rPr>
                    <w:t>7440-02-0</w:t>
                  </w:r>
                </w:p>
              </w:tc>
              <w:tc>
                <w:tcPr>
                  <w:tcW w:w="1018" w:type="pct"/>
                  <w:shd w:val="clear" w:color="auto" w:fill="auto"/>
                  <w:noWrap w:val="0"/>
                  <w:vAlign w:val="center"/>
                </w:tcPr>
                <w:p>
                  <w:pPr>
                    <w:adjustRightInd w:val="0"/>
                    <w:spacing w:line="240" w:lineRule="auto"/>
                    <w:jc w:val="center"/>
                    <w:rPr>
                      <w:sz w:val="21"/>
                      <w:szCs w:val="21"/>
                    </w:rPr>
                  </w:pPr>
                  <w:r>
                    <w:rPr>
                      <w:sz w:val="21"/>
                      <w:szCs w:val="21"/>
                    </w:rPr>
                    <w:t>900</w:t>
                  </w:r>
                </w:p>
              </w:tc>
              <w:tc>
                <w:tcPr>
                  <w:tcW w:w="1010" w:type="pct"/>
                  <w:shd w:val="clear" w:color="auto" w:fill="auto"/>
                  <w:noWrap w:val="0"/>
                  <w:vAlign w:val="center"/>
                </w:tcPr>
                <w:p>
                  <w:pPr>
                    <w:adjustRightInd w:val="0"/>
                    <w:spacing w:line="240" w:lineRule="auto"/>
                    <w:jc w:val="center"/>
                    <w:rPr>
                      <w:sz w:val="21"/>
                      <w:szCs w:val="21"/>
                    </w:rPr>
                  </w:pPr>
                  <w:r>
                    <w:rPr>
                      <w:sz w:val="21"/>
                      <w:szCs w:val="21"/>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00" w:type="pct"/>
                  <w:gridSpan w:val="5"/>
                  <w:shd w:val="clear" w:color="auto" w:fill="auto"/>
                  <w:noWrap w:val="0"/>
                  <w:vAlign w:val="center"/>
                </w:tcPr>
                <w:p>
                  <w:pPr>
                    <w:adjustRightInd w:val="0"/>
                    <w:spacing w:line="240" w:lineRule="auto"/>
                    <w:jc w:val="center"/>
                    <w:rPr>
                      <w:sz w:val="21"/>
                      <w:szCs w:val="21"/>
                    </w:rPr>
                  </w:pPr>
                  <w:r>
                    <w:rPr>
                      <w:sz w:val="21"/>
                      <w:szCs w:val="21"/>
                    </w:rPr>
                    <w:t>挥发性有机物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8</w:t>
                  </w:r>
                </w:p>
              </w:tc>
              <w:tc>
                <w:tcPr>
                  <w:tcW w:w="1305" w:type="pct"/>
                  <w:shd w:val="clear" w:color="auto" w:fill="auto"/>
                  <w:noWrap w:val="0"/>
                  <w:vAlign w:val="center"/>
                </w:tcPr>
                <w:p>
                  <w:pPr>
                    <w:adjustRightInd w:val="0"/>
                    <w:spacing w:line="240" w:lineRule="auto"/>
                    <w:jc w:val="center"/>
                    <w:rPr>
                      <w:sz w:val="21"/>
                      <w:szCs w:val="21"/>
                    </w:rPr>
                  </w:pPr>
                  <w:r>
                    <w:rPr>
                      <w:sz w:val="21"/>
                      <w:szCs w:val="21"/>
                    </w:rPr>
                    <w:t>四氯化碳</w:t>
                  </w:r>
                </w:p>
              </w:tc>
              <w:tc>
                <w:tcPr>
                  <w:tcW w:w="1020" w:type="pct"/>
                  <w:shd w:val="clear" w:color="auto" w:fill="auto"/>
                  <w:noWrap w:val="0"/>
                  <w:vAlign w:val="center"/>
                </w:tcPr>
                <w:p>
                  <w:pPr>
                    <w:adjustRightInd w:val="0"/>
                    <w:spacing w:line="240" w:lineRule="auto"/>
                    <w:jc w:val="center"/>
                    <w:rPr>
                      <w:sz w:val="21"/>
                      <w:szCs w:val="21"/>
                    </w:rPr>
                  </w:pPr>
                  <w:r>
                    <w:rPr>
                      <w:sz w:val="21"/>
                      <w:szCs w:val="21"/>
                    </w:rPr>
                    <w:t>56-23-5</w:t>
                  </w:r>
                </w:p>
              </w:tc>
              <w:tc>
                <w:tcPr>
                  <w:tcW w:w="1018" w:type="pct"/>
                  <w:shd w:val="clear" w:color="auto" w:fill="auto"/>
                  <w:noWrap w:val="0"/>
                  <w:vAlign w:val="center"/>
                </w:tcPr>
                <w:p>
                  <w:pPr>
                    <w:adjustRightInd w:val="0"/>
                    <w:spacing w:line="240" w:lineRule="auto"/>
                    <w:jc w:val="center"/>
                    <w:rPr>
                      <w:sz w:val="21"/>
                      <w:szCs w:val="21"/>
                    </w:rPr>
                  </w:pPr>
                  <w:r>
                    <w:rPr>
                      <w:sz w:val="21"/>
                      <w:szCs w:val="21"/>
                    </w:rPr>
                    <w:t>2.8</w:t>
                  </w:r>
                </w:p>
              </w:tc>
              <w:tc>
                <w:tcPr>
                  <w:tcW w:w="1010" w:type="pct"/>
                  <w:shd w:val="clear" w:color="auto" w:fill="auto"/>
                  <w:noWrap w:val="0"/>
                  <w:vAlign w:val="center"/>
                </w:tcPr>
                <w:p>
                  <w:pPr>
                    <w:adjustRightInd w:val="0"/>
                    <w:spacing w:line="240" w:lineRule="auto"/>
                    <w:jc w:val="center"/>
                    <w:rPr>
                      <w:sz w:val="21"/>
                      <w:szCs w:val="21"/>
                    </w:rPr>
                  </w:pPr>
                  <w:r>
                    <w:rPr>
                      <w:sz w:val="21"/>
                      <w:szCs w:val="21"/>
                    </w:rPr>
                    <w:t>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4"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9</w:t>
                  </w:r>
                </w:p>
              </w:tc>
              <w:tc>
                <w:tcPr>
                  <w:tcW w:w="1305" w:type="pct"/>
                  <w:shd w:val="clear" w:color="auto" w:fill="auto"/>
                  <w:noWrap w:val="0"/>
                  <w:vAlign w:val="center"/>
                </w:tcPr>
                <w:p>
                  <w:pPr>
                    <w:adjustRightInd w:val="0"/>
                    <w:spacing w:line="240" w:lineRule="auto"/>
                    <w:jc w:val="center"/>
                    <w:rPr>
                      <w:sz w:val="21"/>
                      <w:szCs w:val="21"/>
                    </w:rPr>
                  </w:pPr>
                  <w:r>
                    <w:rPr>
                      <w:sz w:val="21"/>
                      <w:szCs w:val="21"/>
                    </w:rPr>
                    <w:t>氯仿</w:t>
                  </w:r>
                </w:p>
              </w:tc>
              <w:tc>
                <w:tcPr>
                  <w:tcW w:w="1020" w:type="pct"/>
                  <w:shd w:val="clear" w:color="auto" w:fill="auto"/>
                  <w:noWrap w:val="0"/>
                  <w:vAlign w:val="center"/>
                </w:tcPr>
                <w:p>
                  <w:pPr>
                    <w:adjustRightInd w:val="0"/>
                    <w:spacing w:line="240" w:lineRule="auto"/>
                    <w:jc w:val="center"/>
                    <w:rPr>
                      <w:sz w:val="21"/>
                      <w:szCs w:val="21"/>
                    </w:rPr>
                  </w:pPr>
                  <w:r>
                    <w:rPr>
                      <w:sz w:val="21"/>
                      <w:szCs w:val="21"/>
                    </w:rPr>
                    <w:t>67-66-3</w:t>
                  </w:r>
                </w:p>
              </w:tc>
              <w:tc>
                <w:tcPr>
                  <w:tcW w:w="1018" w:type="pct"/>
                  <w:shd w:val="clear" w:color="auto" w:fill="auto"/>
                  <w:noWrap w:val="0"/>
                  <w:vAlign w:val="center"/>
                </w:tcPr>
                <w:p>
                  <w:pPr>
                    <w:adjustRightInd w:val="0"/>
                    <w:spacing w:line="240" w:lineRule="auto"/>
                    <w:jc w:val="center"/>
                    <w:rPr>
                      <w:sz w:val="21"/>
                      <w:szCs w:val="21"/>
                    </w:rPr>
                  </w:pPr>
                  <w:r>
                    <w:rPr>
                      <w:sz w:val="21"/>
                      <w:szCs w:val="21"/>
                    </w:rPr>
                    <w:t>0.9</w:t>
                  </w:r>
                </w:p>
              </w:tc>
              <w:tc>
                <w:tcPr>
                  <w:tcW w:w="1010" w:type="pct"/>
                  <w:shd w:val="clear" w:color="auto" w:fill="auto"/>
                  <w:noWrap w:val="0"/>
                  <w:vAlign w:val="center"/>
                </w:tcPr>
                <w:p>
                  <w:pPr>
                    <w:adjustRightInd w:val="0"/>
                    <w:spacing w:line="240" w:lineRule="auto"/>
                    <w:jc w:val="center"/>
                    <w:rPr>
                      <w:sz w:val="21"/>
                      <w:szCs w:val="21"/>
                    </w:rPr>
                  </w:pPr>
                  <w:r>
                    <w:rPr>
                      <w:sz w:val="21"/>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10</w:t>
                  </w:r>
                </w:p>
              </w:tc>
              <w:tc>
                <w:tcPr>
                  <w:tcW w:w="1305" w:type="pct"/>
                  <w:shd w:val="clear" w:color="auto" w:fill="auto"/>
                  <w:noWrap w:val="0"/>
                  <w:vAlign w:val="center"/>
                </w:tcPr>
                <w:p>
                  <w:pPr>
                    <w:adjustRightInd w:val="0"/>
                    <w:spacing w:line="240" w:lineRule="auto"/>
                    <w:jc w:val="center"/>
                    <w:rPr>
                      <w:sz w:val="21"/>
                      <w:szCs w:val="21"/>
                    </w:rPr>
                  </w:pPr>
                  <w:r>
                    <w:rPr>
                      <w:sz w:val="21"/>
                      <w:szCs w:val="21"/>
                    </w:rPr>
                    <w:t>氯甲烷</w:t>
                  </w:r>
                </w:p>
              </w:tc>
              <w:tc>
                <w:tcPr>
                  <w:tcW w:w="1020" w:type="pct"/>
                  <w:shd w:val="clear" w:color="auto" w:fill="auto"/>
                  <w:noWrap w:val="0"/>
                  <w:vAlign w:val="center"/>
                </w:tcPr>
                <w:p>
                  <w:pPr>
                    <w:adjustRightInd w:val="0"/>
                    <w:spacing w:line="240" w:lineRule="auto"/>
                    <w:jc w:val="center"/>
                    <w:rPr>
                      <w:sz w:val="21"/>
                      <w:szCs w:val="21"/>
                    </w:rPr>
                  </w:pPr>
                  <w:r>
                    <w:rPr>
                      <w:sz w:val="21"/>
                      <w:szCs w:val="21"/>
                    </w:rPr>
                    <w:t>74-87-3</w:t>
                  </w:r>
                </w:p>
              </w:tc>
              <w:tc>
                <w:tcPr>
                  <w:tcW w:w="1018" w:type="pct"/>
                  <w:shd w:val="clear" w:color="auto" w:fill="auto"/>
                  <w:noWrap w:val="0"/>
                  <w:vAlign w:val="center"/>
                </w:tcPr>
                <w:p>
                  <w:pPr>
                    <w:adjustRightInd w:val="0"/>
                    <w:spacing w:line="240" w:lineRule="auto"/>
                    <w:jc w:val="center"/>
                    <w:rPr>
                      <w:sz w:val="21"/>
                      <w:szCs w:val="21"/>
                    </w:rPr>
                  </w:pPr>
                  <w:r>
                    <w:rPr>
                      <w:sz w:val="21"/>
                      <w:szCs w:val="21"/>
                    </w:rPr>
                    <w:t>37</w:t>
                  </w:r>
                </w:p>
              </w:tc>
              <w:tc>
                <w:tcPr>
                  <w:tcW w:w="1010" w:type="pct"/>
                  <w:shd w:val="clear" w:color="auto" w:fill="auto"/>
                  <w:noWrap w:val="0"/>
                  <w:vAlign w:val="center"/>
                </w:tcPr>
                <w:p>
                  <w:pPr>
                    <w:adjustRightInd w:val="0"/>
                    <w:spacing w:line="240" w:lineRule="auto"/>
                    <w:jc w:val="center"/>
                    <w:rPr>
                      <w:sz w:val="21"/>
                      <w:szCs w:val="21"/>
                    </w:rPr>
                  </w:pPr>
                  <w:r>
                    <w:rPr>
                      <w:sz w:val="21"/>
                      <w:szCs w:val="21"/>
                    </w:rPr>
                    <w:t>120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11</w:t>
                  </w:r>
                </w:p>
              </w:tc>
              <w:tc>
                <w:tcPr>
                  <w:tcW w:w="1305" w:type="pct"/>
                  <w:shd w:val="clear" w:color="auto" w:fill="auto"/>
                  <w:noWrap w:val="0"/>
                  <w:vAlign w:val="center"/>
                </w:tcPr>
                <w:p>
                  <w:pPr>
                    <w:adjustRightInd w:val="0"/>
                    <w:spacing w:line="240" w:lineRule="auto"/>
                    <w:jc w:val="center"/>
                    <w:rPr>
                      <w:sz w:val="21"/>
                      <w:szCs w:val="21"/>
                    </w:rPr>
                  </w:pPr>
                  <w:r>
                    <w:rPr>
                      <w:sz w:val="21"/>
                      <w:szCs w:val="21"/>
                    </w:rPr>
                    <w:t>1,1-二氯乙烷</w:t>
                  </w:r>
                </w:p>
              </w:tc>
              <w:tc>
                <w:tcPr>
                  <w:tcW w:w="1020" w:type="pct"/>
                  <w:shd w:val="clear" w:color="auto" w:fill="auto"/>
                  <w:noWrap w:val="0"/>
                  <w:vAlign w:val="center"/>
                </w:tcPr>
                <w:p>
                  <w:pPr>
                    <w:adjustRightInd w:val="0"/>
                    <w:spacing w:line="240" w:lineRule="auto"/>
                    <w:jc w:val="center"/>
                    <w:rPr>
                      <w:sz w:val="21"/>
                      <w:szCs w:val="21"/>
                    </w:rPr>
                  </w:pPr>
                  <w:r>
                    <w:rPr>
                      <w:sz w:val="21"/>
                      <w:szCs w:val="21"/>
                    </w:rPr>
                    <w:t>75-34-3</w:t>
                  </w:r>
                </w:p>
              </w:tc>
              <w:tc>
                <w:tcPr>
                  <w:tcW w:w="1018" w:type="pct"/>
                  <w:shd w:val="clear" w:color="auto" w:fill="auto"/>
                  <w:noWrap w:val="0"/>
                  <w:vAlign w:val="center"/>
                </w:tcPr>
                <w:p>
                  <w:pPr>
                    <w:adjustRightInd w:val="0"/>
                    <w:spacing w:line="240" w:lineRule="auto"/>
                    <w:jc w:val="center"/>
                    <w:rPr>
                      <w:sz w:val="21"/>
                      <w:szCs w:val="21"/>
                    </w:rPr>
                  </w:pPr>
                  <w:r>
                    <w:rPr>
                      <w:sz w:val="21"/>
                      <w:szCs w:val="21"/>
                    </w:rPr>
                    <w:t>9</w:t>
                  </w:r>
                </w:p>
              </w:tc>
              <w:tc>
                <w:tcPr>
                  <w:tcW w:w="1010" w:type="pct"/>
                  <w:shd w:val="clear" w:color="auto" w:fill="auto"/>
                  <w:noWrap w:val="0"/>
                  <w:vAlign w:val="center"/>
                </w:tcPr>
                <w:p>
                  <w:pPr>
                    <w:adjustRightInd w:val="0"/>
                    <w:spacing w:line="240" w:lineRule="auto"/>
                    <w:jc w:val="center"/>
                    <w:rPr>
                      <w:sz w:val="21"/>
                      <w:szCs w:val="21"/>
                    </w:rPr>
                  </w:pPr>
                  <w:r>
                    <w:rPr>
                      <w:sz w:val="21"/>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1"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12</w:t>
                  </w:r>
                </w:p>
              </w:tc>
              <w:tc>
                <w:tcPr>
                  <w:tcW w:w="1305" w:type="pct"/>
                  <w:shd w:val="clear" w:color="auto" w:fill="auto"/>
                  <w:noWrap w:val="0"/>
                  <w:vAlign w:val="center"/>
                </w:tcPr>
                <w:p>
                  <w:pPr>
                    <w:adjustRightInd w:val="0"/>
                    <w:spacing w:line="240" w:lineRule="auto"/>
                    <w:jc w:val="center"/>
                    <w:rPr>
                      <w:sz w:val="21"/>
                      <w:szCs w:val="21"/>
                    </w:rPr>
                  </w:pPr>
                  <w:r>
                    <w:rPr>
                      <w:sz w:val="21"/>
                      <w:szCs w:val="21"/>
                    </w:rPr>
                    <w:t>1,2-二氯乙烷</w:t>
                  </w:r>
                </w:p>
              </w:tc>
              <w:tc>
                <w:tcPr>
                  <w:tcW w:w="1020" w:type="pct"/>
                  <w:shd w:val="clear" w:color="auto" w:fill="auto"/>
                  <w:noWrap w:val="0"/>
                  <w:vAlign w:val="center"/>
                </w:tcPr>
                <w:p>
                  <w:pPr>
                    <w:adjustRightInd w:val="0"/>
                    <w:spacing w:line="240" w:lineRule="auto"/>
                    <w:jc w:val="center"/>
                    <w:rPr>
                      <w:sz w:val="21"/>
                      <w:szCs w:val="21"/>
                    </w:rPr>
                  </w:pPr>
                  <w:r>
                    <w:rPr>
                      <w:sz w:val="21"/>
                      <w:szCs w:val="21"/>
                    </w:rPr>
                    <w:t>107-06-2</w:t>
                  </w:r>
                </w:p>
              </w:tc>
              <w:tc>
                <w:tcPr>
                  <w:tcW w:w="1018" w:type="pct"/>
                  <w:shd w:val="clear" w:color="auto" w:fill="auto"/>
                  <w:noWrap w:val="0"/>
                  <w:vAlign w:val="center"/>
                </w:tcPr>
                <w:p>
                  <w:pPr>
                    <w:adjustRightInd w:val="0"/>
                    <w:spacing w:line="240" w:lineRule="auto"/>
                    <w:jc w:val="center"/>
                    <w:rPr>
                      <w:sz w:val="21"/>
                      <w:szCs w:val="21"/>
                    </w:rPr>
                  </w:pPr>
                  <w:r>
                    <w:rPr>
                      <w:sz w:val="21"/>
                      <w:szCs w:val="21"/>
                    </w:rPr>
                    <w:t>5</w:t>
                  </w:r>
                </w:p>
              </w:tc>
              <w:tc>
                <w:tcPr>
                  <w:tcW w:w="1010" w:type="pct"/>
                  <w:shd w:val="clear" w:color="auto" w:fill="auto"/>
                  <w:noWrap w:val="0"/>
                  <w:vAlign w:val="center"/>
                </w:tcPr>
                <w:p>
                  <w:pPr>
                    <w:adjustRightInd w:val="0"/>
                    <w:spacing w:line="240" w:lineRule="auto"/>
                    <w:jc w:val="center"/>
                    <w:rPr>
                      <w:sz w:val="21"/>
                      <w:szCs w:val="21"/>
                    </w:rPr>
                  </w:pPr>
                  <w:r>
                    <w:rPr>
                      <w:sz w:val="21"/>
                      <w:szCs w:val="21"/>
                    </w:rPr>
                    <w:t>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2"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13</w:t>
                  </w:r>
                </w:p>
              </w:tc>
              <w:tc>
                <w:tcPr>
                  <w:tcW w:w="1305" w:type="pct"/>
                  <w:shd w:val="clear" w:color="auto" w:fill="auto"/>
                  <w:noWrap w:val="0"/>
                  <w:vAlign w:val="center"/>
                </w:tcPr>
                <w:p>
                  <w:pPr>
                    <w:adjustRightInd w:val="0"/>
                    <w:spacing w:line="240" w:lineRule="auto"/>
                    <w:jc w:val="center"/>
                    <w:rPr>
                      <w:sz w:val="21"/>
                      <w:szCs w:val="21"/>
                    </w:rPr>
                  </w:pPr>
                  <w:r>
                    <w:rPr>
                      <w:sz w:val="21"/>
                      <w:szCs w:val="21"/>
                    </w:rPr>
                    <w:t>1,1-二氯乙烯</w:t>
                  </w:r>
                </w:p>
              </w:tc>
              <w:tc>
                <w:tcPr>
                  <w:tcW w:w="1020" w:type="pct"/>
                  <w:shd w:val="clear" w:color="auto" w:fill="auto"/>
                  <w:noWrap w:val="0"/>
                  <w:vAlign w:val="center"/>
                </w:tcPr>
                <w:p>
                  <w:pPr>
                    <w:adjustRightInd w:val="0"/>
                    <w:spacing w:line="240" w:lineRule="auto"/>
                    <w:jc w:val="center"/>
                    <w:rPr>
                      <w:sz w:val="21"/>
                      <w:szCs w:val="21"/>
                    </w:rPr>
                  </w:pPr>
                  <w:r>
                    <w:rPr>
                      <w:sz w:val="21"/>
                      <w:szCs w:val="21"/>
                    </w:rPr>
                    <w:t>75-35-4</w:t>
                  </w:r>
                </w:p>
              </w:tc>
              <w:tc>
                <w:tcPr>
                  <w:tcW w:w="1018" w:type="pct"/>
                  <w:shd w:val="clear" w:color="auto" w:fill="auto"/>
                  <w:noWrap w:val="0"/>
                  <w:vAlign w:val="center"/>
                </w:tcPr>
                <w:p>
                  <w:pPr>
                    <w:adjustRightInd w:val="0"/>
                    <w:spacing w:line="240" w:lineRule="auto"/>
                    <w:jc w:val="center"/>
                    <w:rPr>
                      <w:sz w:val="21"/>
                      <w:szCs w:val="21"/>
                    </w:rPr>
                  </w:pPr>
                  <w:r>
                    <w:rPr>
                      <w:sz w:val="21"/>
                      <w:szCs w:val="21"/>
                    </w:rPr>
                    <w:t>66</w:t>
                  </w:r>
                </w:p>
              </w:tc>
              <w:tc>
                <w:tcPr>
                  <w:tcW w:w="1010" w:type="pct"/>
                  <w:shd w:val="clear" w:color="auto" w:fill="auto"/>
                  <w:noWrap w:val="0"/>
                  <w:vAlign w:val="center"/>
                </w:tcPr>
                <w:p>
                  <w:pPr>
                    <w:adjustRightInd w:val="0"/>
                    <w:spacing w:line="240" w:lineRule="auto"/>
                    <w:jc w:val="center"/>
                    <w:rPr>
                      <w:sz w:val="21"/>
                      <w:szCs w:val="21"/>
                    </w:rPr>
                  </w:pPr>
                  <w:r>
                    <w:rPr>
                      <w:sz w:val="21"/>
                      <w:szCs w:val="21"/>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14</w:t>
                  </w:r>
                </w:p>
              </w:tc>
              <w:tc>
                <w:tcPr>
                  <w:tcW w:w="1305" w:type="pct"/>
                  <w:shd w:val="clear" w:color="auto" w:fill="auto"/>
                  <w:noWrap w:val="0"/>
                  <w:vAlign w:val="center"/>
                </w:tcPr>
                <w:p>
                  <w:pPr>
                    <w:adjustRightInd w:val="0"/>
                    <w:spacing w:line="240" w:lineRule="auto"/>
                    <w:jc w:val="center"/>
                    <w:rPr>
                      <w:sz w:val="21"/>
                      <w:szCs w:val="21"/>
                    </w:rPr>
                  </w:pPr>
                  <w:r>
                    <w:rPr>
                      <w:sz w:val="21"/>
                      <w:szCs w:val="21"/>
                    </w:rPr>
                    <w:t>顺-1,2-二氯乙烯</w:t>
                  </w:r>
                </w:p>
              </w:tc>
              <w:tc>
                <w:tcPr>
                  <w:tcW w:w="1020" w:type="pct"/>
                  <w:shd w:val="clear" w:color="auto" w:fill="auto"/>
                  <w:noWrap w:val="0"/>
                  <w:vAlign w:val="center"/>
                </w:tcPr>
                <w:p>
                  <w:pPr>
                    <w:adjustRightInd w:val="0"/>
                    <w:spacing w:line="240" w:lineRule="auto"/>
                    <w:jc w:val="center"/>
                    <w:rPr>
                      <w:sz w:val="21"/>
                      <w:szCs w:val="21"/>
                    </w:rPr>
                  </w:pPr>
                  <w:r>
                    <w:rPr>
                      <w:sz w:val="21"/>
                      <w:szCs w:val="21"/>
                    </w:rPr>
                    <w:t>156-59-2</w:t>
                  </w:r>
                </w:p>
              </w:tc>
              <w:tc>
                <w:tcPr>
                  <w:tcW w:w="1018" w:type="pct"/>
                  <w:shd w:val="clear" w:color="auto" w:fill="auto"/>
                  <w:noWrap w:val="0"/>
                  <w:vAlign w:val="center"/>
                </w:tcPr>
                <w:p>
                  <w:pPr>
                    <w:adjustRightInd w:val="0"/>
                    <w:spacing w:line="240" w:lineRule="auto"/>
                    <w:jc w:val="center"/>
                    <w:rPr>
                      <w:sz w:val="21"/>
                      <w:szCs w:val="21"/>
                    </w:rPr>
                  </w:pPr>
                  <w:r>
                    <w:rPr>
                      <w:sz w:val="21"/>
                      <w:szCs w:val="21"/>
                    </w:rPr>
                    <w:t>596</w:t>
                  </w:r>
                </w:p>
              </w:tc>
              <w:tc>
                <w:tcPr>
                  <w:tcW w:w="1010" w:type="pct"/>
                  <w:shd w:val="clear" w:color="auto" w:fill="auto"/>
                  <w:noWrap w:val="0"/>
                  <w:vAlign w:val="center"/>
                </w:tcPr>
                <w:p>
                  <w:pPr>
                    <w:adjustRightInd w:val="0"/>
                    <w:spacing w:line="240" w:lineRule="auto"/>
                    <w:jc w:val="center"/>
                    <w:rPr>
                      <w:sz w:val="21"/>
                      <w:szCs w:val="21"/>
                    </w:rPr>
                  </w:pPr>
                  <w:r>
                    <w:rPr>
                      <w:sz w:val="21"/>
                      <w:szCs w:val="21"/>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2"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15</w:t>
                  </w:r>
                </w:p>
              </w:tc>
              <w:tc>
                <w:tcPr>
                  <w:tcW w:w="1305" w:type="pct"/>
                  <w:shd w:val="clear" w:color="auto" w:fill="auto"/>
                  <w:noWrap w:val="0"/>
                  <w:vAlign w:val="center"/>
                </w:tcPr>
                <w:p>
                  <w:pPr>
                    <w:adjustRightInd w:val="0"/>
                    <w:spacing w:line="240" w:lineRule="auto"/>
                    <w:jc w:val="center"/>
                    <w:rPr>
                      <w:sz w:val="21"/>
                      <w:szCs w:val="21"/>
                    </w:rPr>
                  </w:pPr>
                  <w:r>
                    <w:rPr>
                      <w:sz w:val="21"/>
                      <w:szCs w:val="21"/>
                    </w:rPr>
                    <w:t>反-1,2-二氯乙烯</w:t>
                  </w:r>
                </w:p>
              </w:tc>
              <w:tc>
                <w:tcPr>
                  <w:tcW w:w="1020" w:type="pct"/>
                  <w:shd w:val="clear" w:color="auto" w:fill="auto"/>
                  <w:noWrap w:val="0"/>
                  <w:vAlign w:val="center"/>
                </w:tcPr>
                <w:p>
                  <w:pPr>
                    <w:adjustRightInd w:val="0"/>
                    <w:spacing w:line="240" w:lineRule="auto"/>
                    <w:jc w:val="center"/>
                    <w:rPr>
                      <w:sz w:val="21"/>
                      <w:szCs w:val="21"/>
                    </w:rPr>
                  </w:pPr>
                  <w:r>
                    <w:rPr>
                      <w:sz w:val="21"/>
                      <w:szCs w:val="21"/>
                    </w:rPr>
                    <w:t>156-60-5</w:t>
                  </w:r>
                </w:p>
              </w:tc>
              <w:tc>
                <w:tcPr>
                  <w:tcW w:w="1018" w:type="pct"/>
                  <w:shd w:val="clear" w:color="auto" w:fill="auto"/>
                  <w:noWrap w:val="0"/>
                  <w:vAlign w:val="center"/>
                </w:tcPr>
                <w:p>
                  <w:pPr>
                    <w:adjustRightInd w:val="0"/>
                    <w:spacing w:line="240" w:lineRule="auto"/>
                    <w:jc w:val="center"/>
                    <w:rPr>
                      <w:sz w:val="21"/>
                      <w:szCs w:val="21"/>
                    </w:rPr>
                  </w:pPr>
                  <w:r>
                    <w:rPr>
                      <w:sz w:val="21"/>
                      <w:szCs w:val="21"/>
                    </w:rPr>
                    <w:t>54</w:t>
                  </w:r>
                </w:p>
              </w:tc>
              <w:tc>
                <w:tcPr>
                  <w:tcW w:w="1010" w:type="pct"/>
                  <w:shd w:val="clear" w:color="auto" w:fill="auto"/>
                  <w:noWrap w:val="0"/>
                  <w:vAlign w:val="center"/>
                </w:tcPr>
                <w:p>
                  <w:pPr>
                    <w:adjustRightInd w:val="0"/>
                    <w:spacing w:line="240" w:lineRule="auto"/>
                    <w:jc w:val="center"/>
                    <w:rPr>
                      <w:sz w:val="21"/>
                      <w:szCs w:val="21"/>
                    </w:rPr>
                  </w:pPr>
                  <w:r>
                    <w:rPr>
                      <w:sz w:val="21"/>
                      <w:szCs w:val="21"/>
                    </w:rPr>
                    <w:t>163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16</w:t>
                  </w:r>
                </w:p>
              </w:tc>
              <w:tc>
                <w:tcPr>
                  <w:tcW w:w="1305" w:type="pct"/>
                  <w:shd w:val="clear" w:color="auto" w:fill="auto"/>
                  <w:noWrap w:val="0"/>
                  <w:vAlign w:val="center"/>
                </w:tcPr>
                <w:p>
                  <w:pPr>
                    <w:adjustRightInd w:val="0"/>
                    <w:spacing w:line="240" w:lineRule="auto"/>
                    <w:jc w:val="center"/>
                    <w:rPr>
                      <w:sz w:val="21"/>
                      <w:szCs w:val="21"/>
                    </w:rPr>
                  </w:pPr>
                  <w:r>
                    <w:rPr>
                      <w:sz w:val="21"/>
                      <w:szCs w:val="21"/>
                    </w:rPr>
                    <w:t>二氯甲烷</w:t>
                  </w:r>
                </w:p>
              </w:tc>
              <w:tc>
                <w:tcPr>
                  <w:tcW w:w="1020" w:type="pct"/>
                  <w:shd w:val="clear" w:color="auto" w:fill="auto"/>
                  <w:noWrap w:val="0"/>
                  <w:vAlign w:val="center"/>
                </w:tcPr>
                <w:p>
                  <w:pPr>
                    <w:adjustRightInd w:val="0"/>
                    <w:spacing w:line="240" w:lineRule="auto"/>
                    <w:jc w:val="center"/>
                    <w:rPr>
                      <w:sz w:val="21"/>
                      <w:szCs w:val="21"/>
                    </w:rPr>
                  </w:pPr>
                  <w:r>
                    <w:rPr>
                      <w:sz w:val="21"/>
                      <w:szCs w:val="21"/>
                    </w:rPr>
                    <w:t>75-09-2</w:t>
                  </w:r>
                </w:p>
              </w:tc>
              <w:tc>
                <w:tcPr>
                  <w:tcW w:w="1018" w:type="pct"/>
                  <w:shd w:val="clear" w:color="auto" w:fill="auto"/>
                  <w:noWrap w:val="0"/>
                  <w:vAlign w:val="center"/>
                </w:tcPr>
                <w:p>
                  <w:pPr>
                    <w:adjustRightInd w:val="0"/>
                    <w:spacing w:line="240" w:lineRule="auto"/>
                    <w:jc w:val="center"/>
                    <w:rPr>
                      <w:sz w:val="21"/>
                      <w:szCs w:val="21"/>
                    </w:rPr>
                  </w:pPr>
                  <w:r>
                    <w:rPr>
                      <w:sz w:val="21"/>
                      <w:szCs w:val="21"/>
                    </w:rPr>
                    <w:t>616</w:t>
                  </w:r>
                </w:p>
              </w:tc>
              <w:tc>
                <w:tcPr>
                  <w:tcW w:w="1010" w:type="pct"/>
                  <w:shd w:val="clear" w:color="auto" w:fill="auto"/>
                  <w:noWrap w:val="0"/>
                  <w:vAlign w:val="center"/>
                </w:tcPr>
                <w:p>
                  <w:pPr>
                    <w:adjustRightInd w:val="0"/>
                    <w:spacing w:line="240" w:lineRule="auto"/>
                    <w:jc w:val="center"/>
                    <w:rPr>
                      <w:sz w:val="21"/>
                      <w:szCs w:val="21"/>
                    </w:rPr>
                  </w:pPr>
                  <w:r>
                    <w:rPr>
                      <w:sz w:val="21"/>
                      <w:szCs w:val="21"/>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8"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17</w:t>
                  </w:r>
                </w:p>
              </w:tc>
              <w:tc>
                <w:tcPr>
                  <w:tcW w:w="1305" w:type="pct"/>
                  <w:shd w:val="clear" w:color="auto" w:fill="auto"/>
                  <w:noWrap w:val="0"/>
                  <w:vAlign w:val="center"/>
                </w:tcPr>
                <w:p>
                  <w:pPr>
                    <w:adjustRightInd w:val="0"/>
                    <w:spacing w:line="240" w:lineRule="auto"/>
                    <w:jc w:val="center"/>
                    <w:rPr>
                      <w:sz w:val="21"/>
                      <w:szCs w:val="21"/>
                    </w:rPr>
                  </w:pPr>
                  <w:r>
                    <w:rPr>
                      <w:sz w:val="21"/>
                      <w:szCs w:val="21"/>
                    </w:rPr>
                    <w:t>1,2-二氯丙烷</w:t>
                  </w:r>
                </w:p>
              </w:tc>
              <w:tc>
                <w:tcPr>
                  <w:tcW w:w="1020" w:type="pct"/>
                  <w:shd w:val="clear" w:color="auto" w:fill="auto"/>
                  <w:noWrap w:val="0"/>
                  <w:vAlign w:val="center"/>
                </w:tcPr>
                <w:p>
                  <w:pPr>
                    <w:adjustRightInd w:val="0"/>
                    <w:spacing w:line="240" w:lineRule="auto"/>
                    <w:jc w:val="center"/>
                    <w:rPr>
                      <w:sz w:val="21"/>
                      <w:szCs w:val="21"/>
                    </w:rPr>
                  </w:pPr>
                  <w:r>
                    <w:rPr>
                      <w:sz w:val="21"/>
                      <w:szCs w:val="21"/>
                    </w:rPr>
                    <w:t>78-87-5</w:t>
                  </w:r>
                </w:p>
              </w:tc>
              <w:tc>
                <w:tcPr>
                  <w:tcW w:w="1018" w:type="pct"/>
                  <w:shd w:val="clear" w:color="auto" w:fill="auto"/>
                  <w:noWrap w:val="0"/>
                  <w:vAlign w:val="center"/>
                </w:tcPr>
                <w:p>
                  <w:pPr>
                    <w:adjustRightInd w:val="0"/>
                    <w:spacing w:line="240" w:lineRule="auto"/>
                    <w:jc w:val="center"/>
                    <w:rPr>
                      <w:sz w:val="21"/>
                      <w:szCs w:val="21"/>
                    </w:rPr>
                  </w:pPr>
                  <w:r>
                    <w:rPr>
                      <w:sz w:val="21"/>
                      <w:szCs w:val="21"/>
                    </w:rPr>
                    <w:t>5</w:t>
                  </w:r>
                </w:p>
              </w:tc>
              <w:tc>
                <w:tcPr>
                  <w:tcW w:w="1010" w:type="pct"/>
                  <w:shd w:val="clear" w:color="auto" w:fill="auto"/>
                  <w:noWrap w:val="0"/>
                  <w:vAlign w:val="center"/>
                </w:tcPr>
                <w:p>
                  <w:pPr>
                    <w:adjustRightInd w:val="0"/>
                    <w:spacing w:line="240" w:lineRule="auto"/>
                    <w:jc w:val="center"/>
                    <w:rPr>
                      <w:sz w:val="21"/>
                      <w:szCs w:val="21"/>
                    </w:rPr>
                  </w:pPr>
                  <w:r>
                    <w:rPr>
                      <w:sz w:val="21"/>
                      <w:szCs w:val="21"/>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3"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18</w:t>
                  </w:r>
                </w:p>
              </w:tc>
              <w:tc>
                <w:tcPr>
                  <w:tcW w:w="1305" w:type="pct"/>
                  <w:shd w:val="clear" w:color="auto" w:fill="auto"/>
                  <w:noWrap w:val="0"/>
                  <w:vAlign w:val="center"/>
                </w:tcPr>
                <w:p>
                  <w:pPr>
                    <w:adjustRightInd w:val="0"/>
                    <w:spacing w:line="240" w:lineRule="auto"/>
                    <w:jc w:val="center"/>
                    <w:rPr>
                      <w:sz w:val="21"/>
                      <w:szCs w:val="21"/>
                    </w:rPr>
                  </w:pPr>
                  <w:r>
                    <w:rPr>
                      <w:sz w:val="21"/>
                      <w:szCs w:val="21"/>
                    </w:rPr>
                    <w:t>1,1,1,2-四氯乙烷</w:t>
                  </w:r>
                </w:p>
              </w:tc>
              <w:tc>
                <w:tcPr>
                  <w:tcW w:w="1020" w:type="pct"/>
                  <w:shd w:val="clear" w:color="auto" w:fill="auto"/>
                  <w:noWrap w:val="0"/>
                  <w:vAlign w:val="center"/>
                </w:tcPr>
                <w:p>
                  <w:pPr>
                    <w:adjustRightInd w:val="0"/>
                    <w:spacing w:line="240" w:lineRule="auto"/>
                    <w:jc w:val="center"/>
                    <w:rPr>
                      <w:sz w:val="21"/>
                      <w:szCs w:val="21"/>
                    </w:rPr>
                  </w:pPr>
                  <w:r>
                    <w:rPr>
                      <w:sz w:val="21"/>
                      <w:szCs w:val="21"/>
                    </w:rPr>
                    <w:t>630-20-6</w:t>
                  </w:r>
                </w:p>
              </w:tc>
              <w:tc>
                <w:tcPr>
                  <w:tcW w:w="1018" w:type="pct"/>
                  <w:shd w:val="clear" w:color="auto" w:fill="auto"/>
                  <w:noWrap w:val="0"/>
                  <w:vAlign w:val="center"/>
                </w:tcPr>
                <w:p>
                  <w:pPr>
                    <w:adjustRightInd w:val="0"/>
                    <w:spacing w:line="240" w:lineRule="auto"/>
                    <w:jc w:val="center"/>
                    <w:rPr>
                      <w:sz w:val="21"/>
                      <w:szCs w:val="21"/>
                    </w:rPr>
                  </w:pPr>
                  <w:r>
                    <w:rPr>
                      <w:sz w:val="21"/>
                      <w:szCs w:val="21"/>
                    </w:rPr>
                    <w:t>10</w:t>
                  </w:r>
                </w:p>
              </w:tc>
              <w:tc>
                <w:tcPr>
                  <w:tcW w:w="1010" w:type="pct"/>
                  <w:shd w:val="clear" w:color="auto" w:fill="auto"/>
                  <w:noWrap w:val="0"/>
                  <w:vAlign w:val="center"/>
                </w:tcPr>
                <w:p>
                  <w:pPr>
                    <w:adjustRightInd w:val="0"/>
                    <w:spacing w:line="240" w:lineRule="auto"/>
                    <w:jc w:val="center"/>
                    <w:rPr>
                      <w:sz w:val="21"/>
                      <w:szCs w:val="21"/>
                    </w:rPr>
                  </w:pPr>
                  <w:r>
                    <w:rPr>
                      <w:sz w:val="21"/>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6"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19</w:t>
                  </w:r>
                </w:p>
              </w:tc>
              <w:tc>
                <w:tcPr>
                  <w:tcW w:w="1305" w:type="pct"/>
                  <w:shd w:val="clear" w:color="auto" w:fill="auto"/>
                  <w:noWrap w:val="0"/>
                  <w:vAlign w:val="center"/>
                </w:tcPr>
                <w:p>
                  <w:pPr>
                    <w:adjustRightInd w:val="0"/>
                    <w:spacing w:line="240" w:lineRule="auto"/>
                    <w:jc w:val="center"/>
                    <w:rPr>
                      <w:sz w:val="21"/>
                      <w:szCs w:val="21"/>
                    </w:rPr>
                  </w:pPr>
                  <w:r>
                    <w:rPr>
                      <w:sz w:val="21"/>
                      <w:szCs w:val="21"/>
                    </w:rPr>
                    <w:t>1,1,2,2-四氯乙烷</w:t>
                  </w:r>
                </w:p>
              </w:tc>
              <w:tc>
                <w:tcPr>
                  <w:tcW w:w="1020" w:type="pct"/>
                  <w:shd w:val="clear" w:color="auto" w:fill="auto"/>
                  <w:noWrap w:val="0"/>
                  <w:vAlign w:val="center"/>
                </w:tcPr>
                <w:p>
                  <w:pPr>
                    <w:adjustRightInd w:val="0"/>
                    <w:spacing w:line="240" w:lineRule="auto"/>
                    <w:jc w:val="center"/>
                    <w:rPr>
                      <w:sz w:val="21"/>
                      <w:szCs w:val="21"/>
                    </w:rPr>
                  </w:pPr>
                  <w:r>
                    <w:rPr>
                      <w:sz w:val="21"/>
                      <w:szCs w:val="21"/>
                    </w:rPr>
                    <w:t>79-34-5</w:t>
                  </w:r>
                </w:p>
              </w:tc>
              <w:tc>
                <w:tcPr>
                  <w:tcW w:w="1018" w:type="pct"/>
                  <w:shd w:val="clear" w:color="auto" w:fill="auto"/>
                  <w:noWrap w:val="0"/>
                  <w:vAlign w:val="center"/>
                </w:tcPr>
                <w:p>
                  <w:pPr>
                    <w:adjustRightInd w:val="0"/>
                    <w:spacing w:line="240" w:lineRule="auto"/>
                    <w:jc w:val="center"/>
                    <w:rPr>
                      <w:sz w:val="21"/>
                      <w:szCs w:val="21"/>
                    </w:rPr>
                  </w:pPr>
                  <w:r>
                    <w:rPr>
                      <w:sz w:val="21"/>
                      <w:szCs w:val="21"/>
                    </w:rPr>
                    <w:t>6.8</w:t>
                  </w:r>
                </w:p>
              </w:tc>
              <w:tc>
                <w:tcPr>
                  <w:tcW w:w="1010" w:type="pct"/>
                  <w:shd w:val="clear" w:color="auto" w:fill="auto"/>
                  <w:noWrap w:val="0"/>
                  <w:vAlign w:val="center"/>
                </w:tcPr>
                <w:p>
                  <w:pPr>
                    <w:adjustRightInd w:val="0"/>
                    <w:spacing w:line="240" w:lineRule="auto"/>
                    <w:jc w:val="center"/>
                    <w:rPr>
                      <w:sz w:val="21"/>
                      <w:szCs w:val="21"/>
                    </w:rPr>
                  </w:pPr>
                  <w:r>
                    <w:rPr>
                      <w:sz w:val="21"/>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5"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20</w:t>
                  </w:r>
                </w:p>
              </w:tc>
              <w:tc>
                <w:tcPr>
                  <w:tcW w:w="1305" w:type="pct"/>
                  <w:shd w:val="clear" w:color="auto" w:fill="auto"/>
                  <w:noWrap w:val="0"/>
                  <w:vAlign w:val="center"/>
                </w:tcPr>
                <w:p>
                  <w:pPr>
                    <w:adjustRightInd w:val="0"/>
                    <w:spacing w:line="240" w:lineRule="auto"/>
                    <w:jc w:val="center"/>
                    <w:rPr>
                      <w:sz w:val="21"/>
                      <w:szCs w:val="21"/>
                    </w:rPr>
                  </w:pPr>
                  <w:r>
                    <w:rPr>
                      <w:sz w:val="21"/>
                      <w:szCs w:val="21"/>
                    </w:rPr>
                    <w:t>四氯乙烯</w:t>
                  </w:r>
                </w:p>
              </w:tc>
              <w:tc>
                <w:tcPr>
                  <w:tcW w:w="1020" w:type="pct"/>
                  <w:shd w:val="clear" w:color="auto" w:fill="auto"/>
                  <w:noWrap w:val="0"/>
                  <w:vAlign w:val="center"/>
                </w:tcPr>
                <w:p>
                  <w:pPr>
                    <w:adjustRightInd w:val="0"/>
                    <w:spacing w:line="240" w:lineRule="auto"/>
                    <w:jc w:val="center"/>
                    <w:rPr>
                      <w:sz w:val="21"/>
                      <w:szCs w:val="21"/>
                    </w:rPr>
                  </w:pPr>
                  <w:r>
                    <w:rPr>
                      <w:sz w:val="21"/>
                      <w:szCs w:val="21"/>
                    </w:rPr>
                    <w:t>127-18-4</w:t>
                  </w:r>
                </w:p>
              </w:tc>
              <w:tc>
                <w:tcPr>
                  <w:tcW w:w="1018" w:type="pct"/>
                  <w:shd w:val="clear" w:color="auto" w:fill="auto"/>
                  <w:noWrap w:val="0"/>
                  <w:vAlign w:val="center"/>
                </w:tcPr>
                <w:p>
                  <w:pPr>
                    <w:adjustRightInd w:val="0"/>
                    <w:spacing w:line="240" w:lineRule="auto"/>
                    <w:jc w:val="center"/>
                    <w:rPr>
                      <w:sz w:val="21"/>
                      <w:szCs w:val="21"/>
                    </w:rPr>
                  </w:pPr>
                  <w:r>
                    <w:rPr>
                      <w:sz w:val="21"/>
                      <w:szCs w:val="21"/>
                    </w:rPr>
                    <w:t>53</w:t>
                  </w:r>
                </w:p>
              </w:tc>
              <w:tc>
                <w:tcPr>
                  <w:tcW w:w="1010" w:type="pct"/>
                  <w:shd w:val="clear" w:color="auto" w:fill="auto"/>
                  <w:noWrap w:val="0"/>
                  <w:vAlign w:val="center"/>
                </w:tcPr>
                <w:p>
                  <w:pPr>
                    <w:adjustRightInd w:val="0"/>
                    <w:spacing w:line="240" w:lineRule="auto"/>
                    <w:jc w:val="center"/>
                    <w:rPr>
                      <w:sz w:val="21"/>
                      <w:szCs w:val="21"/>
                    </w:rPr>
                  </w:pPr>
                  <w:r>
                    <w:rPr>
                      <w:sz w:val="21"/>
                      <w:szCs w:val="21"/>
                    </w:rPr>
                    <w:t>183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6"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21</w:t>
                  </w:r>
                </w:p>
              </w:tc>
              <w:tc>
                <w:tcPr>
                  <w:tcW w:w="1305" w:type="pct"/>
                  <w:shd w:val="clear" w:color="auto" w:fill="auto"/>
                  <w:noWrap w:val="0"/>
                  <w:vAlign w:val="center"/>
                </w:tcPr>
                <w:p>
                  <w:pPr>
                    <w:adjustRightInd w:val="0"/>
                    <w:spacing w:line="240" w:lineRule="auto"/>
                    <w:jc w:val="center"/>
                    <w:rPr>
                      <w:sz w:val="21"/>
                      <w:szCs w:val="21"/>
                    </w:rPr>
                  </w:pPr>
                  <w:r>
                    <w:rPr>
                      <w:sz w:val="21"/>
                      <w:szCs w:val="21"/>
                    </w:rPr>
                    <w:t>1,1,1-三氯乙烷</w:t>
                  </w:r>
                </w:p>
              </w:tc>
              <w:tc>
                <w:tcPr>
                  <w:tcW w:w="1020" w:type="pct"/>
                  <w:shd w:val="clear" w:color="auto" w:fill="auto"/>
                  <w:noWrap w:val="0"/>
                  <w:vAlign w:val="center"/>
                </w:tcPr>
                <w:p>
                  <w:pPr>
                    <w:adjustRightInd w:val="0"/>
                    <w:spacing w:line="240" w:lineRule="auto"/>
                    <w:jc w:val="center"/>
                    <w:rPr>
                      <w:sz w:val="21"/>
                      <w:szCs w:val="21"/>
                    </w:rPr>
                  </w:pPr>
                  <w:r>
                    <w:rPr>
                      <w:sz w:val="21"/>
                      <w:szCs w:val="21"/>
                    </w:rPr>
                    <w:t>71-55-6</w:t>
                  </w:r>
                </w:p>
              </w:tc>
              <w:tc>
                <w:tcPr>
                  <w:tcW w:w="1018" w:type="pct"/>
                  <w:shd w:val="clear" w:color="auto" w:fill="auto"/>
                  <w:noWrap w:val="0"/>
                  <w:vAlign w:val="center"/>
                </w:tcPr>
                <w:p>
                  <w:pPr>
                    <w:adjustRightInd w:val="0"/>
                    <w:spacing w:line="240" w:lineRule="auto"/>
                    <w:jc w:val="center"/>
                    <w:rPr>
                      <w:sz w:val="21"/>
                      <w:szCs w:val="21"/>
                    </w:rPr>
                  </w:pPr>
                  <w:r>
                    <w:rPr>
                      <w:sz w:val="21"/>
                      <w:szCs w:val="21"/>
                    </w:rPr>
                    <w:t>840</w:t>
                  </w:r>
                </w:p>
              </w:tc>
              <w:tc>
                <w:tcPr>
                  <w:tcW w:w="1010" w:type="pct"/>
                  <w:shd w:val="clear" w:color="auto" w:fill="auto"/>
                  <w:noWrap w:val="0"/>
                  <w:vAlign w:val="center"/>
                </w:tcPr>
                <w:p>
                  <w:pPr>
                    <w:adjustRightInd w:val="0"/>
                    <w:spacing w:line="240" w:lineRule="auto"/>
                    <w:jc w:val="center"/>
                    <w:rPr>
                      <w:sz w:val="21"/>
                      <w:szCs w:val="21"/>
                    </w:rPr>
                  </w:pPr>
                  <w:r>
                    <w:rPr>
                      <w:sz w:val="21"/>
                      <w:szCs w:val="21"/>
                    </w:rPr>
                    <w:t>840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7"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22</w:t>
                  </w:r>
                </w:p>
              </w:tc>
              <w:tc>
                <w:tcPr>
                  <w:tcW w:w="1305" w:type="pct"/>
                  <w:shd w:val="clear" w:color="auto" w:fill="auto"/>
                  <w:noWrap w:val="0"/>
                  <w:vAlign w:val="center"/>
                </w:tcPr>
                <w:p>
                  <w:pPr>
                    <w:adjustRightInd w:val="0"/>
                    <w:spacing w:line="240" w:lineRule="auto"/>
                    <w:jc w:val="center"/>
                    <w:rPr>
                      <w:sz w:val="21"/>
                      <w:szCs w:val="21"/>
                    </w:rPr>
                  </w:pPr>
                  <w:r>
                    <w:rPr>
                      <w:sz w:val="21"/>
                      <w:szCs w:val="21"/>
                    </w:rPr>
                    <w:t>1,1,2-三氯乙烷</w:t>
                  </w:r>
                </w:p>
              </w:tc>
              <w:tc>
                <w:tcPr>
                  <w:tcW w:w="1020" w:type="pct"/>
                  <w:shd w:val="clear" w:color="auto" w:fill="auto"/>
                  <w:noWrap w:val="0"/>
                  <w:vAlign w:val="center"/>
                </w:tcPr>
                <w:p>
                  <w:pPr>
                    <w:adjustRightInd w:val="0"/>
                    <w:spacing w:line="240" w:lineRule="auto"/>
                    <w:jc w:val="center"/>
                    <w:rPr>
                      <w:sz w:val="21"/>
                      <w:szCs w:val="21"/>
                    </w:rPr>
                  </w:pPr>
                  <w:r>
                    <w:rPr>
                      <w:sz w:val="21"/>
                      <w:szCs w:val="21"/>
                    </w:rPr>
                    <w:t>79-00-5</w:t>
                  </w:r>
                </w:p>
              </w:tc>
              <w:tc>
                <w:tcPr>
                  <w:tcW w:w="1018" w:type="pct"/>
                  <w:shd w:val="clear" w:color="auto" w:fill="auto"/>
                  <w:noWrap w:val="0"/>
                  <w:vAlign w:val="center"/>
                </w:tcPr>
                <w:p>
                  <w:pPr>
                    <w:adjustRightInd w:val="0"/>
                    <w:spacing w:line="240" w:lineRule="auto"/>
                    <w:jc w:val="center"/>
                    <w:rPr>
                      <w:sz w:val="21"/>
                      <w:szCs w:val="21"/>
                    </w:rPr>
                  </w:pPr>
                  <w:r>
                    <w:rPr>
                      <w:sz w:val="21"/>
                      <w:szCs w:val="21"/>
                    </w:rPr>
                    <w:t>2.8</w:t>
                  </w:r>
                </w:p>
              </w:tc>
              <w:tc>
                <w:tcPr>
                  <w:tcW w:w="1010" w:type="pct"/>
                  <w:shd w:val="clear" w:color="auto" w:fill="auto"/>
                  <w:noWrap w:val="0"/>
                  <w:vAlign w:val="center"/>
                </w:tcPr>
                <w:p>
                  <w:pPr>
                    <w:adjustRightInd w:val="0"/>
                    <w:spacing w:line="240" w:lineRule="auto"/>
                    <w:jc w:val="center"/>
                    <w:rPr>
                      <w:sz w:val="21"/>
                      <w:szCs w:val="21"/>
                    </w:rPr>
                  </w:pPr>
                  <w:r>
                    <w:rPr>
                      <w:sz w:val="21"/>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0"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23</w:t>
                  </w:r>
                </w:p>
              </w:tc>
              <w:tc>
                <w:tcPr>
                  <w:tcW w:w="1305" w:type="pct"/>
                  <w:shd w:val="clear" w:color="auto" w:fill="auto"/>
                  <w:noWrap w:val="0"/>
                  <w:vAlign w:val="center"/>
                </w:tcPr>
                <w:p>
                  <w:pPr>
                    <w:adjustRightInd w:val="0"/>
                    <w:spacing w:line="240" w:lineRule="auto"/>
                    <w:jc w:val="center"/>
                    <w:rPr>
                      <w:sz w:val="21"/>
                      <w:szCs w:val="21"/>
                    </w:rPr>
                  </w:pPr>
                  <w:r>
                    <w:rPr>
                      <w:sz w:val="21"/>
                      <w:szCs w:val="21"/>
                    </w:rPr>
                    <w:t>三氯乙烯</w:t>
                  </w:r>
                </w:p>
              </w:tc>
              <w:tc>
                <w:tcPr>
                  <w:tcW w:w="1020" w:type="pct"/>
                  <w:shd w:val="clear" w:color="auto" w:fill="auto"/>
                  <w:noWrap w:val="0"/>
                  <w:vAlign w:val="center"/>
                </w:tcPr>
                <w:p>
                  <w:pPr>
                    <w:adjustRightInd w:val="0"/>
                    <w:spacing w:line="240" w:lineRule="auto"/>
                    <w:jc w:val="center"/>
                    <w:rPr>
                      <w:sz w:val="21"/>
                      <w:szCs w:val="21"/>
                    </w:rPr>
                  </w:pPr>
                  <w:r>
                    <w:rPr>
                      <w:sz w:val="21"/>
                      <w:szCs w:val="21"/>
                    </w:rPr>
                    <w:t>79-016</w:t>
                  </w:r>
                </w:p>
              </w:tc>
              <w:tc>
                <w:tcPr>
                  <w:tcW w:w="1018" w:type="pct"/>
                  <w:shd w:val="clear" w:color="auto" w:fill="auto"/>
                  <w:noWrap w:val="0"/>
                  <w:vAlign w:val="center"/>
                </w:tcPr>
                <w:p>
                  <w:pPr>
                    <w:adjustRightInd w:val="0"/>
                    <w:spacing w:line="240" w:lineRule="auto"/>
                    <w:jc w:val="center"/>
                    <w:rPr>
                      <w:sz w:val="21"/>
                      <w:szCs w:val="21"/>
                    </w:rPr>
                  </w:pPr>
                  <w:r>
                    <w:rPr>
                      <w:sz w:val="21"/>
                      <w:szCs w:val="21"/>
                    </w:rPr>
                    <w:t>2.8</w:t>
                  </w:r>
                </w:p>
              </w:tc>
              <w:tc>
                <w:tcPr>
                  <w:tcW w:w="1010" w:type="pct"/>
                  <w:shd w:val="clear" w:color="auto" w:fill="auto"/>
                  <w:noWrap w:val="0"/>
                  <w:vAlign w:val="center"/>
                </w:tcPr>
                <w:p>
                  <w:pPr>
                    <w:adjustRightInd w:val="0"/>
                    <w:spacing w:line="240" w:lineRule="auto"/>
                    <w:jc w:val="center"/>
                    <w:rPr>
                      <w:sz w:val="21"/>
                      <w:szCs w:val="21"/>
                    </w:rPr>
                  </w:pPr>
                  <w:r>
                    <w:rPr>
                      <w:sz w:val="21"/>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24</w:t>
                  </w:r>
                </w:p>
              </w:tc>
              <w:tc>
                <w:tcPr>
                  <w:tcW w:w="1305" w:type="pct"/>
                  <w:shd w:val="clear" w:color="auto" w:fill="auto"/>
                  <w:noWrap w:val="0"/>
                  <w:vAlign w:val="center"/>
                </w:tcPr>
                <w:p>
                  <w:pPr>
                    <w:adjustRightInd w:val="0"/>
                    <w:spacing w:line="240" w:lineRule="auto"/>
                    <w:jc w:val="center"/>
                    <w:rPr>
                      <w:sz w:val="21"/>
                      <w:szCs w:val="21"/>
                    </w:rPr>
                  </w:pPr>
                  <w:r>
                    <w:rPr>
                      <w:sz w:val="21"/>
                      <w:szCs w:val="21"/>
                    </w:rPr>
                    <w:t>1,2,3-三氯丙烯</w:t>
                  </w:r>
                </w:p>
              </w:tc>
              <w:tc>
                <w:tcPr>
                  <w:tcW w:w="1020" w:type="pct"/>
                  <w:shd w:val="clear" w:color="auto" w:fill="auto"/>
                  <w:noWrap w:val="0"/>
                  <w:vAlign w:val="center"/>
                </w:tcPr>
                <w:p>
                  <w:pPr>
                    <w:adjustRightInd w:val="0"/>
                    <w:spacing w:line="240" w:lineRule="auto"/>
                    <w:jc w:val="center"/>
                    <w:rPr>
                      <w:sz w:val="21"/>
                      <w:szCs w:val="21"/>
                    </w:rPr>
                  </w:pPr>
                  <w:r>
                    <w:rPr>
                      <w:sz w:val="21"/>
                      <w:szCs w:val="21"/>
                    </w:rPr>
                    <w:t>96-18-4</w:t>
                  </w:r>
                </w:p>
              </w:tc>
              <w:tc>
                <w:tcPr>
                  <w:tcW w:w="1018" w:type="pct"/>
                  <w:shd w:val="clear" w:color="auto" w:fill="auto"/>
                  <w:noWrap w:val="0"/>
                  <w:vAlign w:val="center"/>
                </w:tcPr>
                <w:p>
                  <w:pPr>
                    <w:adjustRightInd w:val="0"/>
                    <w:spacing w:line="240" w:lineRule="auto"/>
                    <w:jc w:val="center"/>
                    <w:rPr>
                      <w:sz w:val="21"/>
                      <w:szCs w:val="21"/>
                    </w:rPr>
                  </w:pPr>
                  <w:r>
                    <w:rPr>
                      <w:sz w:val="21"/>
                      <w:szCs w:val="21"/>
                    </w:rPr>
                    <w:t>0.5</w:t>
                  </w:r>
                </w:p>
              </w:tc>
              <w:tc>
                <w:tcPr>
                  <w:tcW w:w="1010" w:type="pct"/>
                  <w:shd w:val="clear" w:color="auto" w:fill="auto"/>
                  <w:noWrap w:val="0"/>
                  <w:vAlign w:val="center"/>
                </w:tcPr>
                <w:p>
                  <w:pPr>
                    <w:adjustRightInd w:val="0"/>
                    <w:spacing w:line="240" w:lineRule="auto"/>
                    <w:jc w:val="center"/>
                    <w:rPr>
                      <w:sz w:val="21"/>
                      <w:szCs w:val="21"/>
                    </w:rPr>
                  </w:pPr>
                  <w:r>
                    <w:rPr>
                      <w:sz w:val="21"/>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4"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25</w:t>
                  </w:r>
                </w:p>
              </w:tc>
              <w:tc>
                <w:tcPr>
                  <w:tcW w:w="1305" w:type="pct"/>
                  <w:shd w:val="clear" w:color="auto" w:fill="auto"/>
                  <w:noWrap w:val="0"/>
                  <w:vAlign w:val="center"/>
                </w:tcPr>
                <w:p>
                  <w:pPr>
                    <w:adjustRightInd w:val="0"/>
                    <w:spacing w:line="240" w:lineRule="auto"/>
                    <w:jc w:val="center"/>
                    <w:rPr>
                      <w:sz w:val="21"/>
                      <w:szCs w:val="21"/>
                    </w:rPr>
                  </w:pPr>
                  <w:r>
                    <w:rPr>
                      <w:sz w:val="21"/>
                      <w:szCs w:val="21"/>
                    </w:rPr>
                    <w:t>氯乙烯</w:t>
                  </w:r>
                </w:p>
              </w:tc>
              <w:tc>
                <w:tcPr>
                  <w:tcW w:w="1020" w:type="pct"/>
                  <w:shd w:val="clear" w:color="auto" w:fill="auto"/>
                  <w:noWrap w:val="0"/>
                  <w:vAlign w:val="center"/>
                </w:tcPr>
                <w:p>
                  <w:pPr>
                    <w:adjustRightInd w:val="0"/>
                    <w:spacing w:line="240" w:lineRule="auto"/>
                    <w:jc w:val="center"/>
                    <w:rPr>
                      <w:sz w:val="21"/>
                      <w:szCs w:val="21"/>
                    </w:rPr>
                  </w:pPr>
                  <w:r>
                    <w:rPr>
                      <w:sz w:val="21"/>
                      <w:szCs w:val="21"/>
                    </w:rPr>
                    <w:t>75-01-4</w:t>
                  </w:r>
                </w:p>
              </w:tc>
              <w:tc>
                <w:tcPr>
                  <w:tcW w:w="1018" w:type="pct"/>
                  <w:shd w:val="clear" w:color="auto" w:fill="auto"/>
                  <w:noWrap w:val="0"/>
                  <w:vAlign w:val="center"/>
                </w:tcPr>
                <w:p>
                  <w:pPr>
                    <w:adjustRightInd w:val="0"/>
                    <w:spacing w:line="240" w:lineRule="auto"/>
                    <w:jc w:val="center"/>
                    <w:rPr>
                      <w:sz w:val="21"/>
                      <w:szCs w:val="21"/>
                    </w:rPr>
                  </w:pPr>
                  <w:r>
                    <w:rPr>
                      <w:sz w:val="21"/>
                      <w:szCs w:val="21"/>
                    </w:rPr>
                    <w:t>0.43</w:t>
                  </w:r>
                </w:p>
              </w:tc>
              <w:tc>
                <w:tcPr>
                  <w:tcW w:w="1010" w:type="pct"/>
                  <w:shd w:val="clear" w:color="auto" w:fill="auto"/>
                  <w:noWrap w:val="0"/>
                  <w:vAlign w:val="center"/>
                </w:tcPr>
                <w:p>
                  <w:pPr>
                    <w:adjustRightInd w:val="0"/>
                    <w:spacing w:line="240" w:lineRule="auto"/>
                    <w:jc w:val="center"/>
                    <w:rPr>
                      <w:sz w:val="21"/>
                      <w:szCs w:val="21"/>
                    </w:rPr>
                  </w:pPr>
                  <w:r>
                    <w:rPr>
                      <w:sz w:val="21"/>
                      <w:szCs w:val="21"/>
                    </w:rPr>
                    <w:t>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26</w:t>
                  </w:r>
                </w:p>
              </w:tc>
              <w:tc>
                <w:tcPr>
                  <w:tcW w:w="1305" w:type="pct"/>
                  <w:shd w:val="clear" w:color="auto" w:fill="auto"/>
                  <w:noWrap w:val="0"/>
                  <w:vAlign w:val="center"/>
                </w:tcPr>
                <w:p>
                  <w:pPr>
                    <w:adjustRightInd w:val="0"/>
                    <w:spacing w:line="240" w:lineRule="auto"/>
                    <w:jc w:val="center"/>
                    <w:rPr>
                      <w:sz w:val="21"/>
                      <w:szCs w:val="21"/>
                    </w:rPr>
                  </w:pPr>
                  <w:r>
                    <w:rPr>
                      <w:sz w:val="21"/>
                      <w:szCs w:val="21"/>
                    </w:rPr>
                    <w:t>苯</w:t>
                  </w:r>
                </w:p>
              </w:tc>
              <w:tc>
                <w:tcPr>
                  <w:tcW w:w="1020" w:type="pct"/>
                  <w:shd w:val="clear" w:color="auto" w:fill="auto"/>
                  <w:noWrap w:val="0"/>
                  <w:vAlign w:val="center"/>
                </w:tcPr>
                <w:p>
                  <w:pPr>
                    <w:adjustRightInd w:val="0"/>
                    <w:spacing w:line="240" w:lineRule="auto"/>
                    <w:jc w:val="center"/>
                    <w:rPr>
                      <w:sz w:val="21"/>
                      <w:szCs w:val="21"/>
                    </w:rPr>
                  </w:pPr>
                  <w:r>
                    <w:rPr>
                      <w:sz w:val="21"/>
                      <w:szCs w:val="21"/>
                    </w:rPr>
                    <w:t>71-43-2</w:t>
                  </w:r>
                </w:p>
              </w:tc>
              <w:tc>
                <w:tcPr>
                  <w:tcW w:w="1018" w:type="pct"/>
                  <w:shd w:val="clear" w:color="auto" w:fill="auto"/>
                  <w:noWrap w:val="0"/>
                  <w:vAlign w:val="center"/>
                </w:tcPr>
                <w:p>
                  <w:pPr>
                    <w:adjustRightInd w:val="0"/>
                    <w:spacing w:line="240" w:lineRule="auto"/>
                    <w:jc w:val="center"/>
                    <w:rPr>
                      <w:sz w:val="21"/>
                      <w:szCs w:val="21"/>
                    </w:rPr>
                  </w:pPr>
                  <w:r>
                    <w:rPr>
                      <w:sz w:val="21"/>
                      <w:szCs w:val="21"/>
                    </w:rPr>
                    <w:t>4</w:t>
                  </w:r>
                </w:p>
              </w:tc>
              <w:tc>
                <w:tcPr>
                  <w:tcW w:w="1010" w:type="pct"/>
                  <w:shd w:val="clear" w:color="auto" w:fill="auto"/>
                  <w:noWrap w:val="0"/>
                  <w:vAlign w:val="center"/>
                </w:tcPr>
                <w:p>
                  <w:pPr>
                    <w:adjustRightInd w:val="0"/>
                    <w:spacing w:line="240" w:lineRule="auto"/>
                    <w:jc w:val="center"/>
                    <w:rPr>
                      <w:sz w:val="21"/>
                      <w:szCs w:val="21"/>
                    </w:rPr>
                  </w:pPr>
                  <w:r>
                    <w:rPr>
                      <w:sz w:val="21"/>
                      <w:szCs w:val="21"/>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27</w:t>
                  </w:r>
                </w:p>
              </w:tc>
              <w:tc>
                <w:tcPr>
                  <w:tcW w:w="1305" w:type="pct"/>
                  <w:shd w:val="clear" w:color="auto" w:fill="auto"/>
                  <w:noWrap w:val="0"/>
                  <w:vAlign w:val="center"/>
                </w:tcPr>
                <w:p>
                  <w:pPr>
                    <w:adjustRightInd w:val="0"/>
                    <w:spacing w:line="240" w:lineRule="auto"/>
                    <w:jc w:val="center"/>
                    <w:rPr>
                      <w:sz w:val="21"/>
                      <w:szCs w:val="21"/>
                    </w:rPr>
                  </w:pPr>
                  <w:r>
                    <w:rPr>
                      <w:sz w:val="21"/>
                      <w:szCs w:val="21"/>
                    </w:rPr>
                    <w:t>氯苯</w:t>
                  </w:r>
                </w:p>
              </w:tc>
              <w:tc>
                <w:tcPr>
                  <w:tcW w:w="1020" w:type="pct"/>
                  <w:shd w:val="clear" w:color="auto" w:fill="auto"/>
                  <w:noWrap w:val="0"/>
                  <w:vAlign w:val="center"/>
                </w:tcPr>
                <w:p>
                  <w:pPr>
                    <w:adjustRightInd w:val="0"/>
                    <w:spacing w:line="240" w:lineRule="auto"/>
                    <w:jc w:val="center"/>
                    <w:rPr>
                      <w:sz w:val="21"/>
                      <w:szCs w:val="21"/>
                    </w:rPr>
                  </w:pPr>
                  <w:r>
                    <w:rPr>
                      <w:sz w:val="21"/>
                      <w:szCs w:val="21"/>
                    </w:rPr>
                    <w:t>108-90-7</w:t>
                  </w:r>
                </w:p>
              </w:tc>
              <w:tc>
                <w:tcPr>
                  <w:tcW w:w="1018" w:type="pct"/>
                  <w:shd w:val="clear" w:color="auto" w:fill="auto"/>
                  <w:noWrap w:val="0"/>
                  <w:vAlign w:val="center"/>
                </w:tcPr>
                <w:p>
                  <w:pPr>
                    <w:adjustRightInd w:val="0"/>
                    <w:spacing w:line="240" w:lineRule="auto"/>
                    <w:jc w:val="center"/>
                    <w:rPr>
                      <w:sz w:val="21"/>
                      <w:szCs w:val="21"/>
                    </w:rPr>
                  </w:pPr>
                  <w:r>
                    <w:rPr>
                      <w:sz w:val="21"/>
                      <w:szCs w:val="21"/>
                    </w:rPr>
                    <w:t>270</w:t>
                  </w:r>
                </w:p>
              </w:tc>
              <w:tc>
                <w:tcPr>
                  <w:tcW w:w="1010" w:type="pct"/>
                  <w:shd w:val="clear" w:color="auto" w:fill="auto"/>
                  <w:noWrap w:val="0"/>
                  <w:vAlign w:val="center"/>
                </w:tcPr>
                <w:p>
                  <w:pPr>
                    <w:adjustRightInd w:val="0"/>
                    <w:spacing w:line="240" w:lineRule="auto"/>
                    <w:jc w:val="center"/>
                    <w:rPr>
                      <w:sz w:val="21"/>
                      <w:szCs w:val="21"/>
                    </w:rPr>
                  </w:pPr>
                  <w:r>
                    <w:rPr>
                      <w:sz w:val="21"/>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28</w:t>
                  </w:r>
                </w:p>
              </w:tc>
              <w:tc>
                <w:tcPr>
                  <w:tcW w:w="1305" w:type="pct"/>
                  <w:shd w:val="clear" w:color="auto" w:fill="auto"/>
                  <w:noWrap w:val="0"/>
                  <w:vAlign w:val="center"/>
                </w:tcPr>
                <w:p>
                  <w:pPr>
                    <w:adjustRightInd w:val="0"/>
                    <w:spacing w:line="240" w:lineRule="auto"/>
                    <w:jc w:val="center"/>
                    <w:rPr>
                      <w:sz w:val="21"/>
                      <w:szCs w:val="21"/>
                    </w:rPr>
                  </w:pPr>
                  <w:r>
                    <w:rPr>
                      <w:sz w:val="21"/>
                      <w:szCs w:val="21"/>
                    </w:rPr>
                    <w:t>1,2-二氯苯</w:t>
                  </w:r>
                </w:p>
              </w:tc>
              <w:tc>
                <w:tcPr>
                  <w:tcW w:w="1020" w:type="pct"/>
                  <w:shd w:val="clear" w:color="auto" w:fill="auto"/>
                  <w:noWrap w:val="0"/>
                  <w:vAlign w:val="center"/>
                </w:tcPr>
                <w:p>
                  <w:pPr>
                    <w:adjustRightInd w:val="0"/>
                    <w:spacing w:line="240" w:lineRule="auto"/>
                    <w:jc w:val="center"/>
                    <w:rPr>
                      <w:sz w:val="21"/>
                      <w:szCs w:val="21"/>
                    </w:rPr>
                  </w:pPr>
                  <w:r>
                    <w:rPr>
                      <w:sz w:val="21"/>
                      <w:szCs w:val="21"/>
                    </w:rPr>
                    <w:t>95-50-1</w:t>
                  </w:r>
                </w:p>
              </w:tc>
              <w:tc>
                <w:tcPr>
                  <w:tcW w:w="1018" w:type="pct"/>
                  <w:shd w:val="clear" w:color="auto" w:fill="auto"/>
                  <w:noWrap w:val="0"/>
                  <w:vAlign w:val="center"/>
                </w:tcPr>
                <w:p>
                  <w:pPr>
                    <w:adjustRightInd w:val="0"/>
                    <w:spacing w:line="240" w:lineRule="auto"/>
                    <w:jc w:val="center"/>
                    <w:rPr>
                      <w:sz w:val="21"/>
                      <w:szCs w:val="21"/>
                    </w:rPr>
                  </w:pPr>
                  <w:r>
                    <w:rPr>
                      <w:sz w:val="21"/>
                      <w:szCs w:val="21"/>
                    </w:rPr>
                    <w:t>560</w:t>
                  </w:r>
                </w:p>
              </w:tc>
              <w:tc>
                <w:tcPr>
                  <w:tcW w:w="1010" w:type="pct"/>
                  <w:shd w:val="clear" w:color="auto" w:fill="auto"/>
                  <w:noWrap w:val="0"/>
                  <w:vAlign w:val="center"/>
                </w:tcPr>
                <w:p>
                  <w:pPr>
                    <w:adjustRightInd w:val="0"/>
                    <w:spacing w:line="240" w:lineRule="auto"/>
                    <w:jc w:val="center"/>
                    <w:rPr>
                      <w:sz w:val="21"/>
                      <w:szCs w:val="21"/>
                    </w:rPr>
                  </w:pPr>
                  <w:r>
                    <w:rPr>
                      <w:sz w:val="21"/>
                      <w:szCs w:val="21"/>
                    </w:rPr>
                    <w:t>560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29</w:t>
                  </w:r>
                </w:p>
              </w:tc>
              <w:tc>
                <w:tcPr>
                  <w:tcW w:w="1305" w:type="pct"/>
                  <w:shd w:val="clear" w:color="auto" w:fill="auto"/>
                  <w:noWrap w:val="0"/>
                  <w:vAlign w:val="center"/>
                </w:tcPr>
                <w:p>
                  <w:pPr>
                    <w:adjustRightInd w:val="0"/>
                    <w:spacing w:line="240" w:lineRule="auto"/>
                    <w:jc w:val="center"/>
                    <w:rPr>
                      <w:sz w:val="21"/>
                      <w:szCs w:val="21"/>
                    </w:rPr>
                  </w:pPr>
                  <w:r>
                    <w:rPr>
                      <w:sz w:val="21"/>
                      <w:szCs w:val="21"/>
                    </w:rPr>
                    <w:t>1,4-二氯苯</w:t>
                  </w:r>
                </w:p>
              </w:tc>
              <w:tc>
                <w:tcPr>
                  <w:tcW w:w="1020" w:type="pct"/>
                  <w:shd w:val="clear" w:color="auto" w:fill="auto"/>
                  <w:noWrap w:val="0"/>
                  <w:vAlign w:val="center"/>
                </w:tcPr>
                <w:p>
                  <w:pPr>
                    <w:adjustRightInd w:val="0"/>
                    <w:spacing w:line="240" w:lineRule="auto"/>
                    <w:jc w:val="center"/>
                    <w:rPr>
                      <w:sz w:val="21"/>
                      <w:szCs w:val="21"/>
                    </w:rPr>
                  </w:pPr>
                  <w:r>
                    <w:rPr>
                      <w:sz w:val="21"/>
                      <w:szCs w:val="21"/>
                    </w:rPr>
                    <w:t>106-46-7</w:t>
                  </w:r>
                </w:p>
              </w:tc>
              <w:tc>
                <w:tcPr>
                  <w:tcW w:w="1018" w:type="pct"/>
                  <w:shd w:val="clear" w:color="auto" w:fill="auto"/>
                  <w:noWrap w:val="0"/>
                  <w:vAlign w:val="center"/>
                </w:tcPr>
                <w:p>
                  <w:pPr>
                    <w:adjustRightInd w:val="0"/>
                    <w:spacing w:line="240" w:lineRule="auto"/>
                    <w:jc w:val="center"/>
                    <w:rPr>
                      <w:sz w:val="21"/>
                      <w:szCs w:val="21"/>
                    </w:rPr>
                  </w:pPr>
                  <w:r>
                    <w:rPr>
                      <w:sz w:val="21"/>
                      <w:szCs w:val="21"/>
                    </w:rPr>
                    <w:t>20</w:t>
                  </w:r>
                </w:p>
              </w:tc>
              <w:tc>
                <w:tcPr>
                  <w:tcW w:w="1010" w:type="pct"/>
                  <w:shd w:val="clear" w:color="auto" w:fill="auto"/>
                  <w:noWrap w:val="0"/>
                  <w:vAlign w:val="center"/>
                </w:tcPr>
                <w:p>
                  <w:pPr>
                    <w:adjustRightInd w:val="0"/>
                    <w:spacing w:line="240" w:lineRule="auto"/>
                    <w:jc w:val="center"/>
                    <w:rPr>
                      <w:sz w:val="21"/>
                      <w:szCs w:val="21"/>
                    </w:rPr>
                  </w:pPr>
                  <w:r>
                    <w:rPr>
                      <w:sz w:val="21"/>
                      <w:szCs w:val="21"/>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3"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30</w:t>
                  </w:r>
                </w:p>
              </w:tc>
              <w:tc>
                <w:tcPr>
                  <w:tcW w:w="1305" w:type="pct"/>
                  <w:shd w:val="clear" w:color="auto" w:fill="auto"/>
                  <w:noWrap w:val="0"/>
                  <w:vAlign w:val="center"/>
                </w:tcPr>
                <w:p>
                  <w:pPr>
                    <w:adjustRightInd w:val="0"/>
                    <w:spacing w:line="240" w:lineRule="auto"/>
                    <w:jc w:val="center"/>
                    <w:rPr>
                      <w:sz w:val="21"/>
                      <w:szCs w:val="21"/>
                    </w:rPr>
                  </w:pPr>
                  <w:r>
                    <w:rPr>
                      <w:sz w:val="21"/>
                      <w:szCs w:val="21"/>
                    </w:rPr>
                    <w:t>乙苯</w:t>
                  </w:r>
                </w:p>
              </w:tc>
              <w:tc>
                <w:tcPr>
                  <w:tcW w:w="1020" w:type="pct"/>
                  <w:shd w:val="clear" w:color="auto" w:fill="auto"/>
                  <w:noWrap w:val="0"/>
                  <w:vAlign w:val="center"/>
                </w:tcPr>
                <w:p>
                  <w:pPr>
                    <w:adjustRightInd w:val="0"/>
                    <w:spacing w:line="240" w:lineRule="auto"/>
                    <w:jc w:val="center"/>
                    <w:rPr>
                      <w:sz w:val="21"/>
                      <w:szCs w:val="21"/>
                    </w:rPr>
                  </w:pPr>
                  <w:r>
                    <w:rPr>
                      <w:sz w:val="21"/>
                      <w:szCs w:val="21"/>
                    </w:rPr>
                    <w:t>100-41-4</w:t>
                  </w:r>
                </w:p>
              </w:tc>
              <w:tc>
                <w:tcPr>
                  <w:tcW w:w="1018" w:type="pct"/>
                  <w:shd w:val="clear" w:color="auto" w:fill="auto"/>
                  <w:noWrap w:val="0"/>
                  <w:vAlign w:val="center"/>
                </w:tcPr>
                <w:p>
                  <w:pPr>
                    <w:adjustRightInd w:val="0"/>
                    <w:spacing w:line="240" w:lineRule="auto"/>
                    <w:jc w:val="center"/>
                    <w:rPr>
                      <w:sz w:val="21"/>
                      <w:szCs w:val="21"/>
                    </w:rPr>
                  </w:pPr>
                  <w:r>
                    <w:rPr>
                      <w:sz w:val="21"/>
                      <w:szCs w:val="21"/>
                    </w:rPr>
                    <w:t>28</w:t>
                  </w:r>
                </w:p>
              </w:tc>
              <w:tc>
                <w:tcPr>
                  <w:tcW w:w="1010" w:type="pct"/>
                  <w:shd w:val="clear" w:color="auto" w:fill="auto"/>
                  <w:noWrap w:val="0"/>
                  <w:vAlign w:val="center"/>
                </w:tcPr>
                <w:p>
                  <w:pPr>
                    <w:adjustRightInd w:val="0"/>
                    <w:spacing w:line="240" w:lineRule="auto"/>
                    <w:jc w:val="center"/>
                    <w:rPr>
                      <w:sz w:val="21"/>
                      <w:szCs w:val="21"/>
                    </w:rPr>
                  </w:pPr>
                  <w:r>
                    <w:rPr>
                      <w:sz w:val="21"/>
                      <w:szCs w:val="21"/>
                    </w:rPr>
                    <w:t>280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31</w:t>
                  </w:r>
                </w:p>
              </w:tc>
              <w:tc>
                <w:tcPr>
                  <w:tcW w:w="1305" w:type="pct"/>
                  <w:shd w:val="clear" w:color="auto" w:fill="auto"/>
                  <w:noWrap w:val="0"/>
                  <w:vAlign w:val="center"/>
                </w:tcPr>
                <w:p>
                  <w:pPr>
                    <w:adjustRightInd w:val="0"/>
                    <w:spacing w:line="240" w:lineRule="auto"/>
                    <w:jc w:val="center"/>
                    <w:rPr>
                      <w:sz w:val="21"/>
                      <w:szCs w:val="21"/>
                    </w:rPr>
                  </w:pPr>
                  <w:r>
                    <w:rPr>
                      <w:sz w:val="21"/>
                      <w:szCs w:val="21"/>
                    </w:rPr>
                    <w:t>苯乙烯</w:t>
                  </w:r>
                </w:p>
              </w:tc>
              <w:tc>
                <w:tcPr>
                  <w:tcW w:w="1020" w:type="pct"/>
                  <w:shd w:val="clear" w:color="auto" w:fill="auto"/>
                  <w:noWrap w:val="0"/>
                  <w:vAlign w:val="center"/>
                </w:tcPr>
                <w:p>
                  <w:pPr>
                    <w:adjustRightInd w:val="0"/>
                    <w:spacing w:line="240" w:lineRule="auto"/>
                    <w:jc w:val="center"/>
                    <w:rPr>
                      <w:sz w:val="21"/>
                      <w:szCs w:val="21"/>
                    </w:rPr>
                  </w:pPr>
                  <w:r>
                    <w:rPr>
                      <w:sz w:val="21"/>
                      <w:szCs w:val="21"/>
                    </w:rPr>
                    <w:t>100-42-5</w:t>
                  </w:r>
                </w:p>
              </w:tc>
              <w:tc>
                <w:tcPr>
                  <w:tcW w:w="1018" w:type="pct"/>
                  <w:shd w:val="clear" w:color="auto" w:fill="auto"/>
                  <w:noWrap w:val="0"/>
                  <w:vAlign w:val="center"/>
                </w:tcPr>
                <w:p>
                  <w:pPr>
                    <w:adjustRightInd w:val="0"/>
                    <w:spacing w:line="240" w:lineRule="auto"/>
                    <w:jc w:val="center"/>
                    <w:rPr>
                      <w:sz w:val="21"/>
                      <w:szCs w:val="21"/>
                    </w:rPr>
                  </w:pPr>
                  <w:r>
                    <w:rPr>
                      <w:sz w:val="21"/>
                      <w:szCs w:val="21"/>
                    </w:rPr>
                    <w:t>1290</w:t>
                  </w:r>
                </w:p>
              </w:tc>
              <w:tc>
                <w:tcPr>
                  <w:tcW w:w="1010" w:type="pct"/>
                  <w:shd w:val="clear" w:color="auto" w:fill="auto"/>
                  <w:noWrap w:val="0"/>
                  <w:vAlign w:val="center"/>
                </w:tcPr>
                <w:p>
                  <w:pPr>
                    <w:adjustRightInd w:val="0"/>
                    <w:spacing w:line="240" w:lineRule="auto"/>
                    <w:jc w:val="center"/>
                    <w:rPr>
                      <w:sz w:val="21"/>
                      <w:szCs w:val="21"/>
                    </w:rPr>
                  </w:pPr>
                  <w:r>
                    <w:rPr>
                      <w:sz w:val="21"/>
                      <w:szCs w:val="21"/>
                    </w:rPr>
                    <w:t>1290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32</w:t>
                  </w:r>
                </w:p>
              </w:tc>
              <w:tc>
                <w:tcPr>
                  <w:tcW w:w="1305" w:type="pct"/>
                  <w:shd w:val="clear" w:color="auto" w:fill="auto"/>
                  <w:noWrap w:val="0"/>
                  <w:vAlign w:val="center"/>
                </w:tcPr>
                <w:p>
                  <w:pPr>
                    <w:adjustRightInd w:val="0"/>
                    <w:spacing w:line="240" w:lineRule="auto"/>
                    <w:jc w:val="center"/>
                    <w:rPr>
                      <w:sz w:val="21"/>
                      <w:szCs w:val="21"/>
                    </w:rPr>
                  </w:pPr>
                  <w:r>
                    <w:rPr>
                      <w:sz w:val="21"/>
                      <w:szCs w:val="21"/>
                    </w:rPr>
                    <w:t>甲苯</w:t>
                  </w:r>
                </w:p>
              </w:tc>
              <w:tc>
                <w:tcPr>
                  <w:tcW w:w="1020" w:type="pct"/>
                  <w:shd w:val="clear" w:color="auto" w:fill="auto"/>
                  <w:noWrap w:val="0"/>
                  <w:vAlign w:val="center"/>
                </w:tcPr>
                <w:p>
                  <w:pPr>
                    <w:adjustRightInd w:val="0"/>
                    <w:spacing w:line="240" w:lineRule="auto"/>
                    <w:jc w:val="center"/>
                    <w:rPr>
                      <w:sz w:val="21"/>
                      <w:szCs w:val="21"/>
                    </w:rPr>
                  </w:pPr>
                  <w:r>
                    <w:rPr>
                      <w:sz w:val="21"/>
                      <w:szCs w:val="21"/>
                    </w:rPr>
                    <w:t>108-88-3</w:t>
                  </w:r>
                </w:p>
              </w:tc>
              <w:tc>
                <w:tcPr>
                  <w:tcW w:w="1018" w:type="pct"/>
                  <w:shd w:val="clear" w:color="auto" w:fill="auto"/>
                  <w:noWrap w:val="0"/>
                  <w:vAlign w:val="center"/>
                </w:tcPr>
                <w:p>
                  <w:pPr>
                    <w:adjustRightInd w:val="0"/>
                    <w:spacing w:line="240" w:lineRule="auto"/>
                    <w:jc w:val="center"/>
                    <w:rPr>
                      <w:sz w:val="21"/>
                      <w:szCs w:val="21"/>
                    </w:rPr>
                  </w:pPr>
                  <w:r>
                    <w:rPr>
                      <w:sz w:val="21"/>
                      <w:szCs w:val="21"/>
                    </w:rPr>
                    <w:t>1200</w:t>
                  </w:r>
                </w:p>
              </w:tc>
              <w:tc>
                <w:tcPr>
                  <w:tcW w:w="1010" w:type="pct"/>
                  <w:shd w:val="clear" w:color="auto" w:fill="auto"/>
                  <w:noWrap w:val="0"/>
                  <w:vAlign w:val="center"/>
                </w:tcPr>
                <w:p>
                  <w:pPr>
                    <w:adjustRightInd w:val="0"/>
                    <w:spacing w:line="240" w:lineRule="auto"/>
                    <w:jc w:val="center"/>
                    <w:rPr>
                      <w:sz w:val="21"/>
                      <w:szCs w:val="21"/>
                    </w:rPr>
                  </w:pPr>
                  <w:r>
                    <w:rPr>
                      <w:sz w:val="21"/>
                      <w:szCs w:val="21"/>
                    </w:rPr>
                    <w:t>1200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4"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33</w:t>
                  </w:r>
                </w:p>
              </w:tc>
              <w:tc>
                <w:tcPr>
                  <w:tcW w:w="1305" w:type="pct"/>
                  <w:shd w:val="clear" w:color="auto" w:fill="auto"/>
                  <w:noWrap w:val="0"/>
                  <w:vAlign w:val="center"/>
                </w:tcPr>
                <w:p>
                  <w:pPr>
                    <w:adjustRightInd w:val="0"/>
                    <w:spacing w:line="240" w:lineRule="auto"/>
                    <w:jc w:val="center"/>
                    <w:rPr>
                      <w:sz w:val="21"/>
                      <w:szCs w:val="21"/>
                    </w:rPr>
                  </w:pPr>
                  <w:r>
                    <w:rPr>
                      <w:sz w:val="21"/>
                      <w:szCs w:val="21"/>
                    </w:rPr>
                    <w:t>间二甲苯+对二甲苯</w:t>
                  </w:r>
                </w:p>
              </w:tc>
              <w:tc>
                <w:tcPr>
                  <w:tcW w:w="1020" w:type="pct"/>
                  <w:shd w:val="clear" w:color="auto" w:fill="auto"/>
                  <w:noWrap w:val="0"/>
                  <w:vAlign w:val="center"/>
                </w:tcPr>
                <w:p>
                  <w:pPr>
                    <w:adjustRightInd w:val="0"/>
                    <w:spacing w:line="240" w:lineRule="auto"/>
                    <w:jc w:val="center"/>
                    <w:rPr>
                      <w:sz w:val="21"/>
                      <w:szCs w:val="21"/>
                    </w:rPr>
                  </w:pPr>
                  <w:r>
                    <w:rPr>
                      <w:sz w:val="21"/>
                      <w:szCs w:val="21"/>
                    </w:rPr>
                    <w:t>108-38-3</w:t>
                  </w:r>
                </w:p>
                <w:p>
                  <w:pPr>
                    <w:adjustRightInd w:val="0"/>
                    <w:spacing w:line="240" w:lineRule="auto"/>
                    <w:jc w:val="center"/>
                    <w:rPr>
                      <w:sz w:val="21"/>
                      <w:szCs w:val="21"/>
                    </w:rPr>
                  </w:pPr>
                  <w:r>
                    <w:rPr>
                      <w:sz w:val="21"/>
                      <w:szCs w:val="21"/>
                    </w:rPr>
                    <w:t>106-42-3</w:t>
                  </w:r>
                </w:p>
              </w:tc>
              <w:tc>
                <w:tcPr>
                  <w:tcW w:w="1018" w:type="pct"/>
                  <w:shd w:val="clear" w:color="auto" w:fill="auto"/>
                  <w:noWrap w:val="0"/>
                  <w:vAlign w:val="center"/>
                </w:tcPr>
                <w:p>
                  <w:pPr>
                    <w:adjustRightInd w:val="0"/>
                    <w:spacing w:line="240" w:lineRule="auto"/>
                    <w:jc w:val="center"/>
                    <w:rPr>
                      <w:sz w:val="21"/>
                      <w:szCs w:val="21"/>
                    </w:rPr>
                  </w:pPr>
                  <w:r>
                    <w:rPr>
                      <w:sz w:val="21"/>
                      <w:szCs w:val="21"/>
                    </w:rPr>
                    <w:t>570</w:t>
                  </w:r>
                </w:p>
              </w:tc>
              <w:tc>
                <w:tcPr>
                  <w:tcW w:w="1010" w:type="pct"/>
                  <w:shd w:val="clear" w:color="auto" w:fill="auto"/>
                  <w:noWrap w:val="0"/>
                  <w:vAlign w:val="center"/>
                </w:tcPr>
                <w:p>
                  <w:pPr>
                    <w:adjustRightInd w:val="0"/>
                    <w:spacing w:line="240" w:lineRule="auto"/>
                    <w:jc w:val="center"/>
                    <w:rPr>
                      <w:sz w:val="21"/>
                      <w:szCs w:val="21"/>
                    </w:rPr>
                  </w:pPr>
                  <w:r>
                    <w:rPr>
                      <w:sz w:val="21"/>
                      <w:szCs w:val="21"/>
                    </w:rPr>
                    <w:t>570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34</w:t>
                  </w:r>
                </w:p>
              </w:tc>
              <w:tc>
                <w:tcPr>
                  <w:tcW w:w="1305" w:type="pct"/>
                  <w:shd w:val="clear" w:color="auto" w:fill="auto"/>
                  <w:noWrap w:val="0"/>
                  <w:vAlign w:val="center"/>
                </w:tcPr>
                <w:p>
                  <w:pPr>
                    <w:adjustRightInd w:val="0"/>
                    <w:spacing w:line="240" w:lineRule="auto"/>
                    <w:jc w:val="center"/>
                    <w:rPr>
                      <w:sz w:val="21"/>
                      <w:szCs w:val="21"/>
                    </w:rPr>
                  </w:pPr>
                  <w:r>
                    <w:rPr>
                      <w:sz w:val="21"/>
                      <w:szCs w:val="21"/>
                    </w:rPr>
                    <w:t>邻二甲苯</w:t>
                  </w:r>
                </w:p>
              </w:tc>
              <w:tc>
                <w:tcPr>
                  <w:tcW w:w="1020" w:type="pct"/>
                  <w:shd w:val="clear" w:color="auto" w:fill="auto"/>
                  <w:noWrap w:val="0"/>
                  <w:vAlign w:val="center"/>
                </w:tcPr>
                <w:p>
                  <w:pPr>
                    <w:adjustRightInd w:val="0"/>
                    <w:spacing w:line="240" w:lineRule="auto"/>
                    <w:jc w:val="center"/>
                    <w:rPr>
                      <w:sz w:val="21"/>
                      <w:szCs w:val="21"/>
                    </w:rPr>
                  </w:pPr>
                  <w:r>
                    <w:rPr>
                      <w:sz w:val="21"/>
                      <w:szCs w:val="21"/>
                    </w:rPr>
                    <w:t>95-47-6</w:t>
                  </w:r>
                </w:p>
              </w:tc>
              <w:tc>
                <w:tcPr>
                  <w:tcW w:w="1018" w:type="pct"/>
                  <w:shd w:val="clear" w:color="auto" w:fill="auto"/>
                  <w:noWrap w:val="0"/>
                  <w:vAlign w:val="center"/>
                </w:tcPr>
                <w:p>
                  <w:pPr>
                    <w:adjustRightInd w:val="0"/>
                    <w:spacing w:line="240" w:lineRule="auto"/>
                    <w:jc w:val="center"/>
                    <w:rPr>
                      <w:sz w:val="21"/>
                      <w:szCs w:val="21"/>
                    </w:rPr>
                  </w:pPr>
                  <w:r>
                    <w:rPr>
                      <w:sz w:val="21"/>
                      <w:szCs w:val="21"/>
                    </w:rPr>
                    <w:t>640</w:t>
                  </w:r>
                </w:p>
              </w:tc>
              <w:tc>
                <w:tcPr>
                  <w:tcW w:w="1010" w:type="pct"/>
                  <w:shd w:val="clear" w:color="auto" w:fill="auto"/>
                  <w:noWrap w:val="0"/>
                  <w:vAlign w:val="center"/>
                </w:tcPr>
                <w:p>
                  <w:pPr>
                    <w:adjustRightInd w:val="0"/>
                    <w:spacing w:line="240" w:lineRule="auto"/>
                    <w:jc w:val="center"/>
                    <w:rPr>
                      <w:sz w:val="21"/>
                      <w:szCs w:val="21"/>
                    </w:rPr>
                  </w:pPr>
                  <w:r>
                    <w:rPr>
                      <w:sz w:val="21"/>
                      <w:szCs w:val="21"/>
                    </w:rPr>
                    <w:t>640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00" w:type="pct"/>
                  <w:gridSpan w:val="5"/>
                  <w:shd w:val="clear" w:color="auto" w:fill="auto"/>
                  <w:noWrap w:val="0"/>
                  <w:vAlign w:val="center"/>
                </w:tcPr>
                <w:p>
                  <w:pPr>
                    <w:adjustRightInd w:val="0"/>
                    <w:spacing w:line="240" w:lineRule="auto"/>
                    <w:jc w:val="center"/>
                    <w:rPr>
                      <w:sz w:val="21"/>
                      <w:szCs w:val="21"/>
                    </w:rPr>
                  </w:pPr>
                  <w:r>
                    <w:rPr>
                      <w:sz w:val="21"/>
                      <w:szCs w:val="21"/>
                    </w:rPr>
                    <w:t>半挥发性有机物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35</w:t>
                  </w:r>
                </w:p>
              </w:tc>
              <w:tc>
                <w:tcPr>
                  <w:tcW w:w="1305" w:type="pct"/>
                  <w:shd w:val="clear" w:color="auto" w:fill="auto"/>
                  <w:noWrap w:val="0"/>
                  <w:vAlign w:val="center"/>
                </w:tcPr>
                <w:p>
                  <w:pPr>
                    <w:adjustRightInd w:val="0"/>
                    <w:spacing w:line="240" w:lineRule="auto"/>
                    <w:jc w:val="center"/>
                    <w:rPr>
                      <w:sz w:val="21"/>
                      <w:szCs w:val="21"/>
                    </w:rPr>
                  </w:pPr>
                  <w:r>
                    <w:rPr>
                      <w:sz w:val="21"/>
                      <w:szCs w:val="21"/>
                    </w:rPr>
                    <w:t>硝基苯</w:t>
                  </w:r>
                </w:p>
              </w:tc>
              <w:tc>
                <w:tcPr>
                  <w:tcW w:w="1020" w:type="pct"/>
                  <w:shd w:val="clear" w:color="auto" w:fill="auto"/>
                  <w:noWrap w:val="0"/>
                  <w:vAlign w:val="center"/>
                </w:tcPr>
                <w:p>
                  <w:pPr>
                    <w:adjustRightInd w:val="0"/>
                    <w:spacing w:line="240" w:lineRule="auto"/>
                    <w:jc w:val="center"/>
                    <w:rPr>
                      <w:sz w:val="21"/>
                      <w:szCs w:val="21"/>
                    </w:rPr>
                  </w:pPr>
                  <w:r>
                    <w:rPr>
                      <w:sz w:val="21"/>
                      <w:szCs w:val="21"/>
                    </w:rPr>
                    <w:t>98-95-3</w:t>
                  </w:r>
                </w:p>
              </w:tc>
              <w:tc>
                <w:tcPr>
                  <w:tcW w:w="1018" w:type="pct"/>
                  <w:shd w:val="clear" w:color="auto" w:fill="auto"/>
                  <w:noWrap w:val="0"/>
                  <w:vAlign w:val="center"/>
                </w:tcPr>
                <w:p>
                  <w:pPr>
                    <w:adjustRightInd w:val="0"/>
                    <w:spacing w:line="240" w:lineRule="auto"/>
                    <w:jc w:val="center"/>
                    <w:rPr>
                      <w:sz w:val="21"/>
                      <w:szCs w:val="21"/>
                    </w:rPr>
                  </w:pPr>
                  <w:r>
                    <w:rPr>
                      <w:sz w:val="21"/>
                      <w:szCs w:val="21"/>
                    </w:rPr>
                    <w:t>76</w:t>
                  </w:r>
                </w:p>
              </w:tc>
              <w:tc>
                <w:tcPr>
                  <w:tcW w:w="1010" w:type="pct"/>
                  <w:shd w:val="clear" w:color="auto" w:fill="auto"/>
                  <w:noWrap w:val="0"/>
                  <w:vAlign w:val="center"/>
                </w:tcPr>
                <w:p>
                  <w:pPr>
                    <w:adjustRightInd w:val="0"/>
                    <w:spacing w:line="240" w:lineRule="auto"/>
                    <w:jc w:val="center"/>
                    <w:rPr>
                      <w:sz w:val="21"/>
                      <w:szCs w:val="21"/>
                    </w:rPr>
                  </w:pPr>
                  <w:r>
                    <w:rPr>
                      <w:sz w:val="21"/>
                      <w:szCs w:val="21"/>
                    </w:rPr>
                    <w:t>760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9"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36</w:t>
                  </w:r>
                </w:p>
              </w:tc>
              <w:tc>
                <w:tcPr>
                  <w:tcW w:w="1305" w:type="pct"/>
                  <w:shd w:val="clear" w:color="auto" w:fill="auto"/>
                  <w:noWrap w:val="0"/>
                  <w:vAlign w:val="center"/>
                </w:tcPr>
                <w:p>
                  <w:pPr>
                    <w:adjustRightInd w:val="0"/>
                    <w:spacing w:line="240" w:lineRule="auto"/>
                    <w:jc w:val="center"/>
                    <w:rPr>
                      <w:sz w:val="21"/>
                      <w:szCs w:val="21"/>
                    </w:rPr>
                  </w:pPr>
                  <w:r>
                    <w:rPr>
                      <w:sz w:val="21"/>
                      <w:szCs w:val="21"/>
                    </w:rPr>
                    <w:t>苯胺</w:t>
                  </w:r>
                </w:p>
              </w:tc>
              <w:tc>
                <w:tcPr>
                  <w:tcW w:w="1020" w:type="pct"/>
                  <w:shd w:val="clear" w:color="auto" w:fill="auto"/>
                  <w:noWrap w:val="0"/>
                  <w:vAlign w:val="center"/>
                </w:tcPr>
                <w:p>
                  <w:pPr>
                    <w:adjustRightInd w:val="0"/>
                    <w:spacing w:line="240" w:lineRule="auto"/>
                    <w:jc w:val="center"/>
                    <w:rPr>
                      <w:sz w:val="21"/>
                      <w:szCs w:val="21"/>
                    </w:rPr>
                  </w:pPr>
                  <w:r>
                    <w:rPr>
                      <w:sz w:val="21"/>
                      <w:szCs w:val="21"/>
                    </w:rPr>
                    <w:t>62-53-3</w:t>
                  </w:r>
                </w:p>
              </w:tc>
              <w:tc>
                <w:tcPr>
                  <w:tcW w:w="1018" w:type="pct"/>
                  <w:shd w:val="clear" w:color="auto" w:fill="auto"/>
                  <w:noWrap w:val="0"/>
                  <w:vAlign w:val="center"/>
                </w:tcPr>
                <w:p>
                  <w:pPr>
                    <w:adjustRightInd w:val="0"/>
                    <w:spacing w:line="240" w:lineRule="auto"/>
                    <w:jc w:val="center"/>
                    <w:rPr>
                      <w:sz w:val="21"/>
                      <w:szCs w:val="21"/>
                    </w:rPr>
                  </w:pPr>
                  <w:r>
                    <w:rPr>
                      <w:sz w:val="21"/>
                      <w:szCs w:val="21"/>
                    </w:rPr>
                    <w:t>260</w:t>
                  </w:r>
                </w:p>
              </w:tc>
              <w:tc>
                <w:tcPr>
                  <w:tcW w:w="1010" w:type="pct"/>
                  <w:shd w:val="clear" w:color="auto" w:fill="auto"/>
                  <w:noWrap w:val="0"/>
                  <w:vAlign w:val="center"/>
                </w:tcPr>
                <w:p>
                  <w:pPr>
                    <w:adjustRightInd w:val="0"/>
                    <w:spacing w:line="240" w:lineRule="auto"/>
                    <w:jc w:val="center"/>
                    <w:rPr>
                      <w:sz w:val="21"/>
                      <w:szCs w:val="21"/>
                    </w:rPr>
                  </w:pPr>
                  <w:r>
                    <w:rPr>
                      <w:sz w:val="21"/>
                      <w:szCs w:val="21"/>
                    </w:rPr>
                    <w:t>663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37</w:t>
                  </w:r>
                </w:p>
              </w:tc>
              <w:tc>
                <w:tcPr>
                  <w:tcW w:w="1305" w:type="pct"/>
                  <w:shd w:val="clear" w:color="auto" w:fill="auto"/>
                  <w:noWrap w:val="0"/>
                  <w:vAlign w:val="center"/>
                </w:tcPr>
                <w:p>
                  <w:pPr>
                    <w:adjustRightInd w:val="0"/>
                    <w:spacing w:line="240" w:lineRule="auto"/>
                    <w:jc w:val="center"/>
                    <w:rPr>
                      <w:sz w:val="21"/>
                      <w:szCs w:val="21"/>
                    </w:rPr>
                  </w:pPr>
                  <w:r>
                    <w:rPr>
                      <w:sz w:val="21"/>
                      <w:szCs w:val="21"/>
                    </w:rPr>
                    <w:t>2-氯酚</w:t>
                  </w:r>
                </w:p>
              </w:tc>
              <w:tc>
                <w:tcPr>
                  <w:tcW w:w="1020" w:type="pct"/>
                  <w:shd w:val="clear" w:color="auto" w:fill="auto"/>
                  <w:noWrap w:val="0"/>
                  <w:vAlign w:val="center"/>
                </w:tcPr>
                <w:p>
                  <w:pPr>
                    <w:adjustRightInd w:val="0"/>
                    <w:spacing w:line="240" w:lineRule="auto"/>
                    <w:jc w:val="center"/>
                    <w:rPr>
                      <w:sz w:val="21"/>
                      <w:szCs w:val="21"/>
                    </w:rPr>
                  </w:pPr>
                  <w:r>
                    <w:rPr>
                      <w:sz w:val="21"/>
                      <w:szCs w:val="21"/>
                    </w:rPr>
                    <w:t>95-57-8</w:t>
                  </w:r>
                </w:p>
              </w:tc>
              <w:tc>
                <w:tcPr>
                  <w:tcW w:w="1018" w:type="pct"/>
                  <w:shd w:val="clear" w:color="auto" w:fill="auto"/>
                  <w:noWrap w:val="0"/>
                  <w:vAlign w:val="center"/>
                </w:tcPr>
                <w:p>
                  <w:pPr>
                    <w:adjustRightInd w:val="0"/>
                    <w:spacing w:line="240" w:lineRule="auto"/>
                    <w:jc w:val="center"/>
                    <w:rPr>
                      <w:sz w:val="21"/>
                      <w:szCs w:val="21"/>
                    </w:rPr>
                  </w:pPr>
                  <w:r>
                    <w:rPr>
                      <w:sz w:val="21"/>
                      <w:szCs w:val="21"/>
                    </w:rPr>
                    <w:t>2256</w:t>
                  </w:r>
                </w:p>
              </w:tc>
              <w:tc>
                <w:tcPr>
                  <w:tcW w:w="1010" w:type="pct"/>
                  <w:shd w:val="clear" w:color="auto" w:fill="auto"/>
                  <w:noWrap w:val="0"/>
                  <w:vAlign w:val="center"/>
                </w:tcPr>
                <w:p>
                  <w:pPr>
                    <w:adjustRightInd w:val="0"/>
                    <w:spacing w:line="240" w:lineRule="auto"/>
                    <w:jc w:val="center"/>
                    <w:rPr>
                      <w:sz w:val="21"/>
                      <w:szCs w:val="21"/>
                    </w:rPr>
                  </w:pPr>
                  <w:r>
                    <w:rPr>
                      <w:sz w:val="21"/>
                      <w:szCs w:val="21"/>
                    </w:rPr>
                    <w:t>4500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1"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38</w:t>
                  </w:r>
                </w:p>
              </w:tc>
              <w:tc>
                <w:tcPr>
                  <w:tcW w:w="1305" w:type="pct"/>
                  <w:shd w:val="clear" w:color="auto" w:fill="auto"/>
                  <w:noWrap w:val="0"/>
                  <w:vAlign w:val="center"/>
                </w:tcPr>
                <w:p>
                  <w:pPr>
                    <w:adjustRightInd w:val="0"/>
                    <w:spacing w:line="240" w:lineRule="auto"/>
                    <w:jc w:val="center"/>
                    <w:rPr>
                      <w:sz w:val="21"/>
                      <w:szCs w:val="21"/>
                    </w:rPr>
                  </w:pPr>
                  <w:r>
                    <w:rPr>
                      <w:sz w:val="21"/>
                      <w:szCs w:val="21"/>
                    </w:rPr>
                    <w:t>苯并[a]蒽</w:t>
                  </w:r>
                </w:p>
              </w:tc>
              <w:tc>
                <w:tcPr>
                  <w:tcW w:w="1020" w:type="pct"/>
                  <w:shd w:val="clear" w:color="auto" w:fill="auto"/>
                  <w:noWrap w:val="0"/>
                  <w:vAlign w:val="center"/>
                </w:tcPr>
                <w:p>
                  <w:pPr>
                    <w:adjustRightInd w:val="0"/>
                    <w:spacing w:line="240" w:lineRule="auto"/>
                    <w:jc w:val="center"/>
                    <w:rPr>
                      <w:sz w:val="21"/>
                      <w:szCs w:val="21"/>
                    </w:rPr>
                  </w:pPr>
                  <w:r>
                    <w:rPr>
                      <w:sz w:val="21"/>
                      <w:szCs w:val="21"/>
                    </w:rPr>
                    <w:t>56-55-3</w:t>
                  </w:r>
                </w:p>
              </w:tc>
              <w:tc>
                <w:tcPr>
                  <w:tcW w:w="1018" w:type="pct"/>
                  <w:shd w:val="clear" w:color="auto" w:fill="auto"/>
                  <w:noWrap w:val="0"/>
                  <w:vAlign w:val="center"/>
                </w:tcPr>
                <w:p>
                  <w:pPr>
                    <w:adjustRightInd w:val="0"/>
                    <w:spacing w:line="240" w:lineRule="auto"/>
                    <w:jc w:val="center"/>
                    <w:rPr>
                      <w:sz w:val="21"/>
                      <w:szCs w:val="21"/>
                    </w:rPr>
                  </w:pPr>
                  <w:r>
                    <w:rPr>
                      <w:sz w:val="21"/>
                      <w:szCs w:val="21"/>
                    </w:rPr>
                    <w:t>15</w:t>
                  </w:r>
                </w:p>
              </w:tc>
              <w:tc>
                <w:tcPr>
                  <w:tcW w:w="1010" w:type="pct"/>
                  <w:shd w:val="clear" w:color="auto" w:fill="auto"/>
                  <w:noWrap w:val="0"/>
                  <w:vAlign w:val="center"/>
                </w:tcPr>
                <w:p>
                  <w:pPr>
                    <w:adjustRightInd w:val="0"/>
                    <w:spacing w:line="240" w:lineRule="auto"/>
                    <w:jc w:val="center"/>
                    <w:rPr>
                      <w:sz w:val="21"/>
                      <w:szCs w:val="21"/>
                    </w:rPr>
                  </w:pPr>
                  <w:r>
                    <w:rPr>
                      <w:sz w:val="21"/>
                      <w:szCs w:val="21"/>
                    </w:rPr>
                    <w:t>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39</w:t>
                  </w:r>
                </w:p>
              </w:tc>
              <w:tc>
                <w:tcPr>
                  <w:tcW w:w="1305" w:type="pct"/>
                  <w:shd w:val="clear" w:color="auto" w:fill="auto"/>
                  <w:noWrap w:val="0"/>
                  <w:vAlign w:val="center"/>
                </w:tcPr>
                <w:p>
                  <w:pPr>
                    <w:adjustRightInd w:val="0"/>
                    <w:spacing w:line="240" w:lineRule="auto"/>
                    <w:jc w:val="center"/>
                    <w:rPr>
                      <w:sz w:val="21"/>
                      <w:szCs w:val="21"/>
                    </w:rPr>
                  </w:pPr>
                  <w:r>
                    <w:rPr>
                      <w:sz w:val="21"/>
                      <w:szCs w:val="21"/>
                    </w:rPr>
                    <w:t>苯并[a]芘</w:t>
                  </w:r>
                </w:p>
              </w:tc>
              <w:tc>
                <w:tcPr>
                  <w:tcW w:w="1020" w:type="pct"/>
                  <w:shd w:val="clear" w:color="auto" w:fill="auto"/>
                  <w:noWrap w:val="0"/>
                  <w:vAlign w:val="center"/>
                </w:tcPr>
                <w:p>
                  <w:pPr>
                    <w:adjustRightInd w:val="0"/>
                    <w:spacing w:line="240" w:lineRule="auto"/>
                    <w:jc w:val="center"/>
                    <w:rPr>
                      <w:sz w:val="21"/>
                      <w:szCs w:val="21"/>
                    </w:rPr>
                  </w:pPr>
                  <w:r>
                    <w:rPr>
                      <w:sz w:val="21"/>
                      <w:szCs w:val="21"/>
                    </w:rPr>
                    <w:t>50-32-8</w:t>
                  </w:r>
                </w:p>
              </w:tc>
              <w:tc>
                <w:tcPr>
                  <w:tcW w:w="1018" w:type="pct"/>
                  <w:shd w:val="clear" w:color="auto" w:fill="auto"/>
                  <w:noWrap w:val="0"/>
                  <w:vAlign w:val="center"/>
                </w:tcPr>
                <w:p>
                  <w:pPr>
                    <w:adjustRightInd w:val="0"/>
                    <w:spacing w:line="240" w:lineRule="auto"/>
                    <w:jc w:val="center"/>
                    <w:rPr>
                      <w:sz w:val="21"/>
                      <w:szCs w:val="21"/>
                    </w:rPr>
                  </w:pPr>
                  <w:r>
                    <w:rPr>
                      <w:sz w:val="21"/>
                      <w:szCs w:val="21"/>
                    </w:rPr>
                    <w:t>1.5</w:t>
                  </w:r>
                </w:p>
              </w:tc>
              <w:tc>
                <w:tcPr>
                  <w:tcW w:w="1010" w:type="pct"/>
                  <w:shd w:val="clear" w:color="auto" w:fill="auto"/>
                  <w:noWrap w:val="0"/>
                  <w:vAlign w:val="center"/>
                </w:tcPr>
                <w:p>
                  <w:pPr>
                    <w:adjustRightInd w:val="0"/>
                    <w:spacing w:line="240" w:lineRule="auto"/>
                    <w:jc w:val="center"/>
                    <w:rPr>
                      <w:sz w:val="21"/>
                      <w:szCs w:val="21"/>
                    </w:rPr>
                  </w:pPr>
                  <w:r>
                    <w:rPr>
                      <w:sz w:val="21"/>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8"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40</w:t>
                  </w:r>
                </w:p>
              </w:tc>
              <w:tc>
                <w:tcPr>
                  <w:tcW w:w="1305" w:type="pct"/>
                  <w:shd w:val="clear" w:color="auto" w:fill="auto"/>
                  <w:noWrap w:val="0"/>
                  <w:vAlign w:val="center"/>
                </w:tcPr>
                <w:p>
                  <w:pPr>
                    <w:adjustRightInd w:val="0"/>
                    <w:spacing w:line="240" w:lineRule="auto"/>
                    <w:jc w:val="center"/>
                    <w:rPr>
                      <w:sz w:val="21"/>
                      <w:szCs w:val="21"/>
                    </w:rPr>
                  </w:pPr>
                  <w:r>
                    <w:rPr>
                      <w:sz w:val="21"/>
                      <w:szCs w:val="21"/>
                    </w:rPr>
                    <w:t>苯并[b]荧蒽</w:t>
                  </w:r>
                </w:p>
              </w:tc>
              <w:tc>
                <w:tcPr>
                  <w:tcW w:w="1020" w:type="pct"/>
                  <w:shd w:val="clear" w:color="auto" w:fill="auto"/>
                  <w:noWrap w:val="0"/>
                  <w:vAlign w:val="center"/>
                </w:tcPr>
                <w:p>
                  <w:pPr>
                    <w:adjustRightInd w:val="0"/>
                    <w:spacing w:line="240" w:lineRule="auto"/>
                    <w:jc w:val="center"/>
                    <w:rPr>
                      <w:sz w:val="21"/>
                      <w:szCs w:val="21"/>
                    </w:rPr>
                  </w:pPr>
                  <w:r>
                    <w:rPr>
                      <w:sz w:val="21"/>
                      <w:szCs w:val="21"/>
                    </w:rPr>
                    <w:t>205-99-2</w:t>
                  </w:r>
                </w:p>
              </w:tc>
              <w:tc>
                <w:tcPr>
                  <w:tcW w:w="1018" w:type="pct"/>
                  <w:shd w:val="clear" w:color="auto" w:fill="auto"/>
                  <w:noWrap w:val="0"/>
                  <w:vAlign w:val="center"/>
                </w:tcPr>
                <w:p>
                  <w:pPr>
                    <w:adjustRightInd w:val="0"/>
                    <w:spacing w:line="240" w:lineRule="auto"/>
                    <w:jc w:val="center"/>
                    <w:rPr>
                      <w:sz w:val="21"/>
                      <w:szCs w:val="21"/>
                    </w:rPr>
                  </w:pPr>
                  <w:r>
                    <w:rPr>
                      <w:sz w:val="21"/>
                      <w:szCs w:val="21"/>
                    </w:rPr>
                    <w:t>15</w:t>
                  </w:r>
                </w:p>
              </w:tc>
              <w:tc>
                <w:tcPr>
                  <w:tcW w:w="1010" w:type="pct"/>
                  <w:shd w:val="clear" w:color="auto" w:fill="auto"/>
                  <w:noWrap w:val="0"/>
                  <w:vAlign w:val="center"/>
                </w:tcPr>
                <w:p>
                  <w:pPr>
                    <w:adjustRightInd w:val="0"/>
                    <w:spacing w:line="240" w:lineRule="auto"/>
                    <w:jc w:val="center"/>
                    <w:rPr>
                      <w:sz w:val="21"/>
                      <w:szCs w:val="21"/>
                    </w:rPr>
                  </w:pPr>
                  <w:r>
                    <w:rPr>
                      <w:sz w:val="21"/>
                      <w:szCs w:val="21"/>
                    </w:rPr>
                    <w:t>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41</w:t>
                  </w:r>
                </w:p>
              </w:tc>
              <w:tc>
                <w:tcPr>
                  <w:tcW w:w="1305" w:type="pct"/>
                  <w:shd w:val="clear" w:color="auto" w:fill="auto"/>
                  <w:noWrap w:val="0"/>
                  <w:vAlign w:val="center"/>
                </w:tcPr>
                <w:p>
                  <w:pPr>
                    <w:adjustRightInd w:val="0"/>
                    <w:spacing w:line="240" w:lineRule="auto"/>
                    <w:jc w:val="center"/>
                    <w:rPr>
                      <w:sz w:val="21"/>
                      <w:szCs w:val="21"/>
                    </w:rPr>
                  </w:pPr>
                  <w:r>
                    <w:rPr>
                      <w:sz w:val="21"/>
                      <w:szCs w:val="21"/>
                    </w:rPr>
                    <w:t>苯并[k]荧蒽</w:t>
                  </w:r>
                </w:p>
              </w:tc>
              <w:tc>
                <w:tcPr>
                  <w:tcW w:w="1020" w:type="pct"/>
                  <w:shd w:val="clear" w:color="auto" w:fill="auto"/>
                  <w:noWrap w:val="0"/>
                  <w:vAlign w:val="center"/>
                </w:tcPr>
                <w:p>
                  <w:pPr>
                    <w:adjustRightInd w:val="0"/>
                    <w:spacing w:line="240" w:lineRule="auto"/>
                    <w:jc w:val="center"/>
                    <w:rPr>
                      <w:sz w:val="21"/>
                      <w:szCs w:val="21"/>
                    </w:rPr>
                  </w:pPr>
                  <w:r>
                    <w:rPr>
                      <w:sz w:val="21"/>
                      <w:szCs w:val="21"/>
                    </w:rPr>
                    <w:t>207-08-9</w:t>
                  </w:r>
                </w:p>
              </w:tc>
              <w:tc>
                <w:tcPr>
                  <w:tcW w:w="1018" w:type="pct"/>
                  <w:shd w:val="clear" w:color="auto" w:fill="auto"/>
                  <w:noWrap w:val="0"/>
                  <w:vAlign w:val="center"/>
                </w:tcPr>
                <w:p>
                  <w:pPr>
                    <w:adjustRightInd w:val="0"/>
                    <w:spacing w:line="240" w:lineRule="auto"/>
                    <w:jc w:val="center"/>
                    <w:rPr>
                      <w:sz w:val="21"/>
                      <w:szCs w:val="21"/>
                    </w:rPr>
                  </w:pPr>
                  <w:r>
                    <w:rPr>
                      <w:sz w:val="21"/>
                      <w:szCs w:val="21"/>
                    </w:rPr>
                    <w:t>151</w:t>
                  </w:r>
                </w:p>
              </w:tc>
              <w:tc>
                <w:tcPr>
                  <w:tcW w:w="1010" w:type="pct"/>
                  <w:shd w:val="clear" w:color="auto" w:fill="auto"/>
                  <w:noWrap w:val="0"/>
                  <w:vAlign w:val="center"/>
                </w:tcPr>
                <w:p>
                  <w:pPr>
                    <w:adjustRightInd w:val="0"/>
                    <w:spacing w:line="240" w:lineRule="auto"/>
                    <w:jc w:val="center"/>
                    <w:rPr>
                      <w:sz w:val="21"/>
                      <w:szCs w:val="21"/>
                    </w:rPr>
                  </w:pPr>
                  <w:r>
                    <w:rPr>
                      <w:sz w:val="21"/>
                      <w:szCs w:val="21"/>
                    </w:rPr>
                    <w:t>1500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42</w:t>
                  </w:r>
                </w:p>
              </w:tc>
              <w:tc>
                <w:tcPr>
                  <w:tcW w:w="1305" w:type="pct"/>
                  <w:shd w:val="clear" w:color="auto" w:fill="auto"/>
                  <w:noWrap w:val="0"/>
                  <w:vAlign w:val="center"/>
                </w:tcPr>
                <w:p>
                  <w:pPr>
                    <w:adjustRightInd w:val="0"/>
                    <w:spacing w:line="240" w:lineRule="auto"/>
                    <w:jc w:val="center"/>
                    <w:rPr>
                      <w:sz w:val="21"/>
                      <w:szCs w:val="21"/>
                    </w:rPr>
                  </w:pPr>
                  <w:r>
                    <w:rPr>
                      <w:sz w:val="21"/>
                      <w:szCs w:val="21"/>
                    </w:rPr>
                    <w:t>䓛</w:t>
                  </w:r>
                </w:p>
              </w:tc>
              <w:tc>
                <w:tcPr>
                  <w:tcW w:w="1020" w:type="pct"/>
                  <w:shd w:val="clear" w:color="auto" w:fill="auto"/>
                  <w:noWrap w:val="0"/>
                  <w:vAlign w:val="center"/>
                </w:tcPr>
                <w:p>
                  <w:pPr>
                    <w:adjustRightInd w:val="0"/>
                    <w:spacing w:line="240" w:lineRule="auto"/>
                    <w:jc w:val="center"/>
                    <w:rPr>
                      <w:sz w:val="21"/>
                      <w:szCs w:val="21"/>
                    </w:rPr>
                  </w:pPr>
                  <w:r>
                    <w:rPr>
                      <w:sz w:val="21"/>
                      <w:szCs w:val="21"/>
                    </w:rPr>
                    <w:t>218-01-9</w:t>
                  </w:r>
                </w:p>
              </w:tc>
              <w:tc>
                <w:tcPr>
                  <w:tcW w:w="1018" w:type="pct"/>
                  <w:shd w:val="clear" w:color="auto" w:fill="auto"/>
                  <w:noWrap w:val="0"/>
                  <w:vAlign w:val="center"/>
                </w:tcPr>
                <w:p>
                  <w:pPr>
                    <w:adjustRightInd w:val="0"/>
                    <w:spacing w:line="240" w:lineRule="auto"/>
                    <w:jc w:val="center"/>
                    <w:rPr>
                      <w:sz w:val="21"/>
                      <w:szCs w:val="21"/>
                    </w:rPr>
                  </w:pPr>
                  <w:r>
                    <w:rPr>
                      <w:sz w:val="21"/>
                      <w:szCs w:val="21"/>
                    </w:rPr>
                    <w:t>1293</w:t>
                  </w:r>
                </w:p>
              </w:tc>
              <w:tc>
                <w:tcPr>
                  <w:tcW w:w="1010" w:type="pct"/>
                  <w:shd w:val="clear" w:color="auto" w:fill="auto"/>
                  <w:noWrap w:val="0"/>
                  <w:vAlign w:val="center"/>
                </w:tcPr>
                <w:p>
                  <w:pPr>
                    <w:adjustRightInd w:val="0"/>
                    <w:spacing w:line="240" w:lineRule="auto"/>
                    <w:jc w:val="center"/>
                    <w:rPr>
                      <w:sz w:val="21"/>
                      <w:szCs w:val="21"/>
                    </w:rPr>
                  </w:pPr>
                  <w:r>
                    <w:rPr>
                      <w:sz w:val="21"/>
                      <w:szCs w:val="21"/>
                    </w:rPr>
                    <w:t>12900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3"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43</w:t>
                  </w:r>
                </w:p>
              </w:tc>
              <w:tc>
                <w:tcPr>
                  <w:tcW w:w="1305" w:type="pct"/>
                  <w:shd w:val="clear" w:color="auto" w:fill="auto"/>
                  <w:noWrap w:val="0"/>
                  <w:vAlign w:val="center"/>
                </w:tcPr>
                <w:p>
                  <w:pPr>
                    <w:adjustRightInd w:val="0"/>
                    <w:spacing w:line="240" w:lineRule="auto"/>
                    <w:jc w:val="center"/>
                    <w:rPr>
                      <w:sz w:val="21"/>
                      <w:szCs w:val="21"/>
                    </w:rPr>
                  </w:pPr>
                  <w:r>
                    <w:rPr>
                      <w:sz w:val="21"/>
                      <w:szCs w:val="21"/>
                    </w:rPr>
                    <w:t>二苯并[a,h]蒽</w:t>
                  </w:r>
                </w:p>
              </w:tc>
              <w:tc>
                <w:tcPr>
                  <w:tcW w:w="1020" w:type="pct"/>
                  <w:shd w:val="clear" w:color="auto" w:fill="auto"/>
                  <w:noWrap w:val="0"/>
                  <w:vAlign w:val="center"/>
                </w:tcPr>
                <w:p>
                  <w:pPr>
                    <w:adjustRightInd w:val="0"/>
                    <w:spacing w:line="240" w:lineRule="auto"/>
                    <w:jc w:val="center"/>
                    <w:rPr>
                      <w:sz w:val="21"/>
                      <w:szCs w:val="21"/>
                    </w:rPr>
                  </w:pPr>
                  <w:r>
                    <w:rPr>
                      <w:sz w:val="21"/>
                      <w:szCs w:val="21"/>
                    </w:rPr>
                    <w:t>53-70-3</w:t>
                  </w:r>
                </w:p>
              </w:tc>
              <w:tc>
                <w:tcPr>
                  <w:tcW w:w="1018" w:type="pct"/>
                  <w:shd w:val="clear" w:color="auto" w:fill="auto"/>
                  <w:noWrap w:val="0"/>
                  <w:vAlign w:val="center"/>
                </w:tcPr>
                <w:p>
                  <w:pPr>
                    <w:adjustRightInd w:val="0"/>
                    <w:spacing w:line="240" w:lineRule="auto"/>
                    <w:jc w:val="center"/>
                    <w:rPr>
                      <w:sz w:val="21"/>
                      <w:szCs w:val="21"/>
                    </w:rPr>
                  </w:pPr>
                  <w:r>
                    <w:rPr>
                      <w:sz w:val="21"/>
                      <w:szCs w:val="21"/>
                    </w:rPr>
                    <w:t>1.5</w:t>
                  </w:r>
                </w:p>
              </w:tc>
              <w:tc>
                <w:tcPr>
                  <w:tcW w:w="1010" w:type="pct"/>
                  <w:shd w:val="clear" w:color="auto" w:fill="auto"/>
                  <w:noWrap w:val="0"/>
                  <w:vAlign w:val="center"/>
                </w:tcPr>
                <w:p>
                  <w:pPr>
                    <w:adjustRightInd w:val="0"/>
                    <w:spacing w:line="240" w:lineRule="auto"/>
                    <w:jc w:val="center"/>
                    <w:rPr>
                      <w:sz w:val="21"/>
                      <w:szCs w:val="21"/>
                    </w:rPr>
                  </w:pPr>
                  <w:r>
                    <w:rPr>
                      <w:sz w:val="21"/>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44</w:t>
                  </w:r>
                </w:p>
              </w:tc>
              <w:tc>
                <w:tcPr>
                  <w:tcW w:w="1305" w:type="pct"/>
                  <w:shd w:val="clear" w:color="auto" w:fill="auto"/>
                  <w:noWrap w:val="0"/>
                  <w:vAlign w:val="center"/>
                </w:tcPr>
                <w:p>
                  <w:pPr>
                    <w:adjustRightInd w:val="0"/>
                    <w:spacing w:line="240" w:lineRule="auto"/>
                    <w:jc w:val="center"/>
                    <w:rPr>
                      <w:sz w:val="21"/>
                      <w:szCs w:val="21"/>
                    </w:rPr>
                  </w:pPr>
                  <w:r>
                    <w:rPr>
                      <w:sz w:val="21"/>
                      <w:szCs w:val="21"/>
                    </w:rPr>
                    <w:t>茚并[1,2,3-cd]芘</w:t>
                  </w:r>
                </w:p>
              </w:tc>
              <w:tc>
                <w:tcPr>
                  <w:tcW w:w="1020" w:type="pct"/>
                  <w:shd w:val="clear" w:color="auto" w:fill="auto"/>
                  <w:noWrap w:val="0"/>
                  <w:vAlign w:val="center"/>
                </w:tcPr>
                <w:p>
                  <w:pPr>
                    <w:adjustRightInd w:val="0"/>
                    <w:spacing w:line="240" w:lineRule="auto"/>
                    <w:jc w:val="center"/>
                    <w:rPr>
                      <w:sz w:val="21"/>
                      <w:szCs w:val="21"/>
                    </w:rPr>
                  </w:pPr>
                  <w:r>
                    <w:rPr>
                      <w:sz w:val="21"/>
                      <w:szCs w:val="21"/>
                    </w:rPr>
                    <w:t>193-39-5</w:t>
                  </w:r>
                </w:p>
              </w:tc>
              <w:tc>
                <w:tcPr>
                  <w:tcW w:w="1018" w:type="pct"/>
                  <w:shd w:val="clear" w:color="auto" w:fill="auto"/>
                  <w:noWrap w:val="0"/>
                  <w:vAlign w:val="center"/>
                </w:tcPr>
                <w:p>
                  <w:pPr>
                    <w:adjustRightInd w:val="0"/>
                    <w:spacing w:line="240" w:lineRule="auto"/>
                    <w:jc w:val="center"/>
                    <w:rPr>
                      <w:sz w:val="21"/>
                      <w:szCs w:val="21"/>
                    </w:rPr>
                  </w:pPr>
                  <w:r>
                    <w:rPr>
                      <w:sz w:val="21"/>
                      <w:szCs w:val="21"/>
                    </w:rPr>
                    <w:t>15</w:t>
                  </w:r>
                </w:p>
              </w:tc>
              <w:tc>
                <w:tcPr>
                  <w:tcW w:w="1010" w:type="pct"/>
                  <w:shd w:val="clear" w:color="auto" w:fill="auto"/>
                  <w:noWrap w:val="0"/>
                  <w:vAlign w:val="center"/>
                </w:tcPr>
                <w:p>
                  <w:pPr>
                    <w:adjustRightInd w:val="0"/>
                    <w:spacing w:line="240" w:lineRule="auto"/>
                    <w:jc w:val="center"/>
                    <w:rPr>
                      <w:sz w:val="21"/>
                      <w:szCs w:val="21"/>
                    </w:rPr>
                  </w:pPr>
                  <w:r>
                    <w:rPr>
                      <w:sz w:val="21"/>
                      <w:szCs w:val="21"/>
                    </w:rPr>
                    <w:t>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47" w:type="pct"/>
                  <w:shd w:val="clear" w:color="auto" w:fill="auto"/>
                  <w:noWrap w:val="0"/>
                  <w:vAlign w:val="center"/>
                </w:tcPr>
                <w:p>
                  <w:pPr>
                    <w:adjustRightInd w:val="0"/>
                    <w:spacing w:line="240" w:lineRule="auto"/>
                    <w:jc w:val="center"/>
                    <w:rPr>
                      <w:sz w:val="21"/>
                      <w:szCs w:val="21"/>
                    </w:rPr>
                  </w:pPr>
                  <w:r>
                    <w:rPr>
                      <w:sz w:val="21"/>
                      <w:szCs w:val="21"/>
                    </w:rPr>
                    <w:t>45</w:t>
                  </w:r>
                </w:p>
              </w:tc>
              <w:tc>
                <w:tcPr>
                  <w:tcW w:w="1305" w:type="pct"/>
                  <w:shd w:val="clear" w:color="auto" w:fill="auto"/>
                  <w:noWrap w:val="0"/>
                  <w:vAlign w:val="center"/>
                </w:tcPr>
                <w:p>
                  <w:pPr>
                    <w:adjustRightInd w:val="0"/>
                    <w:spacing w:line="240" w:lineRule="auto"/>
                    <w:jc w:val="center"/>
                    <w:rPr>
                      <w:sz w:val="21"/>
                      <w:szCs w:val="21"/>
                    </w:rPr>
                  </w:pPr>
                  <w:r>
                    <w:rPr>
                      <w:sz w:val="21"/>
                      <w:szCs w:val="21"/>
                    </w:rPr>
                    <w:t>萘</w:t>
                  </w:r>
                </w:p>
              </w:tc>
              <w:tc>
                <w:tcPr>
                  <w:tcW w:w="1020" w:type="pct"/>
                  <w:shd w:val="clear" w:color="auto" w:fill="auto"/>
                  <w:noWrap w:val="0"/>
                  <w:vAlign w:val="center"/>
                </w:tcPr>
                <w:p>
                  <w:pPr>
                    <w:adjustRightInd w:val="0"/>
                    <w:spacing w:line="240" w:lineRule="auto"/>
                    <w:jc w:val="center"/>
                    <w:rPr>
                      <w:sz w:val="21"/>
                      <w:szCs w:val="21"/>
                    </w:rPr>
                  </w:pPr>
                  <w:r>
                    <w:rPr>
                      <w:sz w:val="21"/>
                      <w:szCs w:val="21"/>
                    </w:rPr>
                    <w:t>91-20-3</w:t>
                  </w:r>
                </w:p>
              </w:tc>
              <w:tc>
                <w:tcPr>
                  <w:tcW w:w="1018" w:type="pct"/>
                  <w:shd w:val="clear" w:color="auto" w:fill="auto"/>
                  <w:noWrap w:val="0"/>
                  <w:vAlign w:val="center"/>
                </w:tcPr>
                <w:p>
                  <w:pPr>
                    <w:adjustRightInd w:val="0"/>
                    <w:spacing w:line="240" w:lineRule="auto"/>
                    <w:jc w:val="center"/>
                    <w:rPr>
                      <w:sz w:val="21"/>
                      <w:szCs w:val="21"/>
                    </w:rPr>
                  </w:pPr>
                  <w:r>
                    <w:rPr>
                      <w:sz w:val="21"/>
                      <w:szCs w:val="21"/>
                    </w:rPr>
                    <w:t>70</w:t>
                  </w:r>
                </w:p>
              </w:tc>
              <w:tc>
                <w:tcPr>
                  <w:tcW w:w="1010" w:type="pct"/>
                  <w:shd w:val="clear" w:color="auto" w:fill="auto"/>
                  <w:noWrap w:val="0"/>
                  <w:vAlign w:val="center"/>
                </w:tcPr>
                <w:p>
                  <w:pPr>
                    <w:adjustRightInd w:val="0"/>
                    <w:spacing w:line="240" w:lineRule="auto"/>
                    <w:jc w:val="center"/>
                    <w:rPr>
                      <w:sz w:val="21"/>
                      <w:szCs w:val="21"/>
                    </w:rPr>
                  </w:pPr>
                  <w:r>
                    <w:rPr>
                      <w:sz w:val="21"/>
                      <w:szCs w:val="21"/>
                    </w:rPr>
                    <w:t>700</w:t>
                  </w:r>
                </w:p>
              </w:tc>
            </w:tr>
            <w:bookmarkEnd w:id="7"/>
          </w:tbl>
          <w:p>
            <w:pPr>
              <w:spacing w:line="360" w:lineRule="auto"/>
              <w:rPr>
                <w:sz w:val="24"/>
              </w:rPr>
            </w:pPr>
          </w:p>
          <w:p>
            <w:pPr>
              <w:spacing w:line="360" w:lineRule="auto"/>
              <w:ind w:right="-113"/>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949" w:hRule="atLeast"/>
          <w:jc w:val="center"/>
        </w:trPr>
        <w:tc>
          <w:tcPr>
            <w:tcW w:w="461" w:type="dxa"/>
            <w:noWrap w:val="0"/>
            <w:vAlign w:val="center"/>
          </w:tcPr>
          <w:p>
            <w:pPr>
              <w:snapToGrid w:val="0"/>
              <w:jc w:val="center"/>
              <w:rPr>
                <w:rFonts w:hint="eastAsia"/>
                <w:b/>
                <w:sz w:val="24"/>
              </w:rPr>
            </w:pPr>
            <w:r>
              <w:rPr>
                <w:rFonts w:hint="eastAsia"/>
                <w:b/>
                <w:sz w:val="24"/>
              </w:rPr>
              <w:t>污染物排放标准</w:t>
            </w:r>
          </w:p>
        </w:tc>
        <w:tc>
          <w:tcPr>
            <w:tcW w:w="8825" w:type="dxa"/>
            <w:noWrap w:val="0"/>
            <w:vAlign w:val="top"/>
          </w:tcPr>
          <w:p>
            <w:pPr>
              <w:spacing w:line="360" w:lineRule="auto"/>
              <w:ind w:firstLine="480" w:firstLineChars="200"/>
              <w:rPr>
                <w:rFonts w:ascii="宋体" w:hAnsi="宋体" w:cs="宋体"/>
                <w:sz w:val="24"/>
              </w:rPr>
            </w:pPr>
            <w:r>
              <w:rPr>
                <w:rFonts w:hint="eastAsia" w:ascii="宋体" w:hAnsi="宋体" w:cs="宋体"/>
                <w:sz w:val="24"/>
              </w:rPr>
              <w:t>⑴废气</w:t>
            </w:r>
          </w:p>
          <w:p>
            <w:pPr>
              <w:spacing w:line="360" w:lineRule="auto"/>
              <w:ind w:firstLine="480" w:firstLineChars="200"/>
              <w:rPr>
                <w:rFonts w:hint="eastAsia"/>
                <w:sz w:val="24"/>
                <w:highlight w:val="none"/>
              </w:rPr>
            </w:pPr>
            <w:bookmarkStart w:id="8" w:name="_Hlk532457872"/>
            <w:r>
              <w:rPr>
                <w:rFonts w:hint="eastAsia"/>
                <w:sz w:val="24"/>
                <w:highlight w:val="none"/>
              </w:rPr>
              <w:t>本项目</w:t>
            </w:r>
            <w:r>
              <w:rPr>
                <w:rFonts w:hint="eastAsia"/>
                <w:sz w:val="24"/>
                <w:highlight w:val="none"/>
                <w:lang w:val="en-US" w:eastAsia="zh-CN"/>
              </w:rPr>
              <w:t>施工期</w:t>
            </w:r>
            <w:r>
              <w:rPr>
                <w:rFonts w:hint="eastAsia"/>
                <w:sz w:val="24"/>
                <w:highlight w:val="none"/>
              </w:rPr>
              <w:t>产生的废气执行《大气污染物综合排放标准》（GB16297-1996）中颗粒物的无组织排放监控浓度限值。</w:t>
            </w:r>
          </w:p>
          <w:bookmarkEnd w:id="8"/>
          <w:p>
            <w:pPr>
              <w:adjustRightInd w:val="0"/>
              <w:snapToGrid w:val="0"/>
              <w:spacing w:line="360" w:lineRule="auto"/>
              <w:jc w:val="center"/>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eastAsia" w:ascii="Times New Roman" w:hAnsi="Times New Roman" w:eastAsia="黑体" w:cs="Times New Roman"/>
                <w:sz w:val="24"/>
                <w:lang w:val="en-US" w:eastAsia="zh-CN"/>
              </w:rPr>
              <w:t>4-</w:t>
            </w:r>
            <w:r>
              <w:rPr>
                <w:rFonts w:hint="eastAsia" w:eastAsia="黑体" w:cs="Times New Roman"/>
                <w:sz w:val="24"/>
                <w:lang w:val="en-US" w:eastAsia="zh-CN"/>
              </w:rPr>
              <w:t>6</w:t>
            </w:r>
            <w:r>
              <w:rPr>
                <w:rFonts w:hint="default" w:ascii="Times New Roman" w:hAnsi="Times New Roman" w:eastAsia="黑体" w:cs="Times New Roman"/>
                <w:sz w:val="24"/>
              </w:rPr>
              <w:t xml:space="preserve">   《大气污染物综合排放标准》(GB16297-1996)   单位：mg/m</w:t>
            </w:r>
            <w:r>
              <w:rPr>
                <w:rFonts w:hint="default" w:ascii="Times New Roman" w:hAnsi="Times New Roman" w:eastAsia="黑体" w:cs="Times New Roman"/>
                <w:sz w:val="24"/>
                <w:vertAlign w:val="superscript"/>
              </w:rPr>
              <w:t>3</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3477"/>
              <w:gridCol w:w="5102"/>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3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szCs w:val="21"/>
                      <w:highlight w:val="none"/>
                    </w:rPr>
                  </w:pPr>
                  <w:r>
                    <w:rPr>
                      <w:b/>
                      <w:szCs w:val="21"/>
                      <w:highlight w:val="none"/>
                    </w:rPr>
                    <w:t>污染物</w:t>
                  </w:r>
                </w:p>
              </w:tc>
              <w:tc>
                <w:tcPr>
                  <w:tcW w:w="5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szCs w:val="21"/>
                      <w:highlight w:val="none"/>
                    </w:rPr>
                  </w:pPr>
                  <w:r>
                    <w:rPr>
                      <w:b/>
                      <w:szCs w:val="21"/>
                      <w:highlight w:val="none"/>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3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szCs w:val="21"/>
                      <w:highlight w:val="none"/>
                    </w:rPr>
                  </w:pPr>
                  <w:r>
                    <w:rPr>
                      <w:szCs w:val="21"/>
                      <w:highlight w:val="none"/>
                    </w:rPr>
                    <w:t>颗粒物</w:t>
                  </w:r>
                </w:p>
              </w:tc>
              <w:tc>
                <w:tcPr>
                  <w:tcW w:w="5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szCs w:val="21"/>
                      <w:highlight w:val="none"/>
                    </w:rPr>
                  </w:pPr>
                  <w:r>
                    <w:rPr>
                      <w:szCs w:val="21"/>
                      <w:highlight w:val="none"/>
                    </w:rPr>
                    <w:t>1.0</w:t>
                  </w:r>
                </w:p>
              </w:tc>
            </w:tr>
          </w:tbl>
          <w:p>
            <w:pPr>
              <w:spacing w:line="360" w:lineRule="auto"/>
              <w:ind w:firstLine="480" w:firstLineChars="200"/>
              <w:rPr>
                <w:rFonts w:ascii="宋体" w:hAnsi="宋体" w:cs="宋体"/>
                <w:sz w:val="24"/>
              </w:rPr>
            </w:pPr>
            <w:r>
              <w:rPr>
                <w:rFonts w:hint="eastAsia" w:ascii="宋体" w:hAnsi="宋体" w:cs="宋体"/>
                <w:sz w:val="24"/>
                <w:lang w:eastAsia="zh-CN"/>
              </w:rPr>
              <w:t>⑵</w:t>
            </w:r>
            <w:r>
              <w:rPr>
                <w:rFonts w:hint="eastAsia" w:ascii="宋体" w:hAnsi="宋体" w:cs="宋体"/>
                <w:sz w:val="24"/>
              </w:rPr>
              <w:t>噪声</w:t>
            </w:r>
          </w:p>
          <w:p>
            <w:pPr>
              <w:adjustRightInd w:val="0"/>
              <w:snapToGrid/>
              <w:spacing w:line="360" w:lineRule="auto"/>
              <w:ind w:firstLine="480" w:firstLineChars="200"/>
              <w:jc w:val="left"/>
              <w:rPr>
                <w:rFonts w:hint="default" w:ascii="Times New Roman" w:hAnsi="Times New Roman" w:eastAsia="黑体" w:cs="Times New Roman"/>
                <w:sz w:val="24"/>
              </w:rPr>
            </w:pPr>
            <w:r>
              <w:rPr>
                <w:sz w:val="24"/>
              </w:rPr>
              <w:t>施工期噪声排放执行《建筑施工厂界环境噪声排放标准》(GB12523-2011)</w:t>
            </w:r>
            <w:r>
              <w:rPr>
                <w:rFonts w:hint="eastAsia"/>
                <w:sz w:val="24"/>
              </w:rPr>
              <w:t>表1</w:t>
            </w:r>
            <w:r>
              <w:rPr>
                <w:sz w:val="24"/>
              </w:rPr>
              <w:t>中</w:t>
            </w:r>
            <w:r>
              <w:rPr>
                <w:rFonts w:hint="eastAsia"/>
                <w:sz w:val="24"/>
              </w:rPr>
              <w:t>限值</w:t>
            </w:r>
            <w:r>
              <w:rPr>
                <w:sz w:val="24"/>
              </w:rPr>
              <w:t>。</w:t>
            </w:r>
          </w:p>
          <w:p>
            <w:pPr>
              <w:adjustRightInd w:val="0"/>
              <w:snapToGrid w:val="0"/>
              <w:spacing w:line="360" w:lineRule="auto"/>
              <w:jc w:val="center"/>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eastAsia" w:ascii="Times New Roman" w:hAnsi="Times New Roman" w:eastAsia="黑体" w:cs="Times New Roman"/>
                <w:sz w:val="24"/>
                <w:lang w:val="en-US" w:eastAsia="zh-CN"/>
              </w:rPr>
              <w:t>4-</w:t>
            </w:r>
            <w:r>
              <w:rPr>
                <w:rFonts w:hint="eastAsia" w:eastAsia="黑体" w:cs="Times New Roman"/>
                <w:sz w:val="24"/>
                <w:lang w:val="en-US" w:eastAsia="zh-CN"/>
              </w:rPr>
              <w:t>7</w:t>
            </w:r>
            <w:r>
              <w:rPr>
                <w:rFonts w:hint="eastAsia" w:ascii="Times New Roman" w:hAnsi="Times New Roman" w:eastAsia="黑体" w:cs="Times New Roman"/>
                <w:sz w:val="24"/>
                <w:lang w:val="en-US" w:eastAsia="zh-CN"/>
              </w:rPr>
              <w:t xml:space="preserve">    </w:t>
            </w:r>
            <w:r>
              <w:rPr>
                <w:rFonts w:hint="eastAsia" w:ascii="Times New Roman" w:hAnsi="Times New Roman" w:eastAsia="黑体" w:cs="Times New Roman"/>
                <w:sz w:val="24"/>
              </w:rPr>
              <w:t>《建筑施工厂界环境噪声排放标准》(GB12523-2011)</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57"/>
              <w:gridCol w:w="42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7" w:type="dxa"/>
                  <w:tcBorders>
                    <w:tl2br w:val="nil"/>
                    <w:tr2bl w:val="nil"/>
                  </w:tcBorders>
                  <w:noWrap w:val="0"/>
                  <w:vAlign w:val="center"/>
                </w:tcPr>
                <w:p>
                  <w:pPr>
                    <w:adjustRightInd w:val="0"/>
                    <w:spacing w:line="240" w:lineRule="exact"/>
                    <w:jc w:val="center"/>
                    <w:rPr>
                      <w:b/>
                      <w:szCs w:val="21"/>
                    </w:rPr>
                  </w:pPr>
                  <w:r>
                    <w:rPr>
                      <w:b/>
                      <w:szCs w:val="21"/>
                    </w:rPr>
                    <w:t>昼间</w:t>
                  </w:r>
                  <w:r>
                    <w:rPr>
                      <w:b/>
                      <w:sz w:val="21"/>
                      <w:szCs w:val="21"/>
                    </w:rPr>
                    <w:t>dB(A)</w:t>
                  </w:r>
                </w:p>
              </w:tc>
              <w:tc>
                <w:tcPr>
                  <w:tcW w:w="4261" w:type="dxa"/>
                  <w:tcBorders>
                    <w:tl2br w:val="nil"/>
                    <w:tr2bl w:val="nil"/>
                  </w:tcBorders>
                  <w:noWrap w:val="0"/>
                  <w:vAlign w:val="center"/>
                </w:tcPr>
                <w:p>
                  <w:pPr>
                    <w:adjustRightInd w:val="0"/>
                    <w:spacing w:line="240" w:lineRule="exact"/>
                    <w:jc w:val="center"/>
                    <w:rPr>
                      <w:b/>
                      <w:szCs w:val="21"/>
                    </w:rPr>
                  </w:pPr>
                  <w:r>
                    <w:rPr>
                      <w:b/>
                      <w:szCs w:val="21"/>
                    </w:rPr>
                    <w:t>夜间</w:t>
                  </w:r>
                  <w:r>
                    <w:rPr>
                      <w:b/>
                      <w:sz w:val="21"/>
                      <w:szCs w:val="21"/>
                    </w:rPr>
                    <w:t>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57" w:type="dxa"/>
                  <w:tcBorders>
                    <w:tl2br w:val="nil"/>
                    <w:tr2bl w:val="nil"/>
                  </w:tcBorders>
                  <w:noWrap w:val="0"/>
                  <w:vAlign w:val="center"/>
                </w:tcPr>
                <w:p>
                  <w:pPr>
                    <w:adjustRightInd w:val="0"/>
                    <w:spacing w:line="240" w:lineRule="exact"/>
                    <w:jc w:val="center"/>
                    <w:rPr>
                      <w:szCs w:val="21"/>
                    </w:rPr>
                  </w:pPr>
                  <w:r>
                    <w:rPr>
                      <w:szCs w:val="21"/>
                    </w:rPr>
                    <w:t>70</w:t>
                  </w:r>
                </w:p>
              </w:tc>
              <w:tc>
                <w:tcPr>
                  <w:tcW w:w="4261" w:type="dxa"/>
                  <w:tcBorders>
                    <w:tl2br w:val="nil"/>
                    <w:tr2bl w:val="nil"/>
                  </w:tcBorders>
                  <w:noWrap w:val="0"/>
                  <w:vAlign w:val="center"/>
                </w:tcPr>
                <w:p>
                  <w:pPr>
                    <w:adjustRightInd w:val="0"/>
                    <w:spacing w:line="240" w:lineRule="exact"/>
                    <w:jc w:val="center"/>
                    <w:rPr>
                      <w:szCs w:val="21"/>
                    </w:rPr>
                  </w:pPr>
                  <w:r>
                    <w:rPr>
                      <w:szCs w:val="21"/>
                    </w:rPr>
                    <w:t>55</w:t>
                  </w:r>
                </w:p>
              </w:tc>
            </w:tr>
          </w:tbl>
          <w:p>
            <w:pPr>
              <w:spacing w:line="360" w:lineRule="auto"/>
              <w:ind w:firstLine="480" w:firstLineChars="200"/>
              <w:rPr>
                <w:rFonts w:hint="eastAsia"/>
                <w:sz w:val="24"/>
                <w:lang w:eastAsia="zh-CN"/>
              </w:rPr>
            </w:pPr>
          </w:p>
          <w:p>
            <w:pPr>
              <w:spacing w:line="360" w:lineRule="auto"/>
              <w:rPr>
                <w:rFonts w:hint="eastAsia"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949" w:hRule="atLeast"/>
          <w:jc w:val="center"/>
        </w:trPr>
        <w:tc>
          <w:tcPr>
            <w:tcW w:w="461" w:type="dxa"/>
            <w:noWrap w:val="0"/>
            <w:vAlign w:val="center"/>
          </w:tcPr>
          <w:p>
            <w:pPr>
              <w:snapToGrid w:val="0"/>
              <w:jc w:val="center"/>
              <w:rPr>
                <w:rFonts w:hint="eastAsia"/>
                <w:b/>
                <w:sz w:val="24"/>
              </w:rPr>
            </w:pPr>
            <w:r>
              <w:rPr>
                <w:rFonts w:hint="eastAsia"/>
                <w:b/>
                <w:sz w:val="24"/>
              </w:rPr>
              <w:t>总量控制</w:t>
            </w:r>
          </w:p>
        </w:tc>
        <w:tc>
          <w:tcPr>
            <w:tcW w:w="8825" w:type="dxa"/>
            <w:noWrap w:val="0"/>
            <w:vAlign w:val="center"/>
          </w:tcPr>
          <w:p>
            <w:pPr>
              <w:pStyle w:val="2"/>
              <w:ind w:firstLine="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adjustRightInd w:val="0"/>
              <w:spacing w:line="360" w:lineRule="auto"/>
              <w:ind w:firstLine="480" w:firstLineChars="200"/>
              <w:jc w:val="center"/>
              <w:rPr>
                <w:rFonts w:hint="eastAsia"/>
                <w:sz w:val="24"/>
                <w:szCs w:val="24"/>
                <w:lang w:val="en-US" w:eastAsia="zh-CN"/>
              </w:rPr>
            </w:pPr>
            <w:r>
              <w:rPr>
                <w:rFonts w:hint="eastAsia"/>
                <w:sz w:val="24"/>
                <w:szCs w:val="24"/>
                <w:lang w:val="en-US" w:eastAsia="zh-CN"/>
              </w:rPr>
              <w:t>无</w:t>
            </w:r>
          </w:p>
          <w:p>
            <w:pPr>
              <w:pStyle w:val="2"/>
              <w:rPr>
                <w:rFonts w:hint="eastAsia" w:ascii="宋体" w:hAnsi="宋体" w:cs="宋体"/>
                <w:sz w:val="24"/>
                <w:lang w:val="en-US" w:eastAsia="zh-CN"/>
              </w:rPr>
            </w:pPr>
          </w:p>
          <w:p>
            <w:pPr>
              <w:pStyle w:val="2"/>
              <w:ind w:firstLine="0"/>
              <w:rPr>
                <w:rFonts w:hint="eastAsia" w:ascii="宋体" w:hAnsi="宋体" w:cs="宋体"/>
                <w:sz w:val="24"/>
                <w:lang w:val="en-US" w:eastAsia="zh-CN"/>
              </w:rPr>
            </w:pPr>
          </w:p>
        </w:tc>
      </w:tr>
    </w:tbl>
    <w:p>
      <w:pPr>
        <w:pStyle w:val="15"/>
        <w:spacing w:line="240" w:lineRule="auto"/>
        <w:jc w:val="both"/>
        <w:outlineLvl w:val="0"/>
        <w:rPr>
          <w:rFonts w:hint="default" w:ascii="Times New Roman" w:hAnsi="Times New Roman" w:eastAsia="宋体" w:cs="Times New Roman"/>
          <w:b/>
          <w:bCs/>
          <w:sz w:val="32"/>
          <w:szCs w:val="32"/>
        </w:rPr>
      </w:pPr>
      <w:r>
        <w:rPr>
          <w:rFonts w:hint="eastAsia" w:ascii="Times New Roman" w:hAnsi="Times New Roman" w:eastAsia="宋体" w:cs="Times New Roman"/>
          <w:b/>
          <w:bCs/>
          <w:sz w:val="32"/>
          <w:szCs w:val="32"/>
          <w:lang w:eastAsia="zh-CN"/>
        </w:rPr>
        <w:t>五、</w:t>
      </w:r>
      <w:r>
        <w:rPr>
          <w:rFonts w:hint="default" w:ascii="Times New Roman" w:hAnsi="Times New Roman" w:eastAsia="宋体" w:cs="Times New Roman"/>
          <w:b/>
          <w:bCs/>
          <w:sz w:val="32"/>
          <w:szCs w:val="32"/>
        </w:rPr>
        <w:t>建设项目工程分析</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286" w:type="dxa"/>
            <w:noWrap w:val="0"/>
            <w:vAlign w:val="top"/>
          </w:tcPr>
          <w:p>
            <w:pPr>
              <w:adjustRightInd w:val="0"/>
              <w:spacing w:line="360" w:lineRule="auto"/>
              <w:ind w:firstLine="562" w:firstLineChars="200"/>
              <w:rPr>
                <w:rFonts w:hint="default"/>
                <w:b/>
                <w:bCs/>
                <w:sz w:val="28"/>
                <w:szCs w:val="28"/>
                <w:lang w:val="en-US" w:eastAsia="zh-CN"/>
              </w:rPr>
            </w:pPr>
            <w:r>
              <w:rPr>
                <w:rFonts w:hint="eastAsia"/>
                <w:b/>
                <w:bCs/>
                <w:sz w:val="28"/>
                <w:szCs w:val="28"/>
                <w:lang w:val="en-US" w:eastAsia="zh-CN"/>
              </w:rPr>
              <w:t>工艺流程简述</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000000"/>
                <w:sz w:val="24"/>
                <w:highlight w:val="none"/>
                <w:lang w:val="en-US" w:eastAsia="zh-CN"/>
              </w:rPr>
            </w:pPr>
            <w:r>
              <w:rPr>
                <w:rFonts w:hint="eastAsia"/>
                <w:color w:val="000000"/>
                <w:sz w:val="24"/>
                <w:highlight w:val="none"/>
                <w:lang w:val="en-US" w:eastAsia="zh-CN"/>
              </w:rPr>
              <w:t>本项目为环境整治工程，主要环境影响来自施工期，项目运营期除产生雨水径流外，不排放其他污染物。主要内容如下：</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color w:val="000000"/>
                <w:sz w:val="24"/>
                <w:lang w:val="en-US" w:eastAsia="zh-CN"/>
              </w:rPr>
            </w:pPr>
            <w:r>
              <w:object>
                <v:shape id="_x0000_i1025" o:spt="75" type="#_x0000_t75" style="height:192pt;width:387.65pt;" o:ole="t" filled="f" o:preferrelative="t" stroked="f" coordsize="21600,21600">
                  <v:path/>
                  <v:fill on="f" focussize="0,0"/>
                  <v:stroke on="f"/>
                  <v:imagedata r:id="rId19" o:title=""/>
                  <o:lock v:ext="edit" aspectratio="f"/>
                  <w10:wrap type="none"/>
                  <w10:anchorlock/>
                </v:shape>
                <o:OLEObject Type="Embed" ProgID="Visio.Drawing.15" ShapeID="_x0000_i1025" DrawAspect="Content" ObjectID="_1468075725" r:id="rId18">
                  <o:LockedField>false</o:LockedField>
                </o:OLEObject>
              </w:objec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jc w:val="left"/>
              <w:textAlignment w:val="auto"/>
              <w:rPr>
                <w:rFonts w:hint="default"/>
                <w:b/>
                <w:bCs/>
                <w:color w:val="000000"/>
                <w:sz w:val="24"/>
                <w:lang w:val="en-US" w:eastAsia="zh-CN"/>
              </w:rPr>
            </w:pPr>
            <w:r>
              <w:rPr>
                <w:rFonts w:hint="eastAsia"/>
                <w:b/>
                <w:bCs/>
                <w:color w:val="000000"/>
                <w:sz w:val="24"/>
                <w:lang w:val="en-US" w:eastAsia="zh-CN"/>
              </w:rPr>
              <w:t>图5-1  项目基本流程示意图</w:t>
            </w:r>
          </w:p>
          <w:p>
            <w:pPr>
              <w:adjustRightInd w:val="0"/>
              <w:spacing w:line="360" w:lineRule="auto"/>
              <w:ind w:firstLine="480" w:firstLineChars="200"/>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⑴</w:t>
            </w:r>
            <w:r>
              <w:rPr>
                <w:rFonts w:hint="eastAsia" w:ascii="Times New Roman" w:hAnsi="Times New Roman" w:eastAsia="宋体" w:cs="Times New Roman"/>
                <w:kern w:val="2"/>
                <w:sz w:val="24"/>
                <w:szCs w:val="24"/>
                <w:highlight w:val="none"/>
                <w:lang w:val="en-US" w:eastAsia="zh-CN" w:bidi="ar"/>
              </w:rPr>
              <w:t>土方回填压实</w:t>
            </w:r>
          </w:p>
          <w:p>
            <w:pPr>
              <w:keepNext w:val="0"/>
              <w:keepLines w:val="0"/>
              <w:widowControl w:val="0"/>
              <w:numPr>
                <w:ilvl w:val="-1"/>
                <w:numId w:val="0"/>
              </w:numPr>
              <w:suppressLineNumbers w:val="0"/>
              <w:adjustRightInd w:val="0"/>
              <w:spacing w:line="360" w:lineRule="auto"/>
              <w:ind w:firstLine="480" w:firstLineChars="200"/>
              <w:jc w:val="left"/>
              <w:rPr>
                <w:rFonts w:hint="eastAsia" w:ascii="Times New Roman" w:hAnsi="Times New Roman" w:cs="Times New Roman"/>
                <w:sz w:val="24"/>
                <w:highlight w:val="none"/>
                <w:lang w:val="en-US" w:eastAsia="zh-CN"/>
              </w:rPr>
            </w:pPr>
            <w:r>
              <w:rPr>
                <w:rFonts w:hint="eastAsia"/>
                <w:sz w:val="24"/>
                <w:highlight w:val="none"/>
                <w:lang w:val="en-US" w:eastAsia="zh-CN"/>
              </w:rPr>
              <w:t>①</w:t>
            </w:r>
            <w:r>
              <w:rPr>
                <w:rFonts w:hint="eastAsia" w:ascii="Times New Roman" w:hAnsi="Times New Roman" w:cs="Times New Roman"/>
                <w:sz w:val="24"/>
                <w:highlight w:val="none"/>
                <w:lang w:val="en-US" w:eastAsia="zh-CN"/>
              </w:rPr>
              <w:t>煤炭治理区</w:t>
            </w:r>
          </w:p>
          <w:p>
            <w:pPr>
              <w:keepNext w:val="0"/>
              <w:keepLines w:val="0"/>
              <w:widowControl w:val="0"/>
              <w:numPr>
                <w:ilvl w:val="-1"/>
                <w:numId w:val="0"/>
              </w:numPr>
              <w:suppressLineNumbers w:val="0"/>
              <w:adjustRightInd w:val="0"/>
              <w:spacing w:line="360" w:lineRule="auto"/>
              <w:ind w:firstLine="480" w:firstLineChars="200"/>
              <w:jc w:val="left"/>
              <w:rPr>
                <w:rFonts w:hint="default" w:cs="Times New Roman"/>
                <w:kern w:val="2"/>
                <w:sz w:val="24"/>
                <w:szCs w:val="24"/>
                <w:highlight w:val="none"/>
                <w:lang w:val="en-US" w:eastAsia="zh-CN" w:bidi="ar"/>
              </w:rPr>
            </w:pPr>
            <w:r>
              <w:rPr>
                <w:rFonts w:hint="default" w:ascii="Times New Roman" w:hAnsi="Times New Roman" w:eastAsia="宋体" w:cs="Times New Roman"/>
                <w:b w:val="0"/>
                <w:color w:val="auto"/>
                <w:kern w:val="2"/>
                <w:sz w:val="24"/>
                <w:szCs w:val="24"/>
                <w:highlight w:val="none"/>
                <w:lang w:val="en-US" w:eastAsia="zh-CN" w:bidi="ar"/>
              </w:rPr>
              <w:t>M1</w:t>
            </w:r>
            <w:r>
              <w:rPr>
                <w:rFonts w:ascii="Times New Roman" w:hAnsi="Times New Roman" w:eastAsia="宋体" w:cs="Times New Roman"/>
                <w:b w:val="0"/>
                <w:color w:val="auto"/>
                <w:kern w:val="2"/>
                <w:sz w:val="24"/>
                <w:szCs w:val="24"/>
                <w:highlight w:val="none"/>
                <w:lang w:val="en-US" w:eastAsia="zh-CN" w:bidi="ar"/>
              </w:rPr>
              <w:t>区治理工程设计</w:t>
            </w:r>
          </w:p>
          <w:p>
            <w:pPr>
              <w:keepNext w:val="0"/>
              <w:keepLines w:val="0"/>
              <w:widowControl w:val="0"/>
              <w:numPr>
                <w:ilvl w:val="-1"/>
                <w:numId w:val="0"/>
              </w:numPr>
              <w:suppressLineNumbers w:val="0"/>
              <w:adjustRightInd w:val="0"/>
              <w:spacing w:line="360" w:lineRule="auto"/>
              <w:ind w:firstLine="480" w:firstLineChars="200"/>
              <w:jc w:val="left"/>
              <w:rPr>
                <w:rFonts w:ascii="Times New Roman" w:hAnsi="Times New Roman" w:eastAsia="宋体" w:cs="Times New Roman"/>
                <w:color w:val="auto"/>
                <w:kern w:val="2"/>
                <w:sz w:val="24"/>
                <w:szCs w:val="24"/>
                <w:highlight w:val="none"/>
                <w:lang w:val="en-US" w:eastAsia="zh-CN" w:bidi="ar"/>
              </w:rPr>
            </w:pPr>
            <w:r>
              <w:rPr>
                <w:rFonts w:ascii="Times New Roman" w:hAnsi="Times New Roman" w:eastAsia="宋体" w:cs="Times New Roman"/>
                <w:color w:val="auto"/>
                <w:kern w:val="2"/>
                <w:sz w:val="24"/>
                <w:szCs w:val="24"/>
                <w:highlight w:val="none"/>
                <w:lang w:val="en-US" w:eastAsia="zh-CN" w:bidi="ar"/>
              </w:rPr>
              <w:t xml:space="preserve">主要将渣堆回填至尾坑，将高陡边坡进行削坡。根据现状地形高程及坡度将 </w:t>
            </w:r>
            <w:r>
              <w:rPr>
                <w:rFonts w:hint="default" w:ascii="Times New Roman" w:hAnsi="Times New Roman" w:eastAsia="宋体" w:cs="Times New Roman"/>
                <w:color w:val="auto"/>
                <w:kern w:val="2"/>
                <w:sz w:val="24"/>
                <w:szCs w:val="24"/>
                <w:highlight w:val="none"/>
                <w:lang w:val="en-US" w:eastAsia="zh-CN" w:bidi="ar"/>
              </w:rPr>
              <w:t xml:space="preserve">M1 </w:t>
            </w:r>
            <w:r>
              <w:rPr>
                <w:rFonts w:ascii="Times New Roman" w:hAnsi="Times New Roman" w:eastAsia="宋体" w:cs="Times New Roman"/>
                <w:color w:val="auto"/>
                <w:kern w:val="2"/>
                <w:sz w:val="24"/>
                <w:szCs w:val="24"/>
                <w:highlight w:val="none"/>
                <w:lang w:val="en-US" w:eastAsia="zh-CN" w:bidi="ar"/>
              </w:rPr>
              <w:t>区划分为</w:t>
            </w:r>
            <w:r>
              <w:rPr>
                <w:rFonts w:hint="default" w:ascii="Times New Roman" w:hAnsi="Times New Roman" w:eastAsia="宋体" w:cs="Times New Roman"/>
                <w:color w:val="auto"/>
                <w:kern w:val="2"/>
                <w:sz w:val="24"/>
                <w:szCs w:val="24"/>
                <w:highlight w:val="none"/>
                <w:lang w:val="en-US" w:eastAsia="zh-CN" w:bidi="ar"/>
              </w:rPr>
              <w:t>6</w:t>
            </w:r>
            <w:r>
              <w:rPr>
                <w:rFonts w:ascii="Times New Roman" w:hAnsi="Times New Roman" w:eastAsia="宋体" w:cs="Times New Roman"/>
                <w:color w:val="auto"/>
                <w:kern w:val="2"/>
                <w:sz w:val="24"/>
                <w:szCs w:val="24"/>
                <w:highlight w:val="none"/>
                <w:lang w:val="en-US" w:eastAsia="zh-CN" w:bidi="ar"/>
              </w:rPr>
              <w:t>个主要治理分区单元。分区单元见</w:t>
            </w:r>
            <w:r>
              <w:rPr>
                <w:rFonts w:ascii="Times New Roman" w:hAnsi="Times New Roman" w:eastAsia="宋体" w:cs="Times New Roman"/>
                <w:color w:val="000000"/>
                <w:kern w:val="2"/>
                <w:sz w:val="24"/>
                <w:szCs w:val="24"/>
                <w:highlight w:val="none"/>
                <w:lang w:val="en-US" w:eastAsia="zh-CN" w:bidi="ar"/>
              </w:rPr>
              <w:t>图</w:t>
            </w:r>
            <w:r>
              <w:rPr>
                <w:rFonts w:hint="eastAsia" w:cs="Times New Roman"/>
                <w:color w:val="auto"/>
                <w:kern w:val="2"/>
                <w:sz w:val="24"/>
                <w:szCs w:val="24"/>
                <w:highlight w:val="none"/>
                <w:lang w:val="en-US" w:eastAsia="zh-CN" w:bidi="ar"/>
              </w:rPr>
              <w:t>1-7</w:t>
            </w:r>
            <w:r>
              <w:rPr>
                <w:rFonts w:ascii="Times New Roman" w:hAnsi="Times New Roman" w:eastAsia="宋体" w:cs="Times New Roman"/>
                <w:color w:val="auto"/>
                <w:kern w:val="2"/>
                <w:sz w:val="24"/>
                <w:szCs w:val="24"/>
                <w:highlight w:val="none"/>
                <w:lang w:val="en-US" w:eastAsia="zh-CN" w:bidi="ar"/>
              </w:rPr>
              <w:t>。其中</w:t>
            </w:r>
            <w:r>
              <w:rPr>
                <w:rFonts w:hint="default" w:ascii="Times New Roman" w:hAnsi="Times New Roman" w:eastAsia="宋体" w:cs="Times New Roman"/>
                <w:color w:val="auto"/>
                <w:kern w:val="2"/>
                <w:sz w:val="24"/>
                <w:szCs w:val="24"/>
                <w:highlight w:val="none"/>
                <w:lang w:val="en-US" w:eastAsia="zh-CN" w:bidi="ar"/>
              </w:rPr>
              <w:t>①</w:t>
            </w:r>
            <w:r>
              <w:rPr>
                <w:rFonts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②</w:t>
            </w:r>
            <w:r>
              <w:rPr>
                <w:rFonts w:ascii="Times New Roman" w:hAnsi="Times New Roman" w:eastAsia="宋体" w:cs="Times New Roman"/>
                <w:color w:val="auto"/>
                <w:kern w:val="2"/>
                <w:sz w:val="24"/>
                <w:szCs w:val="24"/>
                <w:highlight w:val="none"/>
                <w:lang w:val="en-US" w:eastAsia="zh-CN" w:bidi="ar"/>
              </w:rPr>
              <w:t>区为尾坑，</w:t>
            </w:r>
            <w:r>
              <w:rPr>
                <w:rFonts w:hint="default" w:ascii="Times New Roman" w:hAnsi="Times New Roman" w:eastAsia="宋体" w:cs="Times New Roman"/>
                <w:color w:val="auto"/>
                <w:kern w:val="2"/>
                <w:sz w:val="24"/>
                <w:szCs w:val="24"/>
                <w:highlight w:val="none"/>
                <w:lang w:val="en-US" w:eastAsia="zh-CN" w:bidi="ar"/>
              </w:rPr>
              <w:t>③</w:t>
            </w:r>
            <w:r>
              <w:rPr>
                <w:rFonts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④⑤</w:t>
            </w:r>
            <w:r>
              <w:rPr>
                <w:rFonts w:ascii="Times New Roman" w:hAnsi="Times New Roman" w:eastAsia="宋体" w:cs="Times New Roman"/>
                <w:color w:val="auto"/>
                <w:kern w:val="2"/>
                <w:sz w:val="24"/>
                <w:szCs w:val="24"/>
                <w:highlight w:val="none"/>
                <w:lang w:val="en-US" w:eastAsia="zh-CN" w:bidi="ar"/>
              </w:rPr>
              <w:t>区为渣堆，</w:t>
            </w:r>
            <w:r>
              <w:rPr>
                <w:rFonts w:hint="default" w:ascii="Times New Roman" w:hAnsi="Times New Roman" w:eastAsia="宋体" w:cs="Times New Roman"/>
                <w:color w:val="auto"/>
                <w:kern w:val="2"/>
                <w:sz w:val="24"/>
                <w:szCs w:val="24"/>
                <w:highlight w:val="none"/>
                <w:lang w:val="en-US" w:eastAsia="zh-CN" w:bidi="ar"/>
              </w:rPr>
              <w:t>①</w:t>
            </w:r>
            <w:r>
              <w:rPr>
                <w:rFonts w:ascii="Times New Roman" w:hAnsi="Times New Roman" w:eastAsia="宋体" w:cs="Times New Roman"/>
                <w:color w:val="auto"/>
                <w:kern w:val="2"/>
                <w:sz w:val="24"/>
                <w:szCs w:val="24"/>
                <w:highlight w:val="none"/>
                <w:lang w:val="en-US" w:eastAsia="zh-CN" w:bidi="ar"/>
              </w:rPr>
              <w:t>至</w:t>
            </w:r>
            <w:r>
              <w:rPr>
                <w:rFonts w:hint="default" w:ascii="Times New Roman" w:hAnsi="Times New Roman" w:eastAsia="宋体" w:cs="Times New Roman"/>
                <w:color w:val="auto"/>
                <w:kern w:val="2"/>
                <w:sz w:val="24"/>
                <w:szCs w:val="24"/>
                <w:highlight w:val="none"/>
                <w:lang w:val="en-US" w:eastAsia="zh-CN" w:bidi="ar"/>
              </w:rPr>
              <w:t>⑤</w:t>
            </w:r>
            <w:r>
              <w:rPr>
                <w:rFonts w:ascii="Times New Roman" w:hAnsi="Times New Roman" w:eastAsia="宋体" w:cs="Times New Roman"/>
                <w:color w:val="auto"/>
                <w:kern w:val="2"/>
                <w:sz w:val="24"/>
                <w:szCs w:val="24"/>
                <w:highlight w:val="none"/>
                <w:lang w:val="en-US" w:eastAsia="zh-CN" w:bidi="ar"/>
              </w:rPr>
              <w:t>区进行土方回填压实，挖方</w:t>
            </w:r>
            <w:r>
              <w:rPr>
                <w:rFonts w:hint="default" w:ascii="Times New Roman" w:hAnsi="Times New Roman" w:eastAsia="宋体" w:cs="Times New Roman"/>
                <w:color w:val="auto"/>
                <w:kern w:val="2"/>
                <w:sz w:val="24"/>
                <w:szCs w:val="24"/>
                <w:highlight w:val="none"/>
                <w:lang w:val="en-US" w:eastAsia="zh-CN" w:bidi="ar"/>
              </w:rPr>
              <w:t>57899m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，填方</w:t>
            </w:r>
            <w:r>
              <w:rPr>
                <w:rFonts w:hint="default" w:ascii="Times New Roman" w:hAnsi="Times New Roman" w:eastAsia="宋体" w:cs="Times New Roman"/>
                <w:color w:val="auto"/>
                <w:kern w:val="2"/>
                <w:sz w:val="24"/>
                <w:szCs w:val="24"/>
                <w:highlight w:val="none"/>
                <w:lang w:val="en-US" w:eastAsia="zh-CN" w:bidi="ar"/>
              </w:rPr>
              <w:t>56788m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⑥</w:t>
            </w:r>
            <w:r>
              <w:rPr>
                <w:rFonts w:ascii="Times New Roman" w:hAnsi="Times New Roman" w:eastAsia="宋体" w:cs="Times New Roman"/>
                <w:color w:val="auto"/>
                <w:kern w:val="2"/>
                <w:sz w:val="24"/>
                <w:szCs w:val="24"/>
                <w:highlight w:val="none"/>
                <w:lang w:val="en-US" w:eastAsia="zh-CN" w:bidi="ar"/>
              </w:rPr>
              <w:t>单元为不稳定边坡削坡地段，最终削坡坡度</w:t>
            </w:r>
            <w:r>
              <w:rPr>
                <w:rFonts w:hint="default" w:ascii="Times New Roman" w:hAnsi="Times New Roman" w:eastAsia="宋体" w:cs="Times New Roman"/>
                <w:color w:val="auto"/>
                <w:kern w:val="2"/>
                <w:sz w:val="24"/>
                <w:szCs w:val="24"/>
                <w:highlight w:val="none"/>
                <w:lang w:val="en-US" w:eastAsia="zh-CN" w:bidi="ar"/>
              </w:rPr>
              <w:t>≤20°</w:t>
            </w:r>
            <w:r>
              <w:rPr>
                <w:rFonts w:ascii="Times New Roman" w:hAnsi="Times New Roman" w:eastAsia="宋体" w:cs="Times New Roman"/>
                <w:color w:val="auto"/>
                <w:kern w:val="2"/>
                <w:sz w:val="24"/>
                <w:szCs w:val="24"/>
                <w:highlight w:val="none"/>
                <w:lang w:val="en-US" w:eastAsia="zh-CN" w:bidi="ar"/>
              </w:rPr>
              <w:t>，削坡量为</w:t>
            </w:r>
            <w:r>
              <w:rPr>
                <w:rFonts w:hint="default" w:ascii="Times New Roman" w:hAnsi="Times New Roman" w:eastAsia="宋体" w:cs="Times New Roman"/>
                <w:color w:val="auto"/>
                <w:kern w:val="2"/>
                <w:sz w:val="24"/>
                <w:szCs w:val="24"/>
                <w:highlight w:val="none"/>
                <w:lang w:val="en-US" w:eastAsia="zh-CN" w:bidi="ar"/>
              </w:rPr>
              <w:t>53460m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，削坡过程中将细颗粒的黄土覆盖至各单元，以达到植被生长的要求。</w:t>
            </w:r>
          </w:p>
          <w:p>
            <w:pPr>
              <w:keepNext w:val="0"/>
              <w:keepLines w:val="0"/>
              <w:widowControl w:val="0"/>
              <w:numPr>
                <w:ilvl w:val="-1"/>
                <w:numId w:val="0"/>
              </w:numPr>
              <w:suppressLineNumbers w:val="0"/>
              <w:adjustRightInd w:val="0"/>
              <w:spacing w:line="360" w:lineRule="auto"/>
              <w:ind w:firstLine="480" w:firstLineChars="200"/>
              <w:jc w:val="left"/>
              <w:rPr>
                <w:rFonts w:hint="default" w:cs="Times New Roman"/>
                <w:kern w:val="2"/>
                <w:sz w:val="24"/>
                <w:szCs w:val="24"/>
                <w:highlight w:val="none"/>
                <w:lang w:val="en-US" w:eastAsia="zh-CN" w:bidi="ar"/>
              </w:rPr>
            </w:pPr>
            <w:r>
              <w:rPr>
                <w:rFonts w:hint="default" w:ascii="Times New Roman" w:hAnsi="Times New Roman" w:eastAsia="宋体" w:cs="Times New Roman"/>
                <w:b w:val="0"/>
                <w:kern w:val="2"/>
                <w:sz w:val="24"/>
                <w:szCs w:val="24"/>
                <w:highlight w:val="none"/>
                <w:lang w:val="en-US" w:eastAsia="zh-CN" w:bidi="ar"/>
              </w:rPr>
              <w:t>M</w:t>
            </w:r>
            <w:r>
              <w:rPr>
                <w:rFonts w:hint="default" w:cs="Times New Roman"/>
                <w:b w:val="0"/>
                <w:kern w:val="2"/>
                <w:sz w:val="24"/>
                <w:szCs w:val="24"/>
                <w:highlight w:val="none"/>
                <w:lang w:val="en-US" w:eastAsia="zh-CN" w:bidi="ar"/>
              </w:rPr>
              <w:t>2</w:t>
            </w:r>
            <w:r>
              <w:rPr>
                <w:rFonts w:ascii="Times New Roman" w:hAnsi="Times New Roman" w:eastAsia="宋体" w:cs="Times New Roman"/>
                <w:b w:val="0"/>
                <w:kern w:val="2"/>
                <w:sz w:val="24"/>
                <w:szCs w:val="24"/>
                <w:highlight w:val="none"/>
                <w:lang w:val="en-US" w:eastAsia="zh-CN" w:bidi="ar"/>
              </w:rPr>
              <w:t>区治理工程设计</w:t>
            </w:r>
          </w:p>
          <w:p>
            <w:pPr>
              <w:keepNext w:val="0"/>
              <w:keepLines w:val="0"/>
              <w:widowControl w:val="0"/>
              <w:numPr>
                <w:ilvl w:val="-1"/>
                <w:numId w:val="0"/>
              </w:numPr>
              <w:suppressLineNumbers w:val="0"/>
              <w:adjustRightInd w:val="0"/>
              <w:spacing w:line="360" w:lineRule="auto"/>
              <w:ind w:firstLine="480" w:firstLineChars="200"/>
              <w:jc w:val="left"/>
              <w:rPr>
                <w:rFonts w:ascii="Times New Roman" w:hAnsi="Times New Roman" w:eastAsia="宋体" w:cs="Times New Roman"/>
                <w:color w:val="auto"/>
                <w:kern w:val="2"/>
                <w:sz w:val="24"/>
                <w:szCs w:val="24"/>
                <w:highlight w:val="none"/>
                <w:lang w:val="en-US" w:eastAsia="zh-CN" w:bidi="ar"/>
              </w:rPr>
            </w:pPr>
            <w:r>
              <w:rPr>
                <w:rFonts w:ascii="Times New Roman" w:hAnsi="Times New Roman" w:eastAsia="宋体" w:cs="Times New Roman"/>
                <w:color w:val="auto"/>
                <w:kern w:val="2"/>
                <w:sz w:val="24"/>
                <w:szCs w:val="24"/>
                <w:highlight w:val="none"/>
                <w:lang w:val="en-US" w:eastAsia="zh-CN" w:bidi="ar"/>
              </w:rPr>
              <w:t>将</w:t>
            </w:r>
            <w:r>
              <w:rPr>
                <w:rFonts w:hint="default" w:ascii="Times New Roman" w:hAnsi="Times New Roman" w:eastAsia="宋体" w:cs="Times New Roman"/>
                <w:color w:val="auto"/>
                <w:kern w:val="2"/>
                <w:sz w:val="24"/>
                <w:szCs w:val="24"/>
                <w:highlight w:val="none"/>
                <w:lang w:val="en-US" w:eastAsia="zh-CN" w:bidi="ar"/>
              </w:rPr>
              <w:t>M2</w:t>
            </w:r>
            <w:r>
              <w:rPr>
                <w:rFonts w:ascii="Times New Roman" w:hAnsi="Times New Roman" w:eastAsia="宋体" w:cs="Times New Roman"/>
                <w:color w:val="auto"/>
                <w:kern w:val="2"/>
                <w:sz w:val="24"/>
                <w:szCs w:val="24"/>
                <w:highlight w:val="none"/>
                <w:lang w:val="en-US" w:eastAsia="zh-CN" w:bidi="ar"/>
              </w:rPr>
              <w:t>区分为</w:t>
            </w:r>
            <w:r>
              <w:rPr>
                <w:rFonts w:hint="default" w:ascii="Times New Roman" w:hAnsi="Times New Roman" w:eastAsia="宋体" w:cs="Times New Roman"/>
                <w:color w:val="auto"/>
                <w:kern w:val="2"/>
                <w:sz w:val="24"/>
                <w:szCs w:val="24"/>
                <w:highlight w:val="none"/>
                <w:lang w:val="en-US" w:eastAsia="zh-CN" w:bidi="ar"/>
              </w:rPr>
              <w:t>3</w:t>
            </w:r>
            <w:r>
              <w:rPr>
                <w:rFonts w:ascii="Times New Roman" w:hAnsi="Times New Roman" w:eastAsia="宋体" w:cs="Times New Roman"/>
                <w:color w:val="auto"/>
                <w:kern w:val="2"/>
                <w:sz w:val="24"/>
                <w:szCs w:val="24"/>
                <w:highlight w:val="none"/>
                <w:lang w:val="en-US" w:eastAsia="zh-CN" w:bidi="ar"/>
              </w:rPr>
              <w:t>个治理单元，</w:t>
            </w:r>
            <w:r>
              <w:rPr>
                <w:rFonts w:ascii="Times New Roman" w:hAnsi="Times New Roman" w:eastAsia="宋体" w:cs="Times New Roman"/>
                <w:kern w:val="2"/>
                <w:sz w:val="24"/>
                <w:szCs w:val="24"/>
                <w:highlight w:val="none"/>
                <w:lang w:val="en-US" w:eastAsia="zh-CN" w:bidi="ar"/>
              </w:rPr>
              <w:t>分区单元见</w:t>
            </w:r>
            <w:r>
              <w:rPr>
                <w:rFonts w:ascii="Times New Roman" w:hAnsi="Times New Roman" w:eastAsia="宋体" w:cs="Times New Roman"/>
                <w:color w:val="auto"/>
                <w:kern w:val="2"/>
                <w:sz w:val="24"/>
                <w:szCs w:val="24"/>
                <w:highlight w:val="none"/>
                <w:lang w:val="en-US" w:eastAsia="zh-CN" w:bidi="ar"/>
              </w:rPr>
              <w:t>图</w:t>
            </w:r>
            <w:r>
              <w:rPr>
                <w:rFonts w:hint="eastAsia" w:cs="Times New Roman"/>
                <w:color w:val="auto"/>
                <w:kern w:val="2"/>
                <w:sz w:val="24"/>
                <w:szCs w:val="24"/>
                <w:highlight w:val="none"/>
                <w:lang w:val="en-US" w:eastAsia="zh-CN" w:bidi="ar"/>
              </w:rPr>
              <w:t>1-8。</w:t>
            </w:r>
            <w:r>
              <w:rPr>
                <w:rFonts w:ascii="Times New Roman" w:hAnsi="Times New Roman" w:eastAsia="宋体" w:cs="Times New Roman"/>
                <w:color w:val="auto"/>
                <w:kern w:val="2"/>
                <w:sz w:val="24"/>
                <w:szCs w:val="24"/>
                <w:highlight w:val="none"/>
                <w:lang w:val="en-US" w:eastAsia="zh-CN" w:bidi="ar"/>
              </w:rPr>
              <w:t>其中</w:t>
            </w:r>
            <w:r>
              <w:rPr>
                <w:rFonts w:hint="default" w:ascii="Times New Roman" w:hAnsi="Times New Roman" w:eastAsia="宋体" w:cs="Times New Roman"/>
                <w:color w:val="auto"/>
                <w:kern w:val="2"/>
                <w:sz w:val="24"/>
                <w:szCs w:val="24"/>
                <w:highlight w:val="none"/>
                <w:lang w:val="en-US" w:eastAsia="zh-CN" w:bidi="ar"/>
              </w:rPr>
              <w:t>①</w:t>
            </w:r>
            <w:r>
              <w:rPr>
                <w:rFonts w:ascii="Times New Roman" w:hAnsi="Times New Roman" w:eastAsia="宋体" w:cs="Times New Roman"/>
                <w:color w:val="auto"/>
                <w:kern w:val="2"/>
                <w:sz w:val="24"/>
                <w:szCs w:val="24"/>
                <w:highlight w:val="none"/>
                <w:lang w:val="en-US" w:eastAsia="zh-CN" w:bidi="ar"/>
              </w:rPr>
              <w:t>单元平均标高</w:t>
            </w:r>
            <w:r>
              <w:rPr>
                <w:rFonts w:hint="default" w:ascii="Times New Roman" w:hAnsi="Times New Roman" w:eastAsia="宋体" w:cs="Times New Roman"/>
                <w:color w:val="auto"/>
                <w:kern w:val="2"/>
                <w:sz w:val="24"/>
                <w:szCs w:val="24"/>
                <w:highlight w:val="none"/>
                <w:lang w:val="en-US" w:eastAsia="zh-CN" w:bidi="ar"/>
              </w:rPr>
              <w:t>1508.44m</w:t>
            </w:r>
            <w:r>
              <w:rPr>
                <w:rFonts w:hint="eastAsia" w:cs="Times New Roman"/>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②</w:t>
            </w:r>
            <w:r>
              <w:rPr>
                <w:rFonts w:ascii="Times New Roman" w:hAnsi="Times New Roman" w:eastAsia="宋体" w:cs="Times New Roman"/>
                <w:color w:val="auto"/>
                <w:kern w:val="2"/>
                <w:sz w:val="24"/>
                <w:szCs w:val="24"/>
                <w:highlight w:val="none"/>
                <w:lang w:val="en-US" w:eastAsia="zh-CN" w:bidi="ar"/>
              </w:rPr>
              <w:t>单元平均标高</w:t>
            </w:r>
            <w:r>
              <w:rPr>
                <w:rFonts w:hint="default" w:ascii="Times New Roman" w:hAnsi="Times New Roman" w:eastAsia="宋体" w:cs="Times New Roman"/>
                <w:color w:val="auto"/>
                <w:kern w:val="2"/>
                <w:sz w:val="24"/>
                <w:szCs w:val="24"/>
                <w:highlight w:val="none"/>
                <w:lang w:val="en-US" w:eastAsia="zh-CN" w:bidi="ar"/>
              </w:rPr>
              <w:t>1520.05m</w:t>
            </w:r>
            <w:r>
              <w:rPr>
                <w:rFonts w:ascii="Times New Roman" w:hAnsi="Times New Roman" w:eastAsia="宋体" w:cs="Times New Roman"/>
                <w:color w:val="auto"/>
                <w:kern w:val="2"/>
                <w:sz w:val="24"/>
                <w:szCs w:val="24"/>
                <w:highlight w:val="none"/>
                <w:lang w:val="en-US" w:eastAsia="zh-CN" w:bidi="ar"/>
              </w:rPr>
              <w:t>、③单元平均标高</w:t>
            </w:r>
            <w:r>
              <w:rPr>
                <w:rFonts w:hint="default" w:ascii="Times New Roman" w:hAnsi="Times New Roman" w:eastAsia="宋体" w:cs="Times New Roman"/>
                <w:color w:val="auto"/>
                <w:kern w:val="2"/>
                <w:sz w:val="24"/>
                <w:szCs w:val="24"/>
                <w:highlight w:val="none"/>
                <w:lang w:val="en-US" w:eastAsia="zh-CN" w:bidi="ar"/>
              </w:rPr>
              <w:t>1506.55m</w:t>
            </w:r>
            <w:r>
              <w:rPr>
                <w:rFonts w:ascii="Times New Roman" w:hAnsi="Times New Roman" w:eastAsia="宋体" w:cs="Times New Roman"/>
                <w:color w:val="auto"/>
                <w:kern w:val="2"/>
                <w:sz w:val="24"/>
                <w:szCs w:val="24"/>
                <w:highlight w:val="none"/>
                <w:lang w:val="en-US" w:eastAsia="zh-CN" w:bidi="ar"/>
              </w:rPr>
              <w:t>，地形设置</w:t>
            </w:r>
            <w:r>
              <w:rPr>
                <w:rFonts w:hint="default" w:ascii="Times New Roman" w:hAnsi="Times New Roman" w:eastAsia="宋体" w:cs="Times New Roman"/>
                <w:color w:val="auto"/>
                <w:kern w:val="2"/>
                <w:sz w:val="24"/>
                <w:szCs w:val="24"/>
                <w:highlight w:val="none"/>
                <w:lang w:val="en-US" w:eastAsia="zh-CN" w:bidi="ar"/>
              </w:rPr>
              <w:t>2%-3%</w:t>
            </w:r>
            <w:r>
              <w:rPr>
                <w:rFonts w:ascii="Times New Roman" w:hAnsi="Times New Roman" w:eastAsia="宋体" w:cs="Times New Roman"/>
                <w:color w:val="auto"/>
                <w:kern w:val="2"/>
                <w:sz w:val="24"/>
                <w:szCs w:val="24"/>
                <w:highlight w:val="none"/>
                <w:lang w:val="en-US" w:eastAsia="zh-CN" w:bidi="ar"/>
              </w:rPr>
              <w:t>坡度</w:t>
            </w:r>
            <w:r>
              <w:rPr>
                <w:rFonts w:hint="eastAsia" w:cs="Times New Roman"/>
                <w:kern w:val="2"/>
                <w:sz w:val="24"/>
                <w:szCs w:val="24"/>
                <w:highlight w:val="none"/>
                <w:lang w:val="en-US" w:eastAsia="zh-CN" w:bidi="ar"/>
              </w:rPr>
              <w:t>。</w:t>
            </w:r>
            <w:r>
              <w:rPr>
                <w:rFonts w:ascii="Times New Roman" w:hAnsi="Times New Roman" w:eastAsia="宋体" w:cs="Times New Roman"/>
                <w:color w:val="auto"/>
                <w:kern w:val="2"/>
                <w:sz w:val="24"/>
                <w:szCs w:val="24"/>
                <w:highlight w:val="none"/>
                <w:lang w:val="en-US" w:eastAsia="zh-CN" w:bidi="ar"/>
              </w:rPr>
              <w:t>挖方量为</w:t>
            </w:r>
            <w:r>
              <w:rPr>
                <w:rFonts w:hint="default" w:ascii="Times New Roman" w:hAnsi="Times New Roman" w:eastAsia="宋体" w:cs="Times New Roman"/>
                <w:color w:val="auto"/>
                <w:kern w:val="2"/>
                <w:sz w:val="24"/>
                <w:szCs w:val="24"/>
                <w:highlight w:val="none"/>
                <w:lang w:val="en-US" w:eastAsia="zh-CN" w:bidi="ar"/>
              </w:rPr>
              <w:t>106056.05m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，填方量为</w:t>
            </w:r>
            <w:r>
              <w:rPr>
                <w:rFonts w:hint="default" w:ascii="Times New Roman" w:hAnsi="Times New Roman" w:eastAsia="宋体" w:cs="Times New Roman"/>
                <w:color w:val="auto"/>
                <w:kern w:val="2"/>
                <w:sz w:val="24"/>
                <w:szCs w:val="24"/>
                <w:highlight w:val="none"/>
                <w:lang w:val="en-US" w:eastAsia="zh-CN" w:bidi="ar"/>
              </w:rPr>
              <w:t>106285.46m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，挖填方运距</w:t>
            </w:r>
            <w:r>
              <w:rPr>
                <w:rFonts w:hint="default" w:ascii="Times New Roman" w:hAnsi="Times New Roman" w:eastAsia="宋体" w:cs="Times New Roman"/>
                <w:color w:val="auto"/>
                <w:kern w:val="2"/>
                <w:sz w:val="24"/>
                <w:szCs w:val="24"/>
                <w:highlight w:val="none"/>
                <w:lang w:val="en-US" w:eastAsia="zh-CN" w:bidi="ar"/>
              </w:rPr>
              <w:t>500m</w:t>
            </w:r>
            <w:r>
              <w:rPr>
                <w:rFonts w:ascii="Times New Roman" w:hAnsi="Times New Roman" w:eastAsia="宋体" w:cs="Times New Roman"/>
                <w:color w:val="auto"/>
                <w:kern w:val="2"/>
                <w:sz w:val="24"/>
                <w:szCs w:val="24"/>
                <w:highlight w:val="none"/>
                <w:lang w:val="en-US" w:eastAsia="zh-CN" w:bidi="ar"/>
              </w:rPr>
              <w:t>以内。</w:t>
            </w:r>
          </w:p>
          <w:p>
            <w:pPr>
              <w:keepNext w:val="0"/>
              <w:keepLines w:val="0"/>
              <w:widowControl w:val="0"/>
              <w:numPr>
                <w:ilvl w:val="-1"/>
                <w:numId w:val="0"/>
              </w:numPr>
              <w:suppressLineNumbers w:val="0"/>
              <w:adjustRightInd w:val="0"/>
              <w:spacing w:line="360" w:lineRule="auto"/>
              <w:ind w:firstLine="480" w:firstLineChars="200"/>
              <w:jc w:val="left"/>
              <w:rPr>
                <w:rFonts w:hint="default" w:cs="Times New Roman"/>
                <w:kern w:val="2"/>
                <w:sz w:val="24"/>
                <w:szCs w:val="24"/>
                <w:highlight w:val="none"/>
                <w:lang w:val="en-US" w:eastAsia="zh-CN" w:bidi="ar"/>
              </w:rPr>
            </w:pPr>
            <w:r>
              <w:rPr>
                <w:rFonts w:hint="default" w:ascii="Times New Roman" w:hAnsi="Times New Roman" w:eastAsia="宋体" w:cs="Times New Roman"/>
                <w:b w:val="0"/>
                <w:kern w:val="2"/>
                <w:sz w:val="24"/>
                <w:szCs w:val="24"/>
                <w:highlight w:val="none"/>
                <w:lang w:val="en-US" w:eastAsia="zh-CN" w:bidi="ar"/>
              </w:rPr>
              <w:t>M1</w:t>
            </w:r>
            <w:r>
              <w:rPr>
                <w:rFonts w:ascii="Times New Roman" w:hAnsi="Times New Roman" w:eastAsia="宋体" w:cs="Times New Roman"/>
                <w:b w:val="0"/>
                <w:kern w:val="2"/>
                <w:sz w:val="24"/>
                <w:szCs w:val="24"/>
                <w:highlight w:val="none"/>
                <w:lang w:val="en-US" w:eastAsia="zh-CN" w:bidi="ar"/>
              </w:rPr>
              <w:t>区治理工程设计</w:t>
            </w:r>
          </w:p>
          <w:p>
            <w:pPr>
              <w:widowControl w:val="0"/>
              <w:adjustRightInd w:val="0"/>
              <w:spacing w:line="360" w:lineRule="auto"/>
              <w:ind w:firstLine="480" w:firstLineChars="200"/>
              <w:rPr>
                <w:rFonts w:hint="eastAsia" w:ascii="Times New Roman" w:hAnsi="Times New Roman" w:eastAsia="宋体" w:cs="Times New Roman"/>
                <w:kern w:val="2"/>
                <w:sz w:val="24"/>
                <w:szCs w:val="24"/>
                <w:highlight w:val="none"/>
                <w:lang w:val="en-US" w:eastAsia="zh-CN" w:bidi="ar"/>
              </w:rPr>
            </w:pPr>
            <w:r>
              <w:rPr>
                <w:rFonts w:ascii="Times New Roman" w:hAnsi="Times New Roman" w:eastAsia="宋体" w:cs="Times New Roman"/>
                <w:color w:val="auto"/>
                <w:kern w:val="2"/>
                <w:sz w:val="24"/>
                <w:szCs w:val="24"/>
                <w:highlight w:val="none"/>
                <w:lang w:val="en-US" w:eastAsia="zh-CN" w:bidi="ar"/>
              </w:rPr>
              <w:t>将</w:t>
            </w:r>
            <w:r>
              <w:rPr>
                <w:rFonts w:hint="default" w:ascii="Times New Roman" w:hAnsi="Times New Roman" w:eastAsia="宋体" w:cs="Times New Roman"/>
                <w:color w:val="auto"/>
                <w:kern w:val="2"/>
                <w:sz w:val="24"/>
                <w:szCs w:val="24"/>
                <w:highlight w:val="none"/>
                <w:lang w:val="en-US" w:eastAsia="zh-CN" w:bidi="ar"/>
              </w:rPr>
              <w:t>M3</w:t>
            </w:r>
            <w:r>
              <w:rPr>
                <w:rFonts w:ascii="Times New Roman" w:hAnsi="Times New Roman" w:eastAsia="宋体" w:cs="Times New Roman"/>
                <w:color w:val="auto"/>
                <w:kern w:val="2"/>
                <w:sz w:val="24"/>
                <w:szCs w:val="24"/>
                <w:highlight w:val="none"/>
                <w:lang w:val="en-US" w:eastAsia="zh-CN" w:bidi="ar"/>
              </w:rPr>
              <w:t>区分为</w:t>
            </w:r>
            <w:r>
              <w:rPr>
                <w:rFonts w:hint="default" w:ascii="Times New Roman" w:hAnsi="Times New Roman" w:eastAsia="宋体" w:cs="Times New Roman"/>
                <w:color w:val="auto"/>
                <w:kern w:val="2"/>
                <w:sz w:val="24"/>
                <w:szCs w:val="24"/>
                <w:highlight w:val="none"/>
                <w:lang w:val="en-US" w:eastAsia="zh-CN" w:bidi="ar"/>
              </w:rPr>
              <w:t>10</w:t>
            </w:r>
            <w:r>
              <w:rPr>
                <w:rFonts w:ascii="Times New Roman" w:hAnsi="Times New Roman" w:eastAsia="宋体" w:cs="Times New Roman"/>
                <w:color w:val="auto"/>
                <w:kern w:val="2"/>
                <w:sz w:val="24"/>
                <w:szCs w:val="24"/>
                <w:highlight w:val="none"/>
                <w:lang w:val="en-US" w:eastAsia="zh-CN" w:bidi="ar"/>
              </w:rPr>
              <w:t>个治理单元，</w:t>
            </w:r>
            <w:r>
              <w:rPr>
                <w:rFonts w:ascii="Times New Roman" w:hAnsi="Times New Roman" w:eastAsia="宋体" w:cs="Times New Roman"/>
                <w:kern w:val="2"/>
                <w:sz w:val="24"/>
                <w:szCs w:val="24"/>
                <w:highlight w:val="none"/>
                <w:lang w:val="en-US" w:eastAsia="zh-CN" w:bidi="ar"/>
              </w:rPr>
              <w:t>分区单元见</w:t>
            </w:r>
            <w:r>
              <w:rPr>
                <w:rFonts w:ascii="Times New Roman" w:hAnsi="Times New Roman" w:eastAsia="宋体" w:cs="Times New Roman"/>
                <w:color w:val="auto"/>
                <w:kern w:val="2"/>
                <w:sz w:val="24"/>
                <w:szCs w:val="24"/>
                <w:highlight w:val="none"/>
                <w:lang w:val="en-US" w:eastAsia="zh-CN" w:bidi="ar"/>
              </w:rPr>
              <w:t>图</w:t>
            </w:r>
            <w:r>
              <w:rPr>
                <w:rFonts w:hint="eastAsia" w:cs="Times New Roman"/>
                <w:color w:val="auto"/>
                <w:kern w:val="2"/>
                <w:sz w:val="24"/>
                <w:szCs w:val="24"/>
                <w:highlight w:val="none"/>
                <w:lang w:val="en-US" w:eastAsia="zh-CN" w:bidi="ar"/>
              </w:rPr>
              <w:t>1-9。</w:t>
            </w:r>
            <w:r>
              <w:rPr>
                <w:rFonts w:ascii="Times New Roman" w:hAnsi="Times New Roman" w:eastAsia="宋体" w:cs="Times New Roman"/>
                <w:color w:val="auto"/>
                <w:kern w:val="2"/>
                <w:sz w:val="24"/>
                <w:szCs w:val="24"/>
                <w:highlight w:val="none"/>
                <w:lang w:val="en-US" w:eastAsia="zh-CN" w:bidi="ar"/>
              </w:rPr>
              <w:t>其中①至⑤单元为渣堆及尾坑区域，进行土方回填压实；⑥⑦⑧单元为废弃堆煤点，治理时将地表挖去</w:t>
            </w:r>
            <w:r>
              <w:rPr>
                <w:rFonts w:hint="default" w:ascii="Times New Roman" w:hAnsi="Times New Roman" w:eastAsia="宋体" w:cs="Times New Roman"/>
                <w:color w:val="auto"/>
                <w:kern w:val="2"/>
                <w:sz w:val="24"/>
                <w:szCs w:val="24"/>
                <w:highlight w:val="none"/>
                <w:lang w:val="en-US" w:eastAsia="zh-CN" w:bidi="ar"/>
              </w:rPr>
              <w:t>0.5m</w:t>
            </w:r>
            <w:r>
              <w:rPr>
                <w:rFonts w:ascii="Times New Roman" w:hAnsi="Times New Roman" w:eastAsia="宋体" w:cs="Times New Roman"/>
                <w:color w:val="auto"/>
                <w:kern w:val="2"/>
                <w:sz w:val="24"/>
                <w:szCs w:val="24"/>
                <w:highlight w:val="none"/>
                <w:lang w:val="en-US" w:eastAsia="zh-CN" w:bidi="ar"/>
              </w:rPr>
              <w:t>后覆土；⑩单元为不稳定边坡削坡地段，削坡坡度达到</w:t>
            </w:r>
            <w:r>
              <w:rPr>
                <w:rFonts w:hint="default" w:ascii="Times New Roman" w:hAnsi="Times New Roman" w:eastAsia="宋体" w:cs="Times New Roman"/>
                <w:color w:val="auto"/>
                <w:kern w:val="2"/>
                <w:sz w:val="24"/>
                <w:szCs w:val="24"/>
                <w:highlight w:val="none"/>
                <w:lang w:val="en-US" w:eastAsia="zh-CN" w:bidi="ar"/>
              </w:rPr>
              <w:t>20</w:t>
            </w:r>
            <w:r>
              <w:rPr>
                <w:rFonts w:ascii="Times New Roman" w:hAnsi="Times New Roman" w:eastAsia="宋体" w:cs="Times New Roman"/>
                <w:color w:val="auto"/>
                <w:kern w:val="2"/>
                <w:sz w:val="24"/>
                <w:szCs w:val="24"/>
                <w:highlight w:val="none"/>
                <w:lang w:val="en-US" w:eastAsia="zh-CN" w:bidi="ar"/>
              </w:rPr>
              <w:t>°，削坡过程中将细颗粒的黄土覆盖至各单元，以达到植被生长的要求</w:t>
            </w:r>
            <w:r>
              <w:rPr>
                <w:rFonts w:hint="eastAsia" w:cs="Times New Roman"/>
                <w:kern w:val="2"/>
                <w:sz w:val="24"/>
                <w:szCs w:val="24"/>
                <w:highlight w:val="none"/>
                <w:lang w:val="en-US" w:eastAsia="zh-CN" w:bidi="ar"/>
              </w:rPr>
              <w:t>。</w:t>
            </w:r>
            <w:r>
              <w:rPr>
                <w:rFonts w:ascii="Times New Roman" w:hAnsi="Times New Roman" w:eastAsia="宋体" w:cs="Times New Roman"/>
                <w:color w:val="auto"/>
                <w:kern w:val="2"/>
                <w:sz w:val="24"/>
                <w:szCs w:val="24"/>
                <w:highlight w:val="none"/>
                <w:lang w:val="en-US" w:eastAsia="zh-CN" w:bidi="ar"/>
              </w:rPr>
              <w:t>挖方量为</w:t>
            </w:r>
            <w:r>
              <w:rPr>
                <w:rFonts w:hint="default" w:ascii="Times New Roman" w:hAnsi="Times New Roman" w:eastAsia="宋体" w:cs="Times New Roman"/>
                <w:color w:val="auto"/>
                <w:kern w:val="2"/>
                <w:sz w:val="24"/>
                <w:szCs w:val="24"/>
                <w:highlight w:val="none"/>
                <w:lang w:val="en-US" w:eastAsia="zh-CN" w:bidi="ar"/>
              </w:rPr>
              <w:t>204811.61m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，填方量为</w:t>
            </w:r>
            <w:r>
              <w:rPr>
                <w:rFonts w:hint="default" w:ascii="Times New Roman" w:hAnsi="Times New Roman" w:eastAsia="宋体" w:cs="Times New Roman"/>
                <w:color w:val="auto"/>
                <w:kern w:val="2"/>
                <w:sz w:val="24"/>
                <w:szCs w:val="24"/>
                <w:highlight w:val="none"/>
                <w:lang w:val="en-US" w:eastAsia="zh-CN" w:bidi="ar"/>
              </w:rPr>
              <w:t>205083.17m3</w:t>
            </w:r>
            <w:r>
              <w:rPr>
                <w:rFonts w:ascii="Times New Roman" w:hAnsi="Times New Roman" w:eastAsia="宋体" w:cs="Times New Roman"/>
                <w:color w:val="auto"/>
                <w:kern w:val="2"/>
                <w:sz w:val="24"/>
                <w:szCs w:val="24"/>
                <w:highlight w:val="none"/>
                <w:lang w:val="en-US" w:eastAsia="zh-CN" w:bidi="ar"/>
              </w:rPr>
              <w:t>，挖填方量基本平衡，挖填方运距</w:t>
            </w:r>
            <w:r>
              <w:rPr>
                <w:rFonts w:hint="default" w:ascii="Times New Roman" w:hAnsi="Times New Roman" w:eastAsia="宋体" w:cs="Times New Roman"/>
                <w:color w:val="auto"/>
                <w:kern w:val="2"/>
                <w:sz w:val="24"/>
                <w:szCs w:val="24"/>
                <w:highlight w:val="none"/>
                <w:lang w:val="en-US" w:eastAsia="zh-CN" w:bidi="ar"/>
              </w:rPr>
              <w:t>500m</w:t>
            </w:r>
            <w:r>
              <w:rPr>
                <w:rFonts w:ascii="Times New Roman" w:hAnsi="Times New Roman" w:eastAsia="宋体" w:cs="Times New Roman"/>
                <w:color w:val="auto"/>
                <w:kern w:val="2"/>
                <w:sz w:val="24"/>
                <w:szCs w:val="24"/>
                <w:highlight w:val="none"/>
                <w:lang w:val="en-US" w:eastAsia="zh-CN" w:bidi="ar"/>
              </w:rPr>
              <w:t>以内。削坡长度</w:t>
            </w:r>
            <w:r>
              <w:rPr>
                <w:rFonts w:hint="default" w:ascii="Times New Roman" w:hAnsi="Times New Roman" w:eastAsia="宋体" w:cs="Times New Roman"/>
                <w:color w:val="auto"/>
                <w:kern w:val="2"/>
                <w:sz w:val="24"/>
                <w:szCs w:val="24"/>
                <w:highlight w:val="none"/>
                <w:lang w:val="en-US" w:eastAsia="zh-CN" w:bidi="ar"/>
              </w:rPr>
              <w:t>627m</w:t>
            </w:r>
            <w:r>
              <w:rPr>
                <w:rFonts w:ascii="Times New Roman" w:hAnsi="Times New Roman" w:eastAsia="宋体" w:cs="Times New Roman"/>
                <w:color w:val="auto"/>
                <w:kern w:val="2"/>
                <w:sz w:val="24"/>
                <w:szCs w:val="24"/>
                <w:highlight w:val="none"/>
                <w:lang w:val="en-US" w:eastAsia="zh-CN" w:bidi="ar"/>
              </w:rPr>
              <w:t>，削坡角度约</w:t>
            </w:r>
            <w:r>
              <w:rPr>
                <w:rFonts w:hint="default" w:ascii="Times New Roman" w:hAnsi="Times New Roman" w:eastAsia="宋体" w:cs="Times New Roman"/>
                <w:color w:val="auto"/>
                <w:kern w:val="2"/>
                <w:sz w:val="24"/>
                <w:szCs w:val="24"/>
                <w:highlight w:val="none"/>
                <w:lang w:val="en-US" w:eastAsia="zh-CN" w:bidi="ar"/>
              </w:rPr>
              <w:t>20°</w:t>
            </w:r>
            <w:r>
              <w:rPr>
                <w:rFonts w:ascii="Times New Roman" w:hAnsi="Times New Roman" w:eastAsia="宋体" w:cs="Times New Roman"/>
                <w:color w:val="auto"/>
                <w:kern w:val="2"/>
                <w:sz w:val="24"/>
                <w:szCs w:val="24"/>
                <w:highlight w:val="none"/>
                <w:lang w:val="en-US" w:eastAsia="zh-CN" w:bidi="ar"/>
              </w:rPr>
              <w:t>，削坡量</w:t>
            </w:r>
            <w:r>
              <w:rPr>
                <w:rFonts w:hint="default" w:ascii="Times New Roman" w:hAnsi="Times New Roman" w:eastAsia="宋体" w:cs="Times New Roman"/>
                <w:color w:val="auto"/>
                <w:kern w:val="2"/>
                <w:sz w:val="24"/>
                <w:szCs w:val="24"/>
                <w:highlight w:val="none"/>
                <w:lang w:val="en-US" w:eastAsia="zh-CN" w:bidi="ar"/>
              </w:rPr>
              <w:t>37602m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w:t>
            </w:r>
          </w:p>
          <w:p>
            <w:pPr>
              <w:widowControl w:val="0"/>
              <w:numPr>
                <w:ilvl w:val="-1"/>
                <w:numId w:val="0"/>
              </w:numPr>
              <w:adjustRightInd w:val="0"/>
              <w:spacing w:line="360" w:lineRule="auto"/>
              <w:ind w:firstLine="480" w:firstLineChars="200"/>
              <w:rPr>
                <w:rFonts w:hint="eastAsia" w:ascii="Times New Roman" w:hAnsi="Times New Roman" w:cs="Times New Roman"/>
                <w:sz w:val="24"/>
                <w:highlight w:val="none"/>
                <w:lang w:val="en-US" w:eastAsia="zh-CN"/>
              </w:rPr>
            </w:pPr>
            <w:r>
              <w:rPr>
                <w:rFonts w:hint="eastAsia"/>
                <w:sz w:val="24"/>
                <w:highlight w:val="none"/>
                <w:lang w:val="en-US" w:eastAsia="zh-CN"/>
              </w:rPr>
              <w:t>②</w:t>
            </w:r>
            <w:r>
              <w:rPr>
                <w:rFonts w:hint="eastAsia" w:cs="Times New Roman"/>
                <w:sz w:val="24"/>
                <w:highlight w:val="none"/>
                <w:lang w:val="en-US" w:eastAsia="zh-CN"/>
              </w:rPr>
              <w:t>建筑用砂</w:t>
            </w:r>
            <w:r>
              <w:rPr>
                <w:rFonts w:hint="eastAsia" w:ascii="Times New Roman" w:hAnsi="Times New Roman" w:cs="Times New Roman"/>
                <w:sz w:val="24"/>
                <w:highlight w:val="none"/>
                <w:lang w:val="en-US" w:eastAsia="zh-CN"/>
              </w:rPr>
              <w:t>治理区</w:t>
            </w:r>
          </w:p>
          <w:p>
            <w:pPr>
              <w:widowControl w:val="0"/>
              <w:numPr>
                <w:ilvl w:val="-1"/>
                <w:numId w:val="0"/>
              </w:numPr>
              <w:adjustRightInd w:val="0"/>
              <w:spacing w:line="360" w:lineRule="auto"/>
              <w:ind w:firstLine="480" w:firstLineChars="200"/>
              <w:rPr>
                <w:rFonts w:hint="eastAsia"/>
                <w:sz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
              </w:rPr>
              <w:t>主</w:t>
            </w:r>
            <w:r>
              <w:rPr>
                <w:rFonts w:ascii="Times New Roman" w:hAnsi="Times New Roman" w:eastAsia="宋体" w:cs="Times New Roman"/>
                <w:color w:val="auto"/>
                <w:kern w:val="2"/>
                <w:sz w:val="24"/>
                <w:szCs w:val="24"/>
                <w:highlight w:val="none"/>
                <w:lang w:val="en-US" w:eastAsia="zh-CN" w:bidi="ar"/>
              </w:rPr>
              <w:t>要将渣堆回填至尾坑，将</w:t>
            </w:r>
            <w:r>
              <w:rPr>
                <w:rFonts w:hint="default" w:ascii="Times New Roman" w:hAnsi="Times New Roman" w:eastAsia="宋体" w:cs="Times New Roman"/>
                <w:color w:val="auto"/>
                <w:kern w:val="2"/>
                <w:sz w:val="24"/>
                <w:szCs w:val="24"/>
                <w:highlight w:val="none"/>
                <w:lang w:val="en-US" w:eastAsia="zh-CN" w:bidi="ar"/>
              </w:rPr>
              <w:t>S1</w:t>
            </w:r>
            <w:r>
              <w:rPr>
                <w:rFonts w:hint="eastAsia" w:cs="Times New Roman"/>
                <w:kern w:val="2"/>
                <w:sz w:val="24"/>
                <w:szCs w:val="24"/>
                <w:highlight w:val="none"/>
                <w:lang w:val="en-US" w:eastAsia="zh-CN" w:bidi="ar"/>
              </w:rPr>
              <w:t>-1、</w:t>
            </w:r>
            <w:r>
              <w:rPr>
                <w:rFonts w:hint="eastAsia" w:ascii="Times New Roman" w:hAnsi="Times New Roman" w:eastAsia="宋体" w:cs="Times New Roman"/>
                <w:kern w:val="2"/>
                <w:sz w:val="24"/>
                <w:szCs w:val="24"/>
                <w:highlight w:val="none"/>
                <w:lang w:val="en-US" w:eastAsia="zh-CN" w:bidi="ar"/>
              </w:rPr>
              <w:t>S</w:t>
            </w:r>
            <w:r>
              <w:rPr>
                <w:rFonts w:hint="eastAsia" w:cs="Times New Roman"/>
                <w:kern w:val="2"/>
                <w:sz w:val="24"/>
                <w:szCs w:val="24"/>
                <w:highlight w:val="none"/>
                <w:lang w:val="en-US" w:eastAsia="zh-CN" w:bidi="ar"/>
              </w:rPr>
              <w:t>1-</w:t>
            </w:r>
            <w:r>
              <w:rPr>
                <w:rFonts w:hint="eastAsia" w:ascii="Times New Roman" w:hAnsi="Times New Roman" w:eastAsia="宋体" w:cs="Times New Roman"/>
                <w:kern w:val="2"/>
                <w:sz w:val="24"/>
                <w:szCs w:val="24"/>
                <w:highlight w:val="none"/>
                <w:lang w:val="en-US" w:eastAsia="zh-CN" w:bidi="ar"/>
              </w:rPr>
              <w:t>2</w:t>
            </w:r>
            <w:r>
              <w:rPr>
                <w:rFonts w:hint="eastAsia" w:cs="Times New Roman"/>
                <w:kern w:val="2"/>
                <w:sz w:val="24"/>
                <w:szCs w:val="24"/>
                <w:highlight w:val="none"/>
                <w:lang w:val="en-US" w:eastAsia="zh-CN" w:bidi="ar"/>
              </w:rPr>
              <w:t>、</w:t>
            </w:r>
            <w:r>
              <w:rPr>
                <w:rFonts w:hint="eastAsia" w:ascii="Times New Roman" w:hAnsi="Times New Roman" w:eastAsia="宋体" w:cs="Times New Roman"/>
                <w:kern w:val="2"/>
                <w:sz w:val="24"/>
                <w:szCs w:val="24"/>
                <w:highlight w:val="none"/>
                <w:lang w:val="en-US" w:eastAsia="zh-CN" w:bidi="ar"/>
              </w:rPr>
              <w:t>S</w:t>
            </w:r>
            <w:r>
              <w:rPr>
                <w:rFonts w:hint="eastAsia" w:cs="Times New Roman"/>
                <w:kern w:val="2"/>
                <w:sz w:val="24"/>
                <w:szCs w:val="24"/>
                <w:highlight w:val="none"/>
                <w:lang w:val="en-US" w:eastAsia="zh-CN" w:bidi="ar"/>
              </w:rPr>
              <w:t>1-</w:t>
            </w:r>
            <w:r>
              <w:rPr>
                <w:rFonts w:hint="eastAsia" w:ascii="Times New Roman" w:hAnsi="Times New Roman" w:eastAsia="宋体" w:cs="Times New Roman"/>
                <w:kern w:val="2"/>
                <w:sz w:val="24"/>
                <w:szCs w:val="24"/>
                <w:highlight w:val="none"/>
                <w:lang w:val="en-US" w:eastAsia="zh-CN" w:bidi="ar"/>
              </w:rPr>
              <w:t>3</w:t>
            </w:r>
            <w:r>
              <w:rPr>
                <w:rFonts w:hint="eastAsia" w:cs="Times New Roman"/>
                <w:kern w:val="2"/>
                <w:sz w:val="24"/>
                <w:szCs w:val="24"/>
                <w:highlight w:val="none"/>
                <w:lang w:val="en-US" w:eastAsia="zh-CN" w:bidi="ar"/>
              </w:rPr>
              <w:t>分别</w:t>
            </w:r>
            <w:r>
              <w:rPr>
                <w:rFonts w:ascii="Times New Roman" w:hAnsi="Times New Roman" w:eastAsia="宋体" w:cs="Times New Roman"/>
                <w:color w:val="auto"/>
                <w:kern w:val="2"/>
                <w:sz w:val="24"/>
                <w:szCs w:val="24"/>
                <w:highlight w:val="none"/>
                <w:lang w:val="en-US" w:eastAsia="zh-CN" w:bidi="ar"/>
              </w:rPr>
              <w:t>区分为</w:t>
            </w:r>
            <w:r>
              <w:rPr>
                <w:rFonts w:hint="default" w:ascii="Times New Roman" w:hAnsi="Times New Roman" w:eastAsia="宋体" w:cs="Times New Roman"/>
                <w:color w:val="auto"/>
                <w:kern w:val="2"/>
                <w:sz w:val="24"/>
                <w:szCs w:val="24"/>
                <w:highlight w:val="none"/>
                <w:lang w:val="en-US" w:eastAsia="zh-CN" w:bidi="ar"/>
              </w:rPr>
              <w:t>2</w:t>
            </w:r>
            <w:r>
              <w:rPr>
                <w:rFonts w:ascii="Times New Roman" w:hAnsi="Times New Roman" w:eastAsia="宋体" w:cs="Times New Roman"/>
                <w:color w:val="auto"/>
                <w:kern w:val="2"/>
                <w:sz w:val="24"/>
                <w:szCs w:val="24"/>
                <w:highlight w:val="none"/>
                <w:lang w:val="en-US" w:eastAsia="zh-CN" w:bidi="ar"/>
              </w:rPr>
              <w:t>个治理单元</w:t>
            </w:r>
            <w:r>
              <w:rPr>
                <w:rFonts w:hint="eastAsia" w:cs="Times New Roman"/>
                <w:kern w:val="2"/>
                <w:sz w:val="24"/>
                <w:szCs w:val="24"/>
                <w:highlight w:val="none"/>
                <w:lang w:val="en-US" w:eastAsia="zh-CN" w:bidi="ar"/>
              </w:rPr>
              <w:t>，</w:t>
            </w:r>
            <w:r>
              <w:rPr>
                <w:rFonts w:hint="eastAsia" w:ascii="Times New Roman" w:hAnsi="Times New Roman" w:eastAsia="宋体" w:cs="Times New Roman"/>
                <w:kern w:val="2"/>
                <w:sz w:val="24"/>
                <w:szCs w:val="24"/>
                <w:highlight w:val="none"/>
                <w:lang w:val="en-US" w:eastAsia="zh-CN" w:bidi="ar"/>
              </w:rPr>
              <w:t>将S</w:t>
            </w:r>
            <w:r>
              <w:rPr>
                <w:rFonts w:hint="eastAsia" w:cs="Times New Roman"/>
                <w:kern w:val="2"/>
                <w:sz w:val="24"/>
                <w:szCs w:val="24"/>
                <w:highlight w:val="none"/>
                <w:lang w:val="en-US" w:eastAsia="zh-CN" w:bidi="ar"/>
              </w:rPr>
              <w:t>1-</w:t>
            </w:r>
            <w:r>
              <w:rPr>
                <w:rFonts w:hint="eastAsia" w:ascii="Times New Roman" w:hAnsi="Times New Roman" w:eastAsia="宋体" w:cs="Times New Roman"/>
                <w:kern w:val="2"/>
                <w:sz w:val="24"/>
                <w:szCs w:val="24"/>
                <w:highlight w:val="none"/>
                <w:lang w:val="en-US" w:eastAsia="zh-CN" w:bidi="ar"/>
              </w:rPr>
              <w:t>4</w:t>
            </w:r>
            <w:r>
              <w:rPr>
                <w:rFonts w:hint="eastAsia" w:cs="Times New Roman"/>
                <w:kern w:val="2"/>
                <w:sz w:val="24"/>
                <w:szCs w:val="24"/>
                <w:highlight w:val="none"/>
                <w:lang w:val="en-US" w:eastAsia="zh-CN" w:bidi="ar"/>
              </w:rPr>
              <w:t>、</w:t>
            </w:r>
            <w:r>
              <w:rPr>
                <w:rFonts w:hint="eastAsia" w:ascii="Times New Roman" w:hAnsi="Times New Roman" w:eastAsia="宋体" w:cs="Times New Roman"/>
                <w:kern w:val="2"/>
                <w:sz w:val="24"/>
                <w:szCs w:val="24"/>
                <w:highlight w:val="none"/>
                <w:lang w:val="en-US" w:eastAsia="zh-CN" w:bidi="ar"/>
              </w:rPr>
              <w:t>S</w:t>
            </w:r>
            <w:r>
              <w:rPr>
                <w:rFonts w:hint="eastAsia" w:cs="Times New Roman"/>
                <w:kern w:val="2"/>
                <w:sz w:val="24"/>
                <w:szCs w:val="24"/>
                <w:highlight w:val="none"/>
                <w:lang w:val="en-US" w:eastAsia="zh-CN" w:bidi="ar"/>
              </w:rPr>
              <w:t>1-</w:t>
            </w:r>
            <w:r>
              <w:rPr>
                <w:rFonts w:hint="eastAsia" w:ascii="Times New Roman" w:hAnsi="Times New Roman" w:eastAsia="宋体" w:cs="Times New Roman"/>
                <w:kern w:val="2"/>
                <w:sz w:val="24"/>
                <w:szCs w:val="24"/>
                <w:highlight w:val="none"/>
                <w:lang w:val="en-US" w:eastAsia="zh-CN" w:bidi="ar"/>
              </w:rPr>
              <w:t>5</w:t>
            </w:r>
            <w:r>
              <w:rPr>
                <w:rFonts w:hint="eastAsia" w:cs="Times New Roman"/>
                <w:kern w:val="2"/>
                <w:sz w:val="24"/>
                <w:szCs w:val="24"/>
                <w:highlight w:val="none"/>
                <w:lang w:val="en-US" w:eastAsia="zh-CN" w:bidi="ar"/>
              </w:rPr>
              <w:t>分别</w:t>
            </w:r>
            <w:r>
              <w:rPr>
                <w:rFonts w:hint="eastAsia" w:ascii="Times New Roman" w:hAnsi="Times New Roman" w:eastAsia="宋体" w:cs="Times New Roman"/>
                <w:kern w:val="2"/>
                <w:sz w:val="24"/>
                <w:szCs w:val="24"/>
                <w:highlight w:val="none"/>
                <w:lang w:val="en-US" w:eastAsia="zh-CN" w:bidi="ar"/>
              </w:rPr>
              <w:t>区分为3个治理单元</w:t>
            </w:r>
            <w:r>
              <w:rPr>
                <w:rFonts w:hint="eastAsia" w:cs="Times New Roman"/>
                <w:kern w:val="2"/>
                <w:sz w:val="24"/>
                <w:szCs w:val="24"/>
                <w:highlight w:val="none"/>
                <w:lang w:val="en-US" w:eastAsia="zh-CN" w:bidi="ar"/>
              </w:rPr>
              <w:t>，S1</w:t>
            </w:r>
            <w:r>
              <w:rPr>
                <w:rFonts w:ascii="Times New Roman" w:hAnsi="Times New Roman" w:eastAsia="宋体" w:cs="Times New Roman"/>
                <w:kern w:val="2"/>
                <w:sz w:val="24"/>
                <w:szCs w:val="24"/>
                <w:highlight w:val="none"/>
                <w:lang w:val="en-US" w:eastAsia="zh-CN" w:bidi="ar"/>
              </w:rPr>
              <w:t>分区单元</w:t>
            </w:r>
            <w:r>
              <w:rPr>
                <w:rFonts w:hint="eastAsia" w:cs="Times New Roman"/>
                <w:kern w:val="2"/>
                <w:sz w:val="24"/>
                <w:szCs w:val="24"/>
                <w:highlight w:val="none"/>
                <w:lang w:val="en-US" w:eastAsia="zh-CN" w:bidi="ar"/>
              </w:rPr>
              <w:t>分别</w:t>
            </w:r>
            <w:r>
              <w:rPr>
                <w:rFonts w:ascii="Times New Roman" w:hAnsi="Times New Roman" w:eastAsia="宋体" w:cs="Times New Roman"/>
                <w:kern w:val="2"/>
                <w:sz w:val="24"/>
                <w:szCs w:val="24"/>
                <w:highlight w:val="none"/>
                <w:lang w:val="en-US" w:eastAsia="zh-CN" w:bidi="ar"/>
              </w:rPr>
              <w:t>见图</w:t>
            </w:r>
            <w:r>
              <w:rPr>
                <w:rFonts w:hint="eastAsia" w:cs="Times New Roman"/>
                <w:kern w:val="2"/>
                <w:sz w:val="24"/>
                <w:szCs w:val="24"/>
                <w:highlight w:val="none"/>
                <w:lang w:val="en-US" w:eastAsia="zh-CN" w:bidi="ar"/>
              </w:rPr>
              <w:t>1-10、图1-11、图1-12、图1-13及图1-14、</w:t>
            </w:r>
            <w:r>
              <w:rPr>
                <w:rFonts w:ascii="Times New Roman" w:hAnsi="Times New Roman" w:eastAsia="宋体" w:cs="Times New Roman"/>
                <w:color w:val="auto"/>
                <w:kern w:val="2"/>
                <w:sz w:val="24"/>
                <w:szCs w:val="24"/>
                <w:highlight w:val="none"/>
                <w:lang w:val="en-US" w:eastAsia="zh-CN" w:bidi="ar"/>
              </w:rPr>
              <w:t>，地形设置</w:t>
            </w:r>
            <w:r>
              <w:rPr>
                <w:rFonts w:hint="default" w:ascii="Times New Roman" w:hAnsi="Times New Roman" w:eastAsia="宋体" w:cs="Times New Roman"/>
                <w:color w:val="auto"/>
                <w:kern w:val="2"/>
                <w:sz w:val="24"/>
                <w:szCs w:val="24"/>
                <w:highlight w:val="none"/>
                <w:lang w:val="en-US" w:eastAsia="zh-CN" w:bidi="ar"/>
              </w:rPr>
              <w:t>2%-3%</w:t>
            </w:r>
            <w:r>
              <w:rPr>
                <w:rFonts w:ascii="Times New Roman" w:hAnsi="Times New Roman" w:eastAsia="宋体" w:cs="Times New Roman"/>
                <w:color w:val="auto"/>
                <w:kern w:val="2"/>
                <w:sz w:val="24"/>
                <w:szCs w:val="24"/>
                <w:highlight w:val="none"/>
                <w:lang w:val="en-US" w:eastAsia="zh-CN" w:bidi="ar"/>
              </w:rPr>
              <w:t>坡度。</w:t>
            </w:r>
            <w:r>
              <w:rPr>
                <w:rFonts w:hint="eastAsia" w:cs="Times New Roman"/>
                <w:kern w:val="2"/>
                <w:sz w:val="24"/>
                <w:szCs w:val="24"/>
                <w:highlight w:val="none"/>
                <w:lang w:val="en-US" w:eastAsia="zh-CN" w:bidi="ar"/>
              </w:rPr>
              <w:t>总</w:t>
            </w:r>
            <w:r>
              <w:rPr>
                <w:rFonts w:ascii="Times New Roman" w:hAnsi="Times New Roman" w:eastAsia="宋体" w:cs="Times New Roman"/>
                <w:color w:val="auto"/>
                <w:kern w:val="2"/>
                <w:sz w:val="24"/>
                <w:szCs w:val="24"/>
                <w:highlight w:val="none"/>
                <w:lang w:val="en-US" w:eastAsia="zh-CN" w:bidi="ar"/>
              </w:rPr>
              <w:t>挖方量为</w:t>
            </w:r>
            <w:r>
              <w:rPr>
                <w:rFonts w:hint="eastAsia" w:cs="Times New Roman"/>
                <w:kern w:val="2"/>
                <w:sz w:val="24"/>
                <w:szCs w:val="24"/>
                <w:highlight w:val="none"/>
                <w:lang w:val="en-US" w:eastAsia="zh-CN" w:bidi="ar"/>
              </w:rPr>
              <w:t>282613.84</w:t>
            </w:r>
            <w:r>
              <w:rPr>
                <w:rFonts w:hint="default" w:ascii="Times New Roman" w:hAnsi="Times New Roman" w:eastAsia="宋体" w:cs="Times New Roman"/>
                <w:color w:val="auto"/>
                <w:kern w:val="2"/>
                <w:sz w:val="24"/>
                <w:szCs w:val="24"/>
                <w:highlight w:val="none"/>
                <w:lang w:val="en-US" w:eastAsia="zh-CN" w:bidi="ar"/>
              </w:rPr>
              <w:t>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w:t>
            </w:r>
            <w:r>
              <w:rPr>
                <w:rFonts w:hint="eastAsia" w:cs="Times New Roman"/>
                <w:kern w:val="2"/>
                <w:sz w:val="24"/>
                <w:szCs w:val="24"/>
                <w:highlight w:val="none"/>
                <w:lang w:val="en-US" w:eastAsia="zh-CN" w:bidi="ar"/>
              </w:rPr>
              <w:t>总</w:t>
            </w:r>
            <w:r>
              <w:rPr>
                <w:rFonts w:ascii="Times New Roman" w:hAnsi="Times New Roman" w:eastAsia="宋体" w:cs="Times New Roman"/>
                <w:color w:val="auto"/>
                <w:kern w:val="2"/>
                <w:sz w:val="24"/>
                <w:szCs w:val="24"/>
                <w:highlight w:val="none"/>
                <w:lang w:val="en-US" w:eastAsia="zh-CN" w:bidi="ar"/>
              </w:rPr>
              <w:t>填方量为</w:t>
            </w:r>
            <w:r>
              <w:rPr>
                <w:rFonts w:hint="eastAsia" w:cs="Times New Roman"/>
                <w:kern w:val="2"/>
                <w:sz w:val="24"/>
                <w:szCs w:val="24"/>
                <w:highlight w:val="none"/>
                <w:lang w:val="en-US" w:eastAsia="zh-CN" w:bidi="ar"/>
              </w:rPr>
              <w:t>282740.11</w:t>
            </w:r>
            <w:r>
              <w:rPr>
                <w:rFonts w:hint="default" w:ascii="Times New Roman" w:hAnsi="Times New Roman" w:eastAsia="宋体" w:cs="Times New Roman"/>
                <w:color w:val="auto"/>
                <w:kern w:val="2"/>
                <w:sz w:val="24"/>
                <w:szCs w:val="24"/>
                <w:highlight w:val="none"/>
                <w:lang w:val="en-US" w:eastAsia="zh-CN" w:bidi="ar"/>
              </w:rPr>
              <w:t>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ascii="Times New Roman" w:hAnsi="Times New Roman" w:eastAsia="宋体" w:cs="Times New Roman"/>
                <w:color w:val="auto"/>
                <w:kern w:val="2"/>
                <w:sz w:val="24"/>
                <w:szCs w:val="24"/>
                <w:highlight w:val="none"/>
                <w:lang w:val="en-US" w:eastAsia="zh-CN" w:bidi="ar"/>
              </w:rPr>
              <w:t>，挖填方运距</w:t>
            </w:r>
            <w:r>
              <w:rPr>
                <w:rFonts w:hint="default" w:ascii="Times New Roman" w:hAnsi="Times New Roman" w:eastAsia="宋体" w:cs="Times New Roman"/>
                <w:color w:val="auto"/>
                <w:kern w:val="2"/>
                <w:sz w:val="24"/>
                <w:szCs w:val="24"/>
                <w:highlight w:val="none"/>
                <w:lang w:val="en-US" w:eastAsia="zh-CN" w:bidi="ar"/>
              </w:rPr>
              <w:t>500m</w:t>
            </w:r>
            <w:r>
              <w:rPr>
                <w:rFonts w:ascii="Times New Roman" w:hAnsi="Times New Roman" w:eastAsia="宋体" w:cs="Times New Roman"/>
                <w:color w:val="auto"/>
                <w:kern w:val="2"/>
                <w:sz w:val="24"/>
                <w:szCs w:val="24"/>
                <w:highlight w:val="none"/>
                <w:lang w:val="en-US" w:eastAsia="zh-CN" w:bidi="ar"/>
              </w:rPr>
              <w:t>以内。</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000000"/>
                <w:sz w:val="24"/>
                <w:lang w:val="en-US" w:eastAsia="zh-CN"/>
              </w:rPr>
            </w:pPr>
            <w:r>
              <w:rPr>
                <w:rFonts w:hint="eastAsia"/>
                <w:color w:val="000000"/>
                <w:sz w:val="24"/>
                <w:lang w:val="en-US" w:eastAsia="zh-CN"/>
              </w:rPr>
              <w:t>⑵土地平整工程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设计采用挖高填低的方法进行土地平整，用铲车、推土机、挖掘机等机械作业整理场地，以消除现存的陡坡和深坑，或依现状地势设置成台地。不同地段平整程度均不相同，挖、填方厚度在0-20米之间。土地平整后，地形与周边地形相协调，地面坡度不超过15°。</w:t>
            </w:r>
          </w:p>
          <w:p>
            <w:pPr>
              <w:adjustRightInd w:val="0"/>
              <w:spacing w:line="360" w:lineRule="auto"/>
              <w:ind w:firstLine="480" w:firstLineChars="200"/>
              <w:rPr>
                <w:rFonts w:hint="default" w:ascii="Times New Roman" w:hAnsi="Times New Roman" w:cs="Times New Roman"/>
                <w:b w:val="0"/>
                <w:bCs w:val="0"/>
                <w:sz w:val="24"/>
                <w:highlight w:val="none"/>
                <w:lang w:val="en-US" w:eastAsia="zh-CN"/>
              </w:rPr>
            </w:pPr>
            <w:r>
              <w:rPr>
                <w:rFonts w:hint="eastAsia"/>
                <w:color w:val="000000"/>
                <w:sz w:val="24"/>
                <w:lang w:val="en-US" w:eastAsia="zh-CN"/>
              </w:rPr>
              <w:t>⑶</w:t>
            </w:r>
            <w:r>
              <w:rPr>
                <w:rFonts w:hint="eastAsia" w:cs="Times New Roman"/>
                <w:b w:val="0"/>
                <w:bCs w:val="0"/>
                <w:sz w:val="24"/>
                <w:highlight w:val="none"/>
                <w:lang w:val="en-US" w:eastAsia="zh-CN"/>
              </w:rPr>
              <w:t>植被恢复</w:t>
            </w:r>
          </w:p>
          <w:p>
            <w:pPr>
              <w:keepNext w:val="0"/>
              <w:keepLines w:val="0"/>
              <w:widowControl w:val="0"/>
              <w:suppressLineNumbers w:val="0"/>
              <w:adjustRightInd w:val="0"/>
              <w:spacing w:line="360" w:lineRule="auto"/>
              <w:ind w:firstLine="480" w:firstLineChars="200"/>
              <w:jc w:val="left"/>
              <w:rPr>
                <w:rFonts w:hint="eastAsia"/>
                <w:sz w:val="24"/>
                <w:highlight w:val="none"/>
                <w:lang w:bidi="ar"/>
              </w:rPr>
            </w:pPr>
            <w:r>
              <w:rPr>
                <w:rFonts w:hint="eastAsia"/>
                <w:sz w:val="24"/>
                <w:highlight w:val="none"/>
                <w:lang w:val="en-US" w:eastAsia="zh-CN"/>
              </w:rPr>
              <w:t>治理区土方工程完工后，对整个治理区进行种植规划，</w:t>
            </w:r>
            <w:r>
              <w:rPr>
                <w:rFonts w:hint="eastAsia" w:ascii="Times New Roman" w:hAnsi="Times New Roman" w:eastAsia="宋体" w:cs="Times New Roman"/>
                <w:color w:val="auto"/>
                <w:kern w:val="2"/>
                <w:sz w:val="24"/>
                <w:szCs w:val="24"/>
                <w:highlight w:val="none"/>
                <w:lang w:val="en-US" w:eastAsia="zh-CN" w:bidi="ar"/>
              </w:rPr>
              <w:t>本次治理工程植被修复以种草为主。选择扁穗冰草、芨芨草、沙蒿，采用条播种草方式。带状条播，播种带幅15cm左右，采用简单机械开沟、撒种、复土、压实，边坡处条带应顺着边坡走向、垂直于边坡倾向，以促进蓄水保土。控制单位长度播种量，播种量为30kg/hm</w:t>
            </w:r>
            <w:r>
              <w:rPr>
                <w:rFonts w:hint="eastAsia" w:ascii="Times New Roman" w:hAnsi="Times New Roman" w:eastAsia="宋体" w:cs="Times New Roman"/>
                <w:color w:val="auto"/>
                <w:kern w:val="2"/>
                <w:sz w:val="24"/>
                <w:szCs w:val="24"/>
                <w:highlight w:val="none"/>
                <w:vertAlign w:val="superscript"/>
                <w:lang w:val="en-US" w:eastAsia="zh-CN" w:bidi="ar"/>
              </w:rPr>
              <w:t>2</w:t>
            </w:r>
            <w:r>
              <w:rPr>
                <w:rFonts w:hint="eastAsia" w:ascii="Times New Roman" w:hAnsi="Times New Roman" w:eastAsia="宋体" w:cs="Times New Roman"/>
                <w:color w:val="auto"/>
                <w:kern w:val="2"/>
                <w:sz w:val="24"/>
                <w:szCs w:val="24"/>
                <w:highlight w:val="none"/>
                <w:lang w:val="en-US" w:eastAsia="zh-CN" w:bidi="ar"/>
              </w:rPr>
              <w:t>，将扁穗冰草、芨芨草、沙蒿种子按1：1：1等比例混合条播方式进行种植。</w:t>
            </w:r>
            <w:r>
              <w:rPr>
                <w:rFonts w:hint="eastAsia"/>
                <w:sz w:val="24"/>
                <w:highlight w:val="none"/>
                <w:lang w:eastAsia="zh-CN" w:bidi="ar"/>
              </w:rPr>
              <w:t>种草</w:t>
            </w:r>
            <w:r>
              <w:rPr>
                <w:rFonts w:hint="eastAsia"/>
                <w:sz w:val="24"/>
                <w:highlight w:val="none"/>
                <w:lang w:bidi="ar"/>
              </w:rPr>
              <w:t>总面积</w:t>
            </w:r>
            <w:r>
              <w:rPr>
                <w:rFonts w:hint="eastAsia"/>
                <w:sz w:val="24"/>
                <w:highlight w:val="none"/>
                <w:lang w:val="en-US" w:eastAsia="zh-CN" w:bidi="ar"/>
              </w:rPr>
              <w:t>30.95</w:t>
            </w:r>
            <w:r>
              <w:rPr>
                <w:rFonts w:hint="eastAsia"/>
                <w:sz w:val="24"/>
                <w:highlight w:val="none"/>
                <w:lang w:bidi="ar"/>
              </w:rPr>
              <w:t>hm</w:t>
            </w:r>
            <w:r>
              <w:rPr>
                <w:rFonts w:hint="eastAsia"/>
                <w:sz w:val="24"/>
                <w:highlight w:val="none"/>
                <w:vertAlign w:val="superscript"/>
                <w:lang w:bidi="ar"/>
              </w:rPr>
              <w:t>2</w:t>
            </w:r>
            <w:r>
              <w:rPr>
                <w:rFonts w:hint="eastAsia"/>
                <w:sz w:val="24"/>
                <w:highlight w:val="none"/>
                <w:vertAlign w:val="baseline"/>
                <w:lang w:eastAsia="zh-CN" w:bidi="ar"/>
              </w:rPr>
              <w:t>。</w:t>
            </w:r>
          </w:p>
          <w:p>
            <w:pPr>
              <w:adjustRightInd w:val="0"/>
              <w:spacing w:line="360" w:lineRule="auto"/>
              <w:ind w:firstLine="480" w:firstLineChars="200"/>
              <w:rPr>
                <w:rFonts w:hint="eastAsia" w:ascii="Times New Roman" w:hAnsi="Times New Roman" w:cs="Times New Roman"/>
                <w:b w:val="0"/>
                <w:bCs w:val="0"/>
                <w:sz w:val="24"/>
                <w:highlight w:val="none"/>
                <w:lang w:val="en-US" w:eastAsia="zh-CN"/>
              </w:rPr>
            </w:pPr>
            <w:r>
              <w:rPr>
                <w:rFonts w:hint="eastAsia"/>
                <w:color w:val="000000"/>
                <w:sz w:val="24"/>
                <w:lang w:val="en-US" w:eastAsia="zh-CN"/>
              </w:rPr>
              <w:t>⑷</w:t>
            </w:r>
            <w:r>
              <w:rPr>
                <w:rFonts w:hint="eastAsia" w:cs="Times New Roman"/>
                <w:sz w:val="24"/>
                <w:highlight w:val="none"/>
                <w:lang w:val="en-US" w:eastAsia="zh-CN"/>
              </w:rPr>
              <w:t>土地翻耕</w:t>
            </w:r>
          </w:p>
          <w:p>
            <w:pPr>
              <w:adjustRightIn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本次设计不进行表土回覆，土地平整后仅进行土地翻耕，使损毁土地表面的土壤能达到耕作、种植的要求，用犁地机、旋耕机，对土壤进行松土，翻耕深度为20cm</w:t>
            </w:r>
            <w:r>
              <w:rPr>
                <w:rFonts w:hint="eastAsia" w:cs="Times New Roman"/>
                <w:color w:val="auto"/>
                <w:kern w:val="2"/>
                <w:sz w:val="24"/>
                <w:szCs w:val="24"/>
                <w:highlight w:val="none"/>
                <w:lang w:val="en-US" w:eastAsia="zh-CN" w:bidi="ar"/>
              </w:rPr>
              <w:t>。</w:t>
            </w:r>
          </w:p>
          <w:p>
            <w:pPr>
              <w:adjustRightInd w:val="0"/>
              <w:spacing w:line="360" w:lineRule="auto"/>
              <w:ind w:firstLine="480" w:firstLineChars="200"/>
              <w:rPr>
                <w:rFonts w:hint="eastAsia" w:ascii="Times New Roman" w:hAnsi="Times New Roman" w:cs="Times New Roman"/>
                <w:b w:val="0"/>
                <w:bCs w:val="0"/>
                <w:sz w:val="24"/>
                <w:highlight w:val="none"/>
                <w:lang w:val="en-US" w:eastAsia="zh-CN"/>
              </w:rPr>
            </w:pPr>
            <w:r>
              <w:rPr>
                <w:rFonts w:hint="eastAsia" w:ascii="Times New Roman" w:hAnsi="Times New Roman" w:eastAsia="宋体" w:cs="Times New Roman"/>
                <w:color w:val="000000"/>
                <w:sz w:val="24"/>
                <w:lang w:val="en-US" w:eastAsia="zh-CN"/>
              </w:rPr>
              <w:t>⑸</w:t>
            </w:r>
            <w:r>
              <w:rPr>
                <w:rFonts w:hint="eastAsia" w:cs="Times New Roman"/>
                <w:sz w:val="24"/>
                <w:highlight w:val="none"/>
                <w:lang w:val="en-US" w:eastAsia="zh-CN"/>
              </w:rPr>
              <w:t>土地翻耕</w:t>
            </w:r>
            <w:r>
              <w:rPr>
                <w:rFonts w:hint="eastAsia" w:ascii="Times New Roman" w:hAnsi="Times New Roman" w:eastAsia="宋体" w:cs="Times New Roman"/>
                <w:color w:val="auto"/>
                <w:kern w:val="2"/>
                <w:sz w:val="24"/>
                <w:szCs w:val="24"/>
                <w:highlight w:val="none"/>
                <w:lang w:val="en-US" w:eastAsia="zh-CN" w:bidi="ar"/>
              </w:rPr>
              <w:t>培肥</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000000"/>
                <w:sz w:val="24"/>
                <w:lang w:val="en-US" w:eastAsia="zh-CN"/>
              </w:rPr>
            </w:pPr>
            <w:r>
              <w:rPr>
                <w:rFonts w:hint="eastAsia" w:ascii="Times New Roman" w:hAnsi="Times New Roman" w:eastAsia="宋体" w:cs="Times New Roman"/>
                <w:color w:val="auto"/>
                <w:kern w:val="2"/>
                <w:sz w:val="24"/>
                <w:szCs w:val="24"/>
                <w:highlight w:val="none"/>
                <w:lang w:val="en-US" w:eastAsia="zh-CN" w:bidi="ar"/>
              </w:rPr>
              <w:t>对S</w:t>
            </w:r>
            <w:r>
              <w:rPr>
                <w:rFonts w:hint="eastAsia" w:cs="Times New Roman"/>
                <w:kern w:val="2"/>
                <w:sz w:val="24"/>
                <w:szCs w:val="24"/>
                <w:highlight w:val="none"/>
                <w:lang w:val="en-US" w:eastAsia="zh-CN" w:bidi="ar"/>
              </w:rPr>
              <w:t>1-</w:t>
            </w:r>
            <w:r>
              <w:rPr>
                <w:rFonts w:hint="eastAsia" w:ascii="Times New Roman" w:hAnsi="Times New Roman" w:eastAsia="宋体" w:cs="Times New Roman"/>
                <w:color w:val="auto"/>
                <w:kern w:val="2"/>
                <w:sz w:val="24"/>
                <w:szCs w:val="24"/>
                <w:highlight w:val="none"/>
                <w:lang w:val="en-US" w:eastAsia="zh-CN" w:bidi="ar"/>
              </w:rPr>
              <w:t>1区、S</w:t>
            </w:r>
            <w:r>
              <w:rPr>
                <w:rFonts w:hint="eastAsia" w:cs="Times New Roman"/>
                <w:kern w:val="2"/>
                <w:sz w:val="24"/>
                <w:szCs w:val="24"/>
                <w:highlight w:val="none"/>
                <w:lang w:val="en-US" w:eastAsia="zh-CN" w:bidi="ar"/>
              </w:rPr>
              <w:t>1-</w:t>
            </w:r>
            <w:r>
              <w:rPr>
                <w:rFonts w:hint="eastAsia" w:ascii="Times New Roman" w:hAnsi="Times New Roman" w:eastAsia="宋体" w:cs="Times New Roman"/>
                <w:color w:val="auto"/>
                <w:kern w:val="2"/>
                <w:sz w:val="24"/>
                <w:szCs w:val="24"/>
                <w:highlight w:val="none"/>
                <w:lang w:val="en-US" w:eastAsia="zh-CN" w:bidi="ar"/>
              </w:rPr>
              <w:t>3区、S</w:t>
            </w:r>
            <w:r>
              <w:rPr>
                <w:rFonts w:hint="eastAsia" w:cs="Times New Roman"/>
                <w:kern w:val="2"/>
                <w:sz w:val="24"/>
                <w:szCs w:val="24"/>
                <w:highlight w:val="none"/>
                <w:lang w:val="en-US" w:eastAsia="zh-CN" w:bidi="ar"/>
              </w:rPr>
              <w:t>1-</w:t>
            </w:r>
            <w:r>
              <w:rPr>
                <w:rFonts w:hint="eastAsia" w:ascii="Times New Roman" w:hAnsi="Times New Roman" w:eastAsia="宋体" w:cs="Times New Roman"/>
                <w:color w:val="auto"/>
                <w:kern w:val="2"/>
                <w:sz w:val="24"/>
                <w:szCs w:val="24"/>
                <w:highlight w:val="none"/>
                <w:lang w:val="en-US" w:eastAsia="zh-CN" w:bidi="ar"/>
              </w:rPr>
              <w:t>4区部分复垦为旱地的区域进行土地翻耕培肥。培肥区增施有机肥料，施肥标准220kg/亩。土地翻耕培肥</w:t>
            </w:r>
            <w:r>
              <w:rPr>
                <w:rFonts w:hint="eastAsia" w:cs="Times New Roman"/>
                <w:color w:val="auto"/>
                <w:kern w:val="2"/>
                <w:sz w:val="24"/>
                <w:szCs w:val="24"/>
                <w:highlight w:val="none"/>
                <w:lang w:val="en-US" w:eastAsia="zh-CN" w:bidi="ar"/>
              </w:rPr>
              <w:t>面积</w:t>
            </w:r>
            <w:r>
              <w:rPr>
                <w:rFonts w:hint="eastAsia" w:ascii="Times New Roman" w:hAnsi="Times New Roman" w:eastAsia="宋体" w:cs="Times New Roman"/>
                <w:color w:val="auto"/>
                <w:kern w:val="2"/>
                <w:sz w:val="24"/>
                <w:szCs w:val="24"/>
                <w:highlight w:val="none"/>
                <w:lang w:val="en-US" w:eastAsia="zh-CN" w:bidi="ar"/>
              </w:rPr>
              <w:t>1.</w:t>
            </w:r>
            <w:r>
              <w:rPr>
                <w:rFonts w:hint="eastAsia" w:cs="Times New Roman"/>
                <w:kern w:val="2"/>
                <w:sz w:val="24"/>
                <w:szCs w:val="24"/>
                <w:highlight w:val="none"/>
                <w:lang w:val="en-US" w:eastAsia="zh-CN" w:bidi="ar"/>
              </w:rPr>
              <w:t>82</w:t>
            </w:r>
            <w:r>
              <w:rPr>
                <w:rFonts w:hint="eastAsia" w:ascii="Times New Roman" w:hAnsi="Times New Roman" w:eastAsia="宋体" w:cs="Times New Roman"/>
                <w:color w:val="auto"/>
                <w:kern w:val="2"/>
                <w:sz w:val="24"/>
                <w:szCs w:val="24"/>
                <w:highlight w:val="none"/>
                <w:lang w:val="en-US" w:eastAsia="zh-CN" w:bidi="ar"/>
              </w:rPr>
              <w:t>hm</w:t>
            </w:r>
            <w:r>
              <w:rPr>
                <w:rFonts w:hint="eastAsia" w:ascii="Times New Roman" w:hAnsi="Times New Roman" w:eastAsia="宋体" w:cs="Times New Roman"/>
                <w:color w:val="auto"/>
                <w:kern w:val="2"/>
                <w:sz w:val="24"/>
                <w:szCs w:val="24"/>
                <w:highlight w:val="none"/>
                <w:vertAlign w:val="superscript"/>
                <w:lang w:val="en-US" w:eastAsia="zh-CN" w:bidi="ar"/>
              </w:rPr>
              <w:t>2</w:t>
            </w:r>
            <w:r>
              <w:rPr>
                <w:rFonts w:hint="eastAsia" w:cs="Times New Roman"/>
                <w:color w:val="auto"/>
                <w:kern w:val="2"/>
                <w:sz w:val="24"/>
                <w:szCs w:val="24"/>
                <w:highlight w:val="none"/>
                <w:vertAlign w:val="baseline"/>
                <w:lang w:val="en-US" w:eastAsia="zh-CN" w:bidi="ar"/>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cs="Times New Roman"/>
                <w:color w:val="000000"/>
                <w:sz w:val="24"/>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cs="Times New Roman"/>
                <w:color w:val="000000"/>
                <w:sz w:val="24"/>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cs="Times New Roman"/>
                <w:color w:val="000000"/>
                <w:sz w:val="24"/>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cs="Times New Roman"/>
                <w:color w:val="000000"/>
                <w:sz w:val="24"/>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textAlignment w:val="auto"/>
              <w:rPr>
                <w:rFonts w:hint="eastAsia" w:eastAsia="宋体"/>
                <w:b/>
                <w:bCs/>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9" w:hRule="atLeast"/>
          <w:jc w:val="center"/>
        </w:trPr>
        <w:tc>
          <w:tcPr>
            <w:tcW w:w="9286" w:type="dxa"/>
            <w:noWrap w:val="0"/>
            <w:vAlign w:val="top"/>
          </w:tcPr>
          <w:p>
            <w:pPr>
              <w:adjustRightInd w:val="0"/>
              <w:spacing w:line="360" w:lineRule="auto"/>
              <w:rPr>
                <w:rFonts w:hint="eastAsia" w:ascii="Times New Roman" w:hAnsi="Times New Roman"/>
                <w:b/>
                <w:bCs/>
                <w:sz w:val="24"/>
                <w:lang w:val="en-US" w:eastAsia="zh-CN"/>
              </w:rPr>
            </w:pPr>
            <w:r>
              <w:rPr>
                <w:rFonts w:hint="eastAsia"/>
                <w:b/>
                <w:bCs/>
                <w:sz w:val="28"/>
                <w:szCs w:val="28"/>
                <w:lang w:val="en-US" w:eastAsia="zh-CN"/>
              </w:rPr>
              <w:t>主要污染工序</w:t>
            </w:r>
          </w:p>
          <w:p>
            <w:pPr>
              <w:spacing w:line="360" w:lineRule="auto"/>
              <w:ind w:firstLine="480" w:firstLineChars="200"/>
              <w:rPr>
                <w:rFonts w:hint="default"/>
                <w:sz w:val="24"/>
                <w:szCs w:val="24"/>
                <w:lang w:val="en-US" w:eastAsia="zh-CN"/>
              </w:rPr>
            </w:pPr>
            <w:r>
              <w:rPr>
                <w:rFonts w:hint="default"/>
                <w:sz w:val="24"/>
                <w:szCs w:val="24"/>
                <w:lang w:val="en-US" w:eastAsia="zh-CN"/>
              </w:rPr>
              <w:t>项目施工中产生的废水、废气、扬尘和噪声，会对施工区域局部的水环境、声环境、环境空气产生影响；临时占地会破坏地表植被、新增水土流失；施工占地、噪声、人员活动等对工程区动物会产生一定影响</w:t>
            </w:r>
            <w:r>
              <w:rPr>
                <w:rFonts w:hint="eastAsia"/>
                <w:sz w:val="24"/>
                <w:szCs w:val="24"/>
                <w:lang w:val="en-US" w:eastAsia="zh-CN"/>
              </w:rPr>
              <w:t>。</w:t>
            </w:r>
          </w:p>
          <w:p>
            <w:pPr>
              <w:adjustRightInd w:val="0"/>
              <w:spacing w:line="360" w:lineRule="auto"/>
              <w:ind w:firstLine="480" w:firstLineChars="200"/>
              <w:rPr>
                <w:rFonts w:hint="default" w:ascii="Times New Roman" w:hAnsi="Times New Roman" w:cs="Times New Roman"/>
                <w:bCs/>
                <w:sz w:val="24"/>
                <w:highlight w:val="none"/>
                <w:lang w:val="en-US" w:eastAsia="zh-CN"/>
              </w:rPr>
            </w:pPr>
            <w:r>
              <w:rPr>
                <w:rFonts w:hint="eastAsia" w:cs="Times New Roman"/>
                <w:bCs/>
                <w:sz w:val="24"/>
                <w:highlight w:val="none"/>
                <w:lang w:eastAsia="zh-CN"/>
              </w:rPr>
              <w:t>⑴</w:t>
            </w:r>
            <w:r>
              <w:rPr>
                <w:rFonts w:hint="eastAsia" w:cs="Times New Roman"/>
                <w:bCs/>
                <w:sz w:val="24"/>
                <w:highlight w:val="none"/>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工程施工期对环境空气的影响主要来自施工场地及运输车辆产生的扬尘，其次是燃油设备排放的废气，具体产生工序如下：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①工程建设中所需的砂、石、土等材料采集、筛选、装卸、运输等工序；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②水泥等外购材料的装卸、运输产生等工序；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③工程建设的挖掘、混凝土施工、回填、平整及压实等工序；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④施工建设过程中的土石方作业等工序；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⑤建筑垃圾及废弃土石方的清运、运输及处置等工序。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⑥施工场地、堆场产生的风力扬尘；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bCs/>
                <w:color w:val="auto"/>
                <w:sz w:val="24"/>
                <w:szCs w:val="24"/>
                <w:highlight w:val="none"/>
                <w:lang w:val="en-US" w:eastAsia="zh-CN"/>
              </w:rPr>
            </w:pPr>
            <w:r>
              <w:rPr>
                <w:rFonts w:hint="eastAsia"/>
                <w:sz w:val="24"/>
                <w:szCs w:val="24"/>
                <w:lang w:val="en-US" w:eastAsia="zh-CN"/>
              </w:rPr>
              <w:t>⑦施工区的燃油设备主要是施工机械（如柴油发电机、载重汽车、挖掘机等）和运输车辆，其排放的尾气中主要污染物有CO、HC、NO</w:t>
            </w:r>
            <w:r>
              <w:rPr>
                <w:rFonts w:hint="eastAsia"/>
                <w:sz w:val="24"/>
                <w:szCs w:val="24"/>
                <w:vertAlign w:val="subscript"/>
                <w:lang w:val="en-US" w:eastAsia="zh-CN"/>
              </w:rPr>
              <w:t>X</w:t>
            </w:r>
            <w:r>
              <w:rPr>
                <w:rFonts w:hint="eastAsia"/>
                <w:sz w:val="24"/>
                <w:szCs w:val="24"/>
                <w:lang w:val="en-US" w:eastAsia="zh-CN"/>
              </w:rPr>
              <w:t>等。</w:t>
            </w:r>
          </w:p>
          <w:p>
            <w:pPr>
              <w:spacing w:line="360" w:lineRule="auto"/>
              <w:ind w:firstLine="480" w:firstLineChars="200"/>
              <w:rPr>
                <w:sz w:val="24"/>
                <w:szCs w:val="24"/>
              </w:rPr>
            </w:pPr>
            <w:r>
              <w:rPr>
                <w:rFonts w:hint="eastAsia" w:cs="Times New Roman"/>
                <w:bCs/>
                <w:sz w:val="24"/>
                <w:szCs w:val="24"/>
                <w:highlight w:val="none"/>
                <w:lang w:eastAsia="zh-CN"/>
              </w:rPr>
              <w:t>⑵废</w:t>
            </w:r>
            <w:r>
              <w:rPr>
                <w:sz w:val="24"/>
                <w:szCs w:val="24"/>
              </w:rPr>
              <w:t>水</w:t>
            </w:r>
          </w:p>
          <w:p>
            <w:pPr>
              <w:spacing w:line="360" w:lineRule="auto"/>
              <w:ind w:firstLine="480" w:firstLineChars="200"/>
              <w:rPr>
                <w:sz w:val="24"/>
                <w:szCs w:val="24"/>
              </w:rPr>
            </w:pPr>
            <w:r>
              <w:rPr>
                <w:sz w:val="24"/>
                <w:szCs w:val="24"/>
              </w:rPr>
              <w:t>本项目施工期废水主要为施工人员生活污水</w:t>
            </w:r>
            <w:r>
              <w:rPr>
                <w:rFonts w:hint="eastAsia"/>
                <w:sz w:val="24"/>
                <w:szCs w:val="24"/>
                <w:lang w:eastAsia="zh-CN"/>
              </w:rPr>
              <w:t>及施工废水</w:t>
            </w:r>
            <w:r>
              <w:rPr>
                <w:sz w:val="24"/>
                <w:szCs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pPr>
            <w:r>
              <w:rPr>
                <w:sz w:val="24"/>
                <w:szCs w:val="24"/>
              </w:rPr>
              <w:t>本项目施工高峰期施工人员按</w:t>
            </w:r>
            <w:r>
              <w:rPr>
                <w:rFonts w:hint="eastAsia"/>
                <w:sz w:val="24"/>
                <w:szCs w:val="24"/>
                <w:lang w:val="en-US" w:eastAsia="zh-CN"/>
              </w:rPr>
              <w:t>40</w:t>
            </w:r>
            <w:r>
              <w:rPr>
                <w:sz w:val="24"/>
                <w:szCs w:val="24"/>
              </w:rPr>
              <w:t>人计算，工地不设住宿和食堂，设有旱厕，</w:t>
            </w:r>
            <w:r>
              <w:rPr>
                <w:rFonts w:hint="eastAsia"/>
                <w:sz w:val="24"/>
                <w:szCs w:val="24"/>
                <w:lang w:eastAsia="zh-CN"/>
              </w:rPr>
              <w:t>施工人员</w:t>
            </w:r>
            <w:r>
              <w:rPr>
                <w:sz w:val="24"/>
                <w:szCs w:val="24"/>
              </w:rPr>
              <w:t>生活污水按</w:t>
            </w:r>
            <w:r>
              <w:rPr>
                <w:rFonts w:hint="eastAsia"/>
                <w:sz w:val="24"/>
                <w:szCs w:val="24"/>
                <w:lang w:val="en-US" w:eastAsia="zh-CN"/>
              </w:rPr>
              <w:t>20</w:t>
            </w:r>
            <w:r>
              <w:rPr>
                <w:sz w:val="24"/>
                <w:szCs w:val="24"/>
              </w:rPr>
              <w:t>L/人•d计，则</w:t>
            </w:r>
            <w:r>
              <w:rPr>
                <w:rFonts w:hint="eastAsia"/>
                <w:sz w:val="24"/>
                <w:szCs w:val="24"/>
                <w:lang w:eastAsia="zh-CN"/>
              </w:rPr>
              <w:t>生活</w:t>
            </w:r>
            <w:r>
              <w:rPr>
                <w:sz w:val="24"/>
                <w:szCs w:val="24"/>
              </w:rPr>
              <w:t>用水量为0.</w:t>
            </w:r>
            <w:r>
              <w:rPr>
                <w:rFonts w:hint="eastAsia"/>
                <w:sz w:val="24"/>
                <w:szCs w:val="24"/>
                <w:lang w:val="en-US" w:eastAsia="zh-CN"/>
              </w:rPr>
              <w:t>8</w:t>
            </w:r>
            <w:r>
              <w:rPr>
                <w:sz w:val="24"/>
                <w:szCs w:val="24"/>
              </w:rPr>
              <w:t>m</w:t>
            </w:r>
            <w:r>
              <w:rPr>
                <w:sz w:val="24"/>
                <w:szCs w:val="24"/>
                <w:vertAlign w:val="superscript"/>
              </w:rPr>
              <w:t>3</w:t>
            </w:r>
            <w:r>
              <w:rPr>
                <w:sz w:val="24"/>
                <w:szCs w:val="24"/>
              </w:rPr>
              <w:t>/d，产生生活污水量按用水量的80%计，则污水量为0.</w:t>
            </w:r>
            <w:r>
              <w:rPr>
                <w:rFonts w:hint="eastAsia"/>
                <w:sz w:val="24"/>
                <w:szCs w:val="24"/>
                <w:lang w:val="en-US" w:eastAsia="zh-CN"/>
              </w:rPr>
              <w:t>64</w:t>
            </w:r>
            <w:r>
              <w:rPr>
                <w:sz w:val="24"/>
                <w:szCs w:val="24"/>
              </w:rPr>
              <w:t>m</w:t>
            </w:r>
            <w:r>
              <w:rPr>
                <w:sz w:val="24"/>
                <w:szCs w:val="24"/>
                <w:vertAlign w:val="superscript"/>
              </w:rPr>
              <w:t>3</w:t>
            </w:r>
            <w:r>
              <w:rPr>
                <w:sz w:val="24"/>
                <w:szCs w:val="24"/>
              </w:rPr>
              <w:t>/d，施工期生活污水排放量约为</w:t>
            </w:r>
            <w:r>
              <w:rPr>
                <w:rFonts w:hint="eastAsia"/>
                <w:sz w:val="24"/>
                <w:szCs w:val="24"/>
                <w:lang w:val="en-US" w:eastAsia="zh-CN"/>
              </w:rPr>
              <w:t>76.8</w:t>
            </w:r>
            <w:r>
              <w:rPr>
                <w:sz w:val="24"/>
                <w:szCs w:val="24"/>
              </w:rPr>
              <w:t>m</w:t>
            </w:r>
            <w:r>
              <w:rPr>
                <w:sz w:val="24"/>
                <w:szCs w:val="24"/>
                <w:vertAlign w:val="superscript"/>
              </w:rPr>
              <w:t>3</w:t>
            </w:r>
            <w:r>
              <w:rPr>
                <w:sz w:val="24"/>
                <w:szCs w:val="24"/>
              </w:rPr>
              <w:t>。生活污水主要为</w:t>
            </w:r>
            <w:r>
              <w:rPr>
                <w:rFonts w:hint="eastAsia"/>
                <w:sz w:val="24"/>
                <w:szCs w:val="24"/>
                <w:lang w:val="en-US" w:eastAsia="zh-CN"/>
              </w:rPr>
              <w:t>盥洗废水</w:t>
            </w:r>
            <w:r>
              <w:rPr>
                <w:sz w:val="24"/>
                <w:szCs w:val="24"/>
              </w:rPr>
              <w:t>，集中收集后直接用于泼洒抑尘，不外排；旱厕定期清掏后还田，不外排。</w:t>
            </w:r>
          </w:p>
          <w:p>
            <w:pPr>
              <w:spacing w:line="360" w:lineRule="auto"/>
              <w:ind w:firstLine="480" w:firstLineChars="200"/>
              <w:rPr>
                <w:rFonts w:hint="eastAsia" w:ascii="Times New Roman" w:hAnsi="Times New Roman" w:cs="Times New Roman"/>
                <w:bCs/>
                <w:sz w:val="24"/>
                <w:highlight w:val="none"/>
                <w:lang w:val="en-US" w:eastAsia="zh-CN"/>
              </w:rPr>
            </w:pPr>
            <w:r>
              <w:rPr>
                <w:rFonts w:hint="eastAsia" w:cs="Times New Roman"/>
                <w:bCs/>
                <w:sz w:val="24"/>
                <w:highlight w:val="none"/>
                <w:lang w:val="en-US" w:eastAsia="zh-CN"/>
              </w:rPr>
              <w:t>施工废水</w:t>
            </w:r>
            <w:r>
              <w:rPr>
                <w:rFonts w:hint="eastAsia" w:ascii="Times New Roman" w:hAnsi="Times New Roman" w:cs="Times New Roman"/>
                <w:bCs/>
                <w:sz w:val="24"/>
                <w:highlight w:val="none"/>
                <w:lang w:val="en-US" w:eastAsia="zh-CN"/>
              </w:rPr>
              <w:t>集中收集经沉淀后用于泼洒抑尘，不外排。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z w:val="24"/>
                <w:highlight w:val="none"/>
                <w:lang w:val="en-US" w:eastAsia="zh-CN"/>
              </w:rPr>
            </w:pPr>
            <w:r>
              <w:rPr>
                <w:rFonts w:hint="eastAsia" w:ascii="Times New Roman" w:hAnsi="Times New Roman" w:eastAsia="宋体" w:cs="Times New Roman"/>
                <w:b w:val="0"/>
                <w:bCs/>
                <w:sz w:val="24"/>
                <w:highlight w:val="none"/>
                <w:lang w:val="en-US" w:eastAsia="zh-CN"/>
              </w:rPr>
              <w:t>⑶噪声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sz w:val="24"/>
                <w:szCs w:val="24"/>
              </w:rPr>
            </w:pPr>
            <w:r>
              <w:rPr>
                <w:rFonts w:hint="eastAsia" w:eastAsia="宋体"/>
                <w:b w:val="0"/>
                <w:bCs w:val="0"/>
                <w:color w:val="auto"/>
                <w:sz w:val="24"/>
                <w:highlight w:val="none"/>
                <w:lang w:val="en-US" w:eastAsia="zh-CN"/>
              </w:rPr>
              <w:t>本项目施工期噪声主要为施工机械设备产生的机械噪声。土建施工时需使用较多的机械设备，如挖掘机、自卸车、碾压机、运输车辆等。施工机械设备大多为不连续性噪声，多为点声源。类比其他建筑工地得出的常规施工设备噪声值见表</w:t>
            </w:r>
            <w:r>
              <w:rPr>
                <w:rFonts w:hint="eastAsia"/>
                <w:b w:val="0"/>
                <w:bCs w:val="0"/>
                <w:color w:val="auto"/>
                <w:sz w:val="24"/>
                <w:highlight w:val="none"/>
                <w:lang w:val="en-US" w:eastAsia="zh-CN"/>
              </w:rPr>
              <w:t>5-1</w:t>
            </w:r>
            <w:r>
              <w:rPr>
                <w:rFonts w:hint="eastAsia" w:eastAsia="宋体"/>
                <w:b w:val="0"/>
                <w:bCs w:val="0"/>
                <w:color w:val="auto"/>
                <w:sz w:val="24"/>
                <w:highlight w:val="none"/>
                <w:lang w:val="en-US" w:eastAsia="zh-CN"/>
              </w:rPr>
              <w:t>。</w:t>
            </w:r>
          </w:p>
          <w:p>
            <w:pPr>
              <w:snapToGrid w:val="0"/>
              <w:spacing w:line="360" w:lineRule="auto"/>
              <w:jc w:val="center"/>
              <w:rPr>
                <w:rFonts w:hint="default" w:ascii="Times New Roman" w:hAnsi="Times New Roman" w:eastAsia="黑体" w:cs="Times New Roman"/>
                <w:b w:val="0"/>
                <w:bCs/>
                <w:sz w:val="24"/>
                <w:szCs w:val="24"/>
              </w:rPr>
            </w:pPr>
          </w:p>
          <w:p>
            <w:pPr>
              <w:snapToGrid w:val="0"/>
              <w:spacing w:line="360" w:lineRule="auto"/>
              <w:jc w:val="center"/>
              <w:rPr>
                <w:rFonts w:hint="default" w:ascii="Times New Roman" w:hAnsi="Times New Roman" w:eastAsia="黑体" w:cs="Times New Roman"/>
                <w:b w:val="0"/>
                <w:bCs/>
                <w:sz w:val="24"/>
                <w:szCs w:val="24"/>
              </w:rPr>
            </w:pPr>
          </w:p>
          <w:p>
            <w:pPr>
              <w:snapToGrid w:val="0"/>
              <w:spacing w:line="360" w:lineRule="auto"/>
              <w:jc w:val="center"/>
              <w:rPr>
                <w:rFonts w:hint="default" w:ascii="Times New Roman" w:hAnsi="Times New Roman" w:eastAsia="黑体" w:cs="Times New Roman"/>
                <w:b w:val="0"/>
                <w:bCs/>
                <w:sz w:val="24"/>
                <w:szCs w:val="24"/>
              </w:rPr>
            </w:pPr>
            <w:r>
              <w:rPr>
                <w:rFonts w:hint="default" w:ascii="Times New Roman" w:hAnsi="Times New Roman" w:eastAsia="黑体" w:cs="Times New Roman"/>
                <w:b w:val="0"/>
                <w:bCs/>
                <w:sz w:val="24"/>
                <w:szCs w:val="24"/>
              </w:rPr>
              <w:t>表</w:t>
            </w:r>
            <w:r>
              <w:rPr>
                <w:rFonts w:hint="default" w:ascii="Times New Roman" w:hAnsi="Times New Roman" w:eastAsia="黑体" w:cs="Times New Roman"/>
                <w:b w:val="0"/>
                <w:bCs/>
                <w:sz w:val="24"/>
                <w:szCs w:val="24"/>
                <w:lang w:val="en-US" w:eastAsia="zh-CN"/>
              </w:rPr>
              <w:t xml:space="preserve">5-1  </w:t>
            </w:r>
            <w:r>
              <w:rPr>
                <w:rFonts w:hint="default" w:ascii="Times New Roman" w:hAnsi="Times New Roman" w:eastAsia="黑体" w:cs="Times New Roman"/>
                <w:b w:val="0"/>
                <w:bCs/>
                <w:sz w:val="24"/>
                <w:szCs w:val="24"/>
              </w:rPr>
              <w:t xml:space="preserve">  常规建筑施工机械及其噪声级</w:t>
            </w:r>
          </w:p>
          <w:tbl>
            <w:tblPr>
              <w:tblStyle w:val="1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786"/>
              <w:gridCol w:w="428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39" w:type="pct"/>
                  <w:tcBorders>
                    <w:tl2br w:val="nil"/>
                    <w:tr2bl w:val="nil"/>
                  </w:tcBorders>
                  <w:noWrap w:val="0"/>
                  <w:vAlign w:val="center"/>
                </w:tcPr>
                <w:p>
                  <w:pPr>
                    <w:spacing w:line="240" w:lineRule="exact"/>
                    <w:jc w:val="center"/>
                    <w:rPr>
                      <w:b/>
                      <w:sz w:val="21"/>
                      <w:szCs w:val="21"/>
                    </w:rPr>
                  </w:pPr>
                  <w:r>
                    <w:rPr>
                      <w:b/>
                      <w:sz w:val="21"/>
                      <w:szCs w:val="21"/>
                    </w:rPr>
                    <w:t>设备名称</w:t>
                  </w:r>
                </w:p>
              </w:tc>
              <w:tc>
                <w:tcPr>
                  <w:tcW w:w="2360" w:type="pct"/>
                  <w:tcBorders>
                    <w:tl2br w:val="nil"/>
                    <w:tr2bl w:val="nil"/>
                  </w:tcBorders>
                  <w:noWrap w:val="0"/>
                  <w:vAlign w:val="center"/>
                </w:tcPr>
                <w:p>
                  <w:pPr>
                    <w:spacing w:line="240" w:lineRule="exact"/>
                    <w:jc w:val="center"/>
                    <w:rPr>
                      <w:b/>
                      <w:sz w:val="21"/>
                      <w:szCs w:val="21"/>
                    </w:rPr>
                  </w:pPr>
                  <w:r>
                    <w:rPr>
                      <w:b/>
                      <w:sz w:val="21"/>
                      <w:szCs w:val="21"/>
                    </w:rPr>
                    <w:t>噪声级dB(A)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39" w:type="pct"/>
                  <w:tcBorders>
                    <w:tl2br w:val="nil"/>
                    <w:tr2bl w:val="nil"/>
                  </w:tcBorders>
                  <w:noWrap w:val="0"/>
                  <w:vAlign w:val="center"/>
                </w:tcPr>
                <w:p>
                  <w:pPr>
                    <w:spacing w:line="240" w:lineRule="exact"/>
                    <w:jc w:val="center"/>
                    <w:rPr>
                      <w:sz w:val="21"/>
                      <w:szCs w:val="21"/>
                    </w:rPr>
                  </w:pPr>
                  <w:r>
                    <w:rPr>
                      <w:rFonts w:hint="eastAsia"/>
                      <w:sz w:val="21"/>
                      <w:szCs w:val="21"/>
                      <w:lang w:eastAsia="zh-CN"/>
                    </w:rPr>
                    <w:t>液压</w:t>
                  </w:r>
                  <w:r>
                    <w:rPr>
                      <w:sz w:val="21"/>
                      <w:szCs w:val="21"/>
                    </w:rPr>
                    <w:t>挖掘机</w:t>
                  </w:r>
                </w:p>
              </w:tc>
              <w:tc>
                <w:tcPr>
                  <w:tcW w:w="2360" w:type="pct"/>
                  <w:tcBorders>
                    <w:tl2br w:val="nil"/>
                    <w:tr2bl w:val="nil"/>
                  </w:tcBorders>
                  <w:noWrap w:val="0"/>
                  <w:vAlign w:val="center"/>
                </w:tcPr>
                <w:p>
                  <w:pPr>
                    <w:spacing w:line="240" w:lineRule="exact"/>
                    <w:jc w:val="center"/>
                    <w:rPr>
                      <w:sz w:val="21"/>
                      <w:szCs w:val="21"/>
                    </w:rPr>
                  </w:pPr>
                  <w:r>
                    <w:rPr>
                      <w:sz w:val="21"/>
                      <w:szCs w:val="21"/>
                    </w:rPr>
                    <w:t>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39" w:type="pct"/>
                  <w:tcBorders>
                    <w:tl2br w:val="nil"/>
                    <w:tr2bl w:val="nil"/>
                  </w:tcBorders>
                  <w:noWrap w:val="0"/>
                  <w:vAlign w:val="center"/>
                </w:tcPr>
                <w:p>
                  <w:pPr>
                    <w:spacing w:line="240" w:lineRule="exact"/>
                    <w:jc w:val="center"/>
                    <w:rPr>
                      <w:rFonts w:hint="eastAsia" w:eastAsia="宋体"/>
                      <w:sz w:val="21"/>
                      <w:szCs w:val="21"/>
                      <w:lang w:eastAsia="zh-CN"/>
                    </w:rPr>
                  </w:pPr>
                  <w:r>
                    <w:rPr>
                      <w:rFonts w:hint="eastAsia"/>
                      <w:sz w:val="21"/>
                      <w:szCs w:val="21"/>
                      <w:lang w:eastAsia="zh-CN"/>
                    </w:rPr>
                    <w:t>液压松土机</w:t>
                  </w:r>
                </w:p>
              </w:tc>
              <w:tc>
                <w:tcPr>
                  <w:tcW w:w="2360" w:type="pct"/>
                  <w:tcBorders>
                    <w:tl2br w:val="nil"/>
                    <w:tr2bl w:val="nil"/>
                  </w:tcBorders>
                  <w:noWrap w:val="0"/>
                  <w:vAlign w:val="center"/>
                </w:tcPr>
                <w:p>
                  <w:pPr>
                    <w:spacing w:line="240" w:lineRule="exact"/>
                    <w:jc w:val="center"/>
                    <w:rPr>
                      <w:sz w:val="21"/>
                      <w:szCs w:val="21"/>
                    </w:rPr>
                  </w:pPr>
                  <w:r>
                    <w:rPr>
                      <w:sz w:val="21"/>
                      <w:szCs w:val="21"/>
                    </w:rPr>
                    <w:t>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39" w:type="pct"/>
                  <w:tcBorders>
                    <w:tl2br w:val="nil"/>
                    <w:tr2bl w:val="nil"/>
                  </w:tcBorders>
                  <w:noWrap w:val="0"/>
                  <w:vAlign w:val="center"/>
                </w:tcPr>
                <w:p>
                  <w:pPr>
                    <w:spacing w:line="240" w:lineRule="exact"/>
                    <w:jc w:val="center"/>
                    <w:rPr>
                      <w:rFonts w:hint="eastAsia" w:eastAsia="宋体"/>
                      <w:sz w:val="21"/>
                      <w:szCs w:val="21"/>
                      <w:lang w:eastAsia="zh-CN"/>
                    </w:rPr>
                  </w:pPr>
                  <w:r>
                    <w:rPr>
                      <w:rFonts w:hint="eastAsia"/>
                      <w:sz w:val="21"/>
                      <w:szCs w:val="21"/>
                      <w:lang w:eastAsia="zh-CN"/>
                    </w:rPr>
                    <w:t>轮式装载机</w:t>
                  </w:r>
                </w:p>
              </w:tc>
              <w:tc>
                <w:tcPr>
                  <w:tcW w:w="2360" w:type="pct"/>
                  <w:tcBorders>
                    <w:tl2br w:val="nil"/>
                    <w:tr2bl w:val="nil"/>
                  </w:tcBorders>
                  <w:noWrap w:val="0"/>
                  <w:vAlign w:val="center"/>
                </w:tcPr>
                <w:p>
                  <w:pPr>
                    <w:spacing w:line="240" w:lineRule="exact"/>
                    <w:jc w:val="center"/>
                    <w:rPr>
                      <w:sz w:val="21"/>
                      <w:szCs w:val="21"/>
                    </w:rPr>
                  </w:pPr>
                  <w:r>
                    <w:rPr>
                      <w:sz w:val="21"/>
                      <w:szCs w:val="21"/>
                    </w:rPr>
                    <w:t>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39" w:type="pct"/>
                  <w:tcBorders>
                    <w:tl2br w:val="nil"/>
                    <w:tr2bl w:val="nil"/>
                  </w:tcBorders>
                  <w:noWrap w:val="0"/>
                  <w:vAlign w:val="center"/>
                </w:tcPr>
                <w:p>
                  <w:pPr>
                    <w:spacing w:line="240" w:lineRule="exact"/>
                    <w:jc w:val="center"/>
                    <w:rPr>
                      <w:rFonts w:hint="eastAsia"/>
                      <w:sz w:val="21"/>
                      <w:szCs w:val="21"/>
                      <w:lang w:eastAsia="zh-CN"/>
                    </w:rPr>
                  </w:pPr>
                  <w:r>
                    <w:rPr>
                      <w:rFonts w:hint="eastAsia"/>
                      <w:sz w:val="21"/>
                      <w:szCs w:val="21"/>
                      <w:lang w:eastAsia="zh-CN"/>
                    </w:rPr>
                    <w:t>平路机</w:t>
                  </w:r>
                </w:p>
              </w:tc>
              <w:tc>
                <w:tcPr>
                  <w:tcW w:w="2360" w:type="pct"/>
                  <w:tcBorders>
                    <w:tl2br w:val="nil"/>
                    <w:tr2bl w:val="nil"/>
                  </w:tcBorders>
                  <w:noWrap w:val="0"/>
                  <w:vAlign w:val="center"/>
                </w:tcPr>
                <w:p>
                  <w:pPr>
                    <w:spacing w:line="240" w:lineRule="exact"/>
                    <w:jc w:val="center"/>
                    <w:rPr>
                      <w:rFonts w:hint="default" w:eastAsia="宋体"/>
                      <w:sz w:val="21"/>
                      <w:szCs w:val="21"/>
                      <w:lang w:val="en-US" w:eastAsia="zh-CN"/>
                    </w:rPr>
                  </w:pPr>
                  <w:r>
                    <w:rPr>
                      <w:rFonts w:hint="eastAsia"/>
                      <w:sz w:val="21"/>
                      <w:szCs w:val="21"/>
                      <w:lang w:val="en-US" w:eastAsia="zh-CN"/>
                    </w:rPr>
                    <w:t>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39" w:type="pct"/>
                  <w:tcBorders>
                    <w:tl2br w:val="nil"/>
                    <w:tr2bl w:val="nil"/>
                  </w:tcBorders>
                  <w:noWrap w:val="0"/>
                  <w:vAlign w:val="center"/>
                </w:tcPr>
                <w:p>
                  <w:pPr>
                    <w:spacing w:line="240" w:lineRule="exact"/>
                    <w:jc w:val="center"/>
                    <w:rPr>
                      <w:rFonts w:hint="eastAsia"/>
                      <w:sz w:val="21"/>
                      <w:szCs w:val="21"/>
                      <w:lang w:eastAsia="zh-CN"/>
                    </w:rPr>
                  </w:pPr>
                  <w:r>
                    <w:rPr>
                      <w:rFonts w:hint="eastAsia"/>
                      <w:sz w:val="21"/>
                      <w:szCs w:val="21"/>
                      <w:lang w:eastAsia="zh-CN"/>
                    </w:rPr>
                    <w:t>自卸卡车</w:t>
                  </w:r>
                </w:p>
              </w:tc>
              <w:tc>
                <w:tcPr>
                  <w:tcW w:w="2360" w:type="pct"/>
                  <w:tcBorders>
                    <w:tl2br w:val="nil"/>
                    <w:tr2bl w:val="nil"/>
                  </w:tcBorders>
                  <w:noWrap w:val="0"/>
                  <w:vAlign w:val="center"/>
                </w:tcPr>
                <w:p>
                  <w:pPr>
                    <w:spacing w:line="240" w:lineRule="exact"/>
                    <w:jc w:val="center"/>
                    <w:rPr>
                      <w:rFonts w:hint="default" w:eastAsia="宋体"/>
                      <w:sz w:val="21"/>
                      <w:szCs w:val="21"/>
                      <w:lang w:val="en-US" w:eastAsia="zh-CN"/>
                    </w:rPr>
                  </w:pPr>
                  <w:r>
                    <w:rPr>
                      <w:rFonts w:hint="eastAsia"/>
                      <w:sz w:val="21"/>
                      <w:szCs w:val="21"/>
                      <w:lang w:val="en-US" w:eastAsia="zh-CN"/>
                    </w:rPr>
                    <w:t>85</w:t>
                  </w:r>
                </w:p>
              </w:tc>
            </w:tr>
          </w:tbl>
          <w:p>
            <w:pPr>
              <w:spacing w:line="360" w:lineRule="auto"/>
              <w:ind w:firstLine="480" w:firstLineChars="200"/>
              <w:rPr>
                <w:sz w:val="24"/>
                <w:szCs w:val="24"/>
              </w:rPr>
            </w:pPr>
            <w:r>
              <w:rPr>
                <w:rFonts w:hint="eastAsia"/>
                <w:sz w:val="24"/>
                <w:szCs w:val="24"/>
                <w:lang w:eastAsia="zh-CN"/>
              </w:rPr>
              <w:t>⑷</w:t>
            </w:r>
            <w:r>
              <w:rPr>
                <w:sz w:val="24"/>
                <w:szCs w:val="24"/>
              </w:rPr>
              <w:t>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施工期固废主要来自于施工人员产生的生活垃圾、废弃土石方等。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项目施工高峰期施工人员约为</w:t>
            </w:r>
            <w:r>
              <w:rPr>
                <w:rFonts w:hint="eastAsia"/>
                <w:sz w:val="24"/>
                <w:szCs w:val="24"/>
                <w:lang w:val="en-US" w:eastAsia="zh-CN"/>
              </w:rPr>
              <w:t>40</w:t>
            </w:r>
            <w:r>
              <w:rPr>
                <w:rFonts w:hint="eastAsia"/>
                <w:sz w:val="24"/>
                <w:szCs w:val="24"/>
                <w:lang w:eastAsia="zh-CN"/>
              </w:rPr>
              <w:t>人，生活垃圾量按0.5kg/人·d计，生活垃圾产生量约为</w:t>
            </w:r>
            <w:r>
              <w:rPr>
                <w:rFonts w:hint="eastAsia"/>
                <w:sz w:val="24"/>
                <w:szCs w:val="24"/>
                <w:lang w:val="en-US" w:eastAsia="zh-CN"/>
              </w:rPr>
              <w:t>20</w:t>
            </w:r>
            <w:r>
              <w:rPr>
                <w:rFonts w:hint="eastAsia"/>
                <w:sz w:val="24"/>
                <w:szCs w:val="24"/>
                <w:lang w:eastAsia="zh-CN"/>
              </w:rPr>
              <w:t>kg/d，施工累计时间</w:t>
            </w:r>
            <w:r>
              <w:rPr>
                <w:rFonts w:hint="eastAsia"/>
                <w:sz w:val="24"/>
                <w:szCs w:val="24"/>
                <w:lang w:val="en-US" w:eastAsia="zh-CN"/>
              </w:rPr>
              <w:t>120</w:t>
            </w:r>
            <w:r>
              <w:rPr>
                <w:rFonts w:hint="eastAsia"/>
                <w:sz w:val="24"/>
                <w:szCs w:val="24"/>
                <w:lang w:eastAsia="zh-CN"/>
              </w:rPr>
              <w:t>天，施工期生活垃圾排放量约</w:t>
            </w:r>
            <w:r>
              <w:rPr>
                <w:rFonts w:hint="eastAsia"/>
                <w:sz w:val="24"/>
                <w:szCs w:val="24"/>
                <w:lang w:val="en-US" w:eastAsia="zh-CN"/>
              </w:rPr>
              <w:t>2.4</w:t>
            </w:r>
            <w:r>
              <w:rPr>
                <w:rFonts w:hint="eastAsia"/>
                <w:sz w:val="24"/>
                <w:szCs w:val="24"/>
                <w:lang w:eastAsia="zh-CN"/>
              </w:rPr>
              <w:t>t。生活垃圾收集后交由环卫部门处置。</w:t>
            </w:r>
          </w:p>
          <w:p>
            <w:pPr>
              <w:adjustRightInd w:val="0"/>
              <w:spacing w:line="360" w:lineRule="auto"/>
              <w:ind w:firstLine="480"/>
              <w:rPr>
                <w:rFonts w:hint="eastAsia"/>
                <w:sz w:val="24"/>
                <w:highlight w:val="none"/>
                <w:lang w:val="en-US" w:eastAsia="zh-CN"/>
              </w:rPr>
            </w:pPr>
            <w:r>
              <w:rPr>
                <w:rFonts w:hint="eastAsia"/>
                <w:sz w:val="24"/>
                <w:highlight w:val="none"/>
                <w:lang w:val="en-US" w:eastAsia="zh-CN"/>
              </w:rPr>
              <w:t>本项目废弃土石方产生量为</w:t>
            </w:r>
            <w:r>
              <w:rPr>
                <w:rFonts w:hint="eastAsia" w:cs="Times New Roman"/>
                <w:bCs w:val="0"/>
                <w:i w:val="0"/>
                <w:color w:val="auto"/>
                <w:kern w:val="2"/>
                <w:sz w:val="24"/>
                <w:szCs w:val="24"/>
                <w:highlight w:val="none"/>
                <w:u w:val="none"/>
                <w:lang w:val="en-US" w:eastAsia="zh-CN" w:bidi="ar"/>
              </w:rPr>
              <w:t>91545.75</w:t>
            </w:r>
            <w:r>
              <w:rPr>
                <w:rFonts w:hint="eastAsia"/>
                <w:sz w:val="24"/>
                <w:highlight w:val="none"/>
                <w:lang w:val="en-US" w:eastAsia="zh-CN"/>
              </w:rPr>
              <w:t>m</w:t>
            </w:r>
            <w:r>
              <w:rPr>
                <w:rFonts w:hint="eastAsia"/>
                <w:sz w:val="24"/>
                <w:highlight w:val="none"/>
                <w:vertAlign w:val="superscript"/>
                <w:lang w:val="en-US" w:eastAsia="zh-CN"/>
              </w:rPr>
              <w:t>3</w:t>
            </w:r>
            <w:r>
              <w:rPr>
                <w:rFonts w:hint="eastAsia"/>
                <w:sz w:val="24"/>
                <w:highlight w:val="none"/>
                <w:lang w:val="en-US" w:eastAsia="zh-CN"/>
              </w:rPr>
              <w:t>，用于场地平整回填，不得外运。</w:t>
            </w:r>
          </w:p>
          <w:p>
            <w:pPr>
              <w:adjustRightInd w:val="0"/>
              <w:spacing w:line="360" w:lineRule="auto"/>
              <w:ind w:firstLine="480"/>
              <w:rPr>
                <w:rFonts w:hint="eastAsia"/>
                <w:sz w:val="24"/>
                <w:highlight w:val="none"/>
                <w:lang w:val="en-US" w:eastAsia="zh-CN"/>
              </w:rPr>
            </w:pPr>
          </w:p>
          <w:p>
            <w:pPr>
              <w:adjustRightInd w:val="0"/>
              <w:spacing w:line="360" w:lineRule="auto"/>
              <w:ind w:firstLine="480"/>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adjustRightInd w:val="0"/>
              <w:spacing w:line="360" w:lineRule="auto"/>
              <w:ind w:firstLine="480"/>
              <w:rPr>
                <w:rFonts w:hint="eastAsia"/>
                <w:sz w:val="24"/>
                <w:highlight w:val="none"/>
                <w:lang w:val="en-US" w:eastAsia="zh-CN"/>
              </w:rPr>
            </w:pPr>
          </w:p>
          <w:p>
            <w:pPr>
              <w:adjustRightInd w:val="0"/>
              <w:spacing w:line="360" w:lineRule="auto"/>
              <w:ind w:firstLine="480"/>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adjustRightInd w:val="0"/>
              <w:spacing w:line="360" w:lineRule="auto"/>
              <w:ind w:firstLine="480"/>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pStyle w:val="2"/>
              <w:rPr>
                <w:rFonts w:hint="eastAsia"/>
                <w:sz w:val="24"/>
                <w:highlight w:val="none"/>
                <w:lang w:val="en-US" w:eastAsia="zh-CN"/>
              </w:rPr>
            </w:pPr>
          </w:p>
          <w:p>
            <w:pPr>
              <w:adjustRightInd w:val="0"/>
              <w:spacing w:line="360" w:lineRule="auto"/>
              <w:ind w:firstLine="480"/>
              <w:rPr>
                <w:rFonts w:hint="eastAsia"/>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lang w:val="en-US" w:eastAsia="zh-CN"/>
              </w:rPr>
            </w:pPr>
          </w:p>
        </w:tc>
      </w:tr>
    </w:tbl>
    <w:p>
      <w:pPr>
        <w:pStyle w:val="15"/>
        <w:spacing w:line="240" w:lineRule="auto"/>
        <w:jc w:val="both"/>
        <w:outlineLvl w:val="0"/>
        <w:rPr>
          <w:rFonts w:ascii="黑体" w:hAnsi="黑体" w:eastAsia="黑体"/>
          <w:sz w:val="30"/>
          <w:szCs w:val="30"/>
        </w:rPr>
      </w:pPr>
      <w:r>
        <w:rPr>
          <w:rFonts w:hint="eastAsia" w:ascii="Times New Roman" w:hAnsi="Times New Roman" w:eastAsia="宋体" w:cs="Times New Roman"/>
          <w:b/>
          <w:bCs/>
          <w:sz w:val="32"/>
          <w:szCs w:val="32"/>
          <w:lang w:eastAsia="zh-CN"/>
        </w:rPr>
        <w:t>六、</w:t>
      </w:r>
      <w:r>
        <w:rPr>
          <w:rFonts w:hint="default" w:ascii="Times New Roman" w:hAnsi="Times New Roman" w:eastAsia="宋体" w:cs="Times New Roman"/>
          <w:b/>
          <w:bCs/>
          <w:sz w:val="32"/>
          <w:szCs w:val="32"/>
        </w:rPr>
        <w:t>项目主要污染物产生及预计排放情况</w:t>
      </w:r>
    </w:p>
    <w:tbl>
      <w:tblPr>
        <w:tblStyle w:val="19"/>
        <w:tblW w:w="91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274"/>
        <w:gridCol w:w="1170"/>
        <w:gridCol w:w="1252"/>
        <w:gridCol w:w="1058"/>
        <w:gridCol w:w="1335"/>
        <w:gridCol w:w="1110"/>
        <w:gridCol w:w="149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78" w:type="dxa"/>
            <w:gridSpan w:val="2"/>
            <w:vMerge w:val="restart"/>
            <w:tcBorders>
              <w:tl2br w:val="single" w:color="000000" w:sz="4" w:space="0"/>
            </w:tcBorders>
            <w:noWrap w:val="0"/>
            <w:vAlign w:val="center"/>
          </w:tcPr>
          <w:p>
            <w:pPr>
              <w:adjustRightInd w:val="0"/>
              <w:spacing w:line="400" w:lineRule="exact"/>
              <w:jc w:val="center"/>
              <w:rPr>
                <w:b/>
                <w:sz w:val="24"/>
                <w:szCs w:val="24"/>
                <w:highlight w:val="none"/>
              </w:rPr>
            </w:pPr>
            <w:bookmarkStart w:id="9" w:name="_Hlk532831347"/>
            <w:r>
              <w:rPr>
                <w:rFonts w:hint="eastAsia"/>
                <w:b/>
                <w:sz w:val="24"/>
                <w:szCs w:val="24"/>
                <w:highlight w:val="none"/>
                <w:lang w:val="en-US" w:eastAsia="zh-CN"/>
              </w:rPr>
              <w:t xml:space="preserve">     </w:t>
            </w:r>
            <w:r>
              <w:rPr>
                <w:b/>
                <w:sz w:val="24"/>
                <w:szCs w:val="24"/>
                <w:highlight w:val="none"/>
              </w:rPr>
              <w:t>内容</w:t>
            </w:r>
          </w:p>
          <w:p>
            <w:pPr>
              <w:adjustRightInd w:val="0"/>
              <w:spacing w:line="400" w:lineRule="exact"/>
              <w:jc w:val="both"/>
              <w:rPr>
                <w:b/>
                <w:sz w:val="24"/>
                <w:szCs w:val="24"/>
                <w:highlight w:val="yellow"/>
              </w:rPr>
            </w:pPr>
            <w:r>
              <w:rPr>
                <w:b/>
                <w:sz w:val="24"/>
                <w:szCs w:val="24"/>
                <w:highlight w:val="none"/>
              </w:rPr>
              <w:t>类型</w:t>
            </w:r>
          </w:p>
        </w:tc>
        <w:tc>
          <w:tcPr>
            <w:tcW w:w="1170" w:type="dxa"/>
            <w:vMerge w:val="restart"/>
            <w:tcBorders>
              <w:tl2br w:val="nil"/>
              <w:tr2bl w:val="nil"/>
            </w:tcBorders>
            <w:noWrap w:val="0"/>
            <w:vAlign w:val="center"/>
          </w:tcPr>
          <w:p>
            <w:pPr>
              <w:adjustRightInd w:val="0"/>
              <w:spacing w:line="400" w:lineRule="exact"/>
              <w:jc w:val="center"/>
              <w:rPr>
                <w:b/>
                <w:sz w:val="24"/>
                <w:szCs w:val="24"/>
                <w:highlight w:val="none"/>
              </w:rPr>
            </w:pPr>
            <w:r>
              <w:rPr>
                <w:b/>
                <w:sz w:val="24"/>
                <w:szCs w:val="24"/>
                <w:highlight w:val="none"/>
              </w:rPr>
              <w:t>排放源</w:t>
            </w:r>
          </w:p>
        </w:tc>
        <w:tc>
          <w:tcPr>
            <w:tcW w:w="1252" w:type="dxa"/>
            <w:vMerge w:val="restart"/>
            <w:tcBorders>
              <w:tl2br w:val="nil"/>
              <w:tr2bl w:val="nil"/>
            </w:tcBorders>
            <w:noWrap w:val="0"/>
            <w:vAlign w:val="center"/>
          </w:tcPr>
          <w:p>
            <w:pPr>
              <w:adjustRightInd w:val="0"/>
              <w:spacing w:line="400" w:lineRule="exact"/>
              <w:jc w:val="center"/>
              <w:rPr>
                <w:b/>
                <w:sz w:val="24"/>
                <w:szCs w:val="24"/>
                <w:highlight w:val="none"/>
              </w:rPr>
            </w:pPr>
            <w:r>
              <w:rPr>
                <w:b/>
                <w:sz w:val="24"/>
                <w:szCs w:val="24"/>
                <w:highlight w:val="none"/>
              </w:rPr>
              <w:t>污染物</w:t>
            </w:r>
          </w:p>
          <w:p>
            <w:pPr>
              <w:adjustRightInd w:val="0"/>
              <w:spacing w:line="400" w:lineRule="exact"/>
              <w:jc w:val="center"/>
              <w:rPr>
                <w:b/>
                <w:sz w:val="24"/>
                <w:szCs w:val="24"/>
                <w:highlight w:val="none"/>
              </w:rPr>
            </w:pPr>
            <w:r>
              <w:rPr>
                <w:b/>
                <w:sz w:val="24"/>
                <w:szCs w:val="24"/>
                <w:highlight w:val="none"/>
              </w:rPr>
              <w:t>名称</w:t>
            </w:r>
          </w:p>
        </w:tc>
        <w:tc>
          <w:tcPr>
            <w:tcW w:w="2393" w:type="dxa"/>
            <w:gridSpan w:val="2"/>
            <w:tcBorders>
              <w:tl2br w:val="nil"/>
              <w:tr2bl w:val="nil"/>
            </w:tcBorders>
            <w:noWrap w:val="0"/>
            <w:vAlign w:val="center"/>
          </w:tcPr>
          <w:p>
            <w:pPr>
              <w:adjustRightInd w:val="0"/>
              <w:spacing w:line="400" w:lineRule="exact"/>
              <w:jc w:val="center"/>
              <w:rPr>
                <w:rFonts w:ascii="Times New Roman" w:hAnsi="Times New Roman"/>
                <w:b/>
                <w:sz w:val="24"/>
                <w:szCs w:val="24"/>
                <w:highlight w:val="none"/>
              </w:rPr>
            </w:pPr>
            <w:r>
              <w:rPr>
                <w:rFonts w:hint="eastAsia" w:ascii="Times New Roman" w:hAnsi="Times New Roman"/>
                <w:b/>
                <w:sz w:val="24"/>
                <w:szCs w:val="24"/>
                <w:highlight w:val="none"/>
              </w:rPr>
              <w:t>处理前</w:t>
            </w:r>
            <w:r>
              <w:rPr>
                <w:rFonts w:hint="eastAsia"/>
                <w:b/>
                <w:sz w:val="24"/>
                <w:szCs w:val="24"/>
                <w:highlight w:val="none"/>
                <w:lang w:val="en-US" w:eastAsia="zh-CN"/>
              </w:rPr>
              <w:t>产生</w:t>
            </w:r>
            <w:r>
              <w:rPr>
                <w:rFonts w:hint="eastAsia" w:ascii="Times New Roman" w:hAnsi="Times New Roman"/>
                <w:b/>
                <w:sz w:val="24"/>
                <w:szCs w:val="24"/>
                <w:highlight w:val="none"/>
              </w:rPr>
              <w:t>情况</w:t>
            </w:r>
          </w:p>
        </w:tc>
        <w:tc>
          <w:tcPr>
            <w:tcW w:w="2607" w:type="dxa"/>
            <w:gridSpan w:val="2"/>
            <w:tcBorders>
              <w:tl2br w:val="nil"/>
              <w:tr2bl w:val="nil"/>
            </w:tcBorders>
            <w:noWrap w:val="0"/>
            <w:vAlign w:val="center"/>
          </w:tcPr>
          <w:p>
            <w:pPr>
              <w:adjustRightInd w:val="0"/>
              <w:spacing w:line="400" w:lineRule="exact"/>
              <w:jc w:val="center"/>
              <w:rPr>
                <w:rFonts w:ascii="Times New Roman" w:hAnsi="Times New Roman"/>
                <w:b/>
                <w:sz w:val="24"/>
                <w:szCs w:val="24"/>
                <w:highlight w:val="none"/>
              </w:rPr>
            </w:pPr>
            <w:r>
              <w:rPr>
                <w:rFonts w:hint="eastAsia" w:ascii="Times New Roman" w:hAnsi="Times New Roman"/>
                <w:b/>
                <w:sz w:val="24"/>
                <w:szCs w:val="24"/>
                <w:highlight w:val="none"/>
              </w:rPr>
              <w:t>处理后排放情况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78" w:type="dxa"/>
            <w:gridSpan w:val="2"/>
            <w:vMerge w:val="continue"/>
            <w:tcBorders>
              <w:tl2br w:val="nil"/>
              <w:tr2bl w:val="nil"/>
            </w:tcBorders>
            <w:noWrap w:val="0"/>
            <w:vAlign w:val="center"/>
          </w:tcPr>
          <w:p>
            <w:pPr>
              <w:adjustRightInd w:val="0"/>
              <w:spacing w:line="400" w:lineRule="exact"/>
              <w:jc w:val="center"/>
              <w:rPr>
                <w:b/>
                <w:sz w:val="24"/>
                <w:szCs w:val="24"/>
                <w:highlight w:val="yellow"/>
              </w:rPr>
            </w:pPr>
          </w:p>
        </w:tc>
        <w:tc>
          <w:tcPr>
            <w:tcW w:w="1170" w:type="dxa"/>
            <w:vMerge w:val="continue"/>
            <w:tcBorders>
              <w:tl2br w:val="nil"/>
              <w:tr2bl w:val="nil"/>
            </w:tcBorders>
            <w:noWrap w:val="0"/>
            <w:vAlign w:val="center"/>
          </w:tcPr>
          <w:p>
            <w:pPr>
              <w:adjustRightInd w:val="0"/>
              <w:spacing w:line="400" w:lineRule="exact"/>
              <w:jc w:val="center"/>
              <w:rPr>
                <w:b/>
                <w:sz w:val="24"/>
                <w:szCs w:val="24"/>
                <w:highlight w:val="none"/>
              </w:rPr>
            </w:pPr>
          </w:p>
        </w:tc>
        <w:tc>
          <w:tcPr>
            <w:tcW w:w="1252" w:type="dxa"/>
            <w:vMerge w:val="continue"/>
            <w:tcBorders>
              <w:tl2br w:val="nil"/>
              <w:tr2bl w:val="nil"/>
            </w:tcBorders>
            <w:noWrap w:val="0"/>
            <w:vAlign w:val="center"/>
          </w:tcPr>
          <w:p>
            <w:pPr>
              <w:adjustRightInd w:val="0"/>
              <w:spacing w:line="400" w:lineRule="exact"/>
              <w:jc w:val="center"/>
              <w:rPr>
                <w:b/>
                <w:sz w:val="24"/>
                <w:szCs w:val="24"/>
                <w:highlight w:val="none"/>
              </w:rPr>
            </w:pPr>
          </w:p>
        </w:tc>
        <w:tc>
          <w:tcPr>
            <w:tcW w:w="1058" w:type="dxa"/>
            <w:tcBorders>
              <w:tl2br w:val="nil"/>
              <w:tr2bl w:val="nil"/>
            </w:tcBorders>
            <w:noWrap w:val="0"/>
            <w:vAlign w:val="center"/>
          </w:tcPr>
          <w:p>
            <w:pPr>
              <w:adjustRightInd w:val="0"/>
              <w:spacing w:line="400" w:lineRule="exact"/>
              <w:jc w:val="center"/>
              <w:rPr>
                <w:rFonts w:hint="eastAsia" w:ascii="Times New Roman" w:hAnsi="Times New Roman"/>
                <w:b/>
                <w:sz w:val="24"/>
                <w:szCs w:val="24"/>
                <w:highlight w:val="none"/>
              </w:rPr>
            </w:pPr>
            <w:r>
              <w:rPr>
                <w:rFonts w:hint="eastAsia" w:ascii="Times New Roman" w:hAnsi="Times New Roman"/>
                <w:b/>
                <w:sz w:val="24"/>
                <w:szCs w:val="24"/>
                <w:highlight w:val="none"/>
              </w:rPr>
              <w:t>产生浓度</w:t>
            </w:r>
          </w:p>
        </w:tc>
        <w:tc>
          <w:tcPr>
            <w:tcW w:w="1335" w:type="dxa"/>
            <w:tcBorders>
              <w:tl2br w:val="nil"/>
              <w:tr2bl w:val="nil"/>
            </w:tcBorders>
            <w:noWrap w:val="0"/>
            <w:vAlign w:val="center"/>
          </w:tcPr>
          <w:p>
            <w:pPr>
              <w:adjustRightInd w:val="0"/>
              <w:spacing w:line="400" w:lineRule="exact"/>
              <w:jc w:val="center"/>
              <w:rPr>
                <w:rFonts w:hint="eastAsia" w:ascii="Times New Roman" w:hAnsi="Times New Roman"/>
                <w:b/>
                <w:sz w:val="24"/>
                <w:szCs w:val="24"/>
                <w:highlight w:val="none"/>
              </w:rPr>
            </w:pPr>
            <w:r>
              <w:rPr>
                <w:rFonts w:hint="eastAsia" w:ascii="Times New Roman" w:hAnsi="Times New Roman"/>
                <w:b/>
                <w:sz w:val="24"/>
                <w:szCs w:val="24"/>
                <w:highlight w:val="none"/>
              </w:rPr>
              <w:t>产生量</w:t>
            </w:r>
          </w:p>
        </w:tc>
        <w:tc>
          <w:tcPr>
            <w:tcW w:w="1110" w:type="dxa"/>
            <w:tcBorders>
              <w:tl2br w:val="nil"/>
              <w:tr2bl w:val="nil"/>
            </w:tcBorders>
            <w:noWrap w:val="0"/>
            <w:vAlign w:val="center"/>
          </w:tcPr>
          <w:p>
            <w:pPr>
              <w:adjustRightInd w:val="0"/>
              <w:spacing w:line="400" w:lineRule="exact"/>
              <w:jc w:val="center"/>
              <w:rPr>
                <w:rFonts w:hint="eastAsia" w:ascii="Times New Roman" w:hAnsi="Times New Roman"/>
                <w:b/>
                <w:sz w:val="24"/>
                <w:szCs w:val="24"/>
                <w:highlight w:val="none"/>
              </w:rPr>
            </w:pPr>
            <w:r>
              <w:rPr>
                <w:rFonts w:hint="eastAsia" w:ascii="Times New Roman" w:hAnsi="Times New Roman"/>
                <w:b/>
                <w:sz w:val="24"/>
                <w:szCs w:val="24"/>
                <w:highlight w:val="none"/>
              </w:rPr>
              <w:t>排放浓度</w:t>
            </w:r>
          </w:p>
        </w:tc>
        <w:tc>
          <w:tcPr>
            <w:tcW w:w="1497" w:type="dxa"/>
            <w:tcBorders>
              <w:tl2br w:val="nil"/>
              <w:tr2bl w:val="nil"/>
            </w:tcBorders>
            <w:noWrap w:val="0"/>
            <w:vAlign w:val="center"/>
          </w:tcPr>
          <w:p>
            <w:pPr>
              <w:adjustRightInd w:val="0"/>
              <w:spacing w:line="400" w:lineRule="exact"/>
              <w:jc w:val="center"/>
              <w:rPr>
                <w:rFonts w:hint="eastAsia" w:ascii="Times New Roman" w:hAnsi="Times New Roman"/>
                <w:b/>
                <w:sz w:val="24"/>
                <w:szCs w:val="24"/>
                <w:highlight w:val="none"/>
              </w:rPr>
            </w:pPr>
            <w:r>
              <w:rPr>
                <w:rFonts w:hint="eastAsia" w:ascii="Times New Roman" w:hAnsi="Times New Roman"/>
                <w:b/>
                <w:sz w:val="24"/>
                <w:szCs w:val="24"/>
                <w:highlight w:val="none"/>
              </w:rPr>
              <w:t>排放量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 w:hRule="atLeast"/>
          <w:jc w:val="center"/>
        </w:trPr>
        <w:tc>
          <w:tcPr>
            <w:tcW w:w="404" w:type="dxa"/>
            <w:vMerge w:val="restart"/>
            <w:tcBorders>
              <w:tl2br w:val="nil"/>
              <w:tr2bl w:val="nil"/>
            </w:tcBorders>
            <w:noWrap w:val="0"/>
            <w:vAlign w:val="center"/>
          </w:tcPr>
          <w:p>
            <w:pPr>
              <w:adjustRightInd w:val="0"/>
              <w:spacing w:line="240" w:lineRule="auto"/>
              <w:jc w:val="center"/>
              <w:textAlignment w:val="baseline"/>
              <w:rPr>
                <w:rFonts w:hint="eastAsia" w:eastAsia="宋体"/>
                <w:sz w:val="24"/>
                <w:szCs w:val="24"/>
                <w:highlight w:val="none"/>
                <w:lang w:val="en-US" w:eastAsia="zh-CN"/>
              </w:rPr>
            </w:pPr>
            <w:r>
              <w:rPr>
                <w:rFonts w:hint="eastAsia"/>
                <w:sz w:val="24"/>
                <w:szCs w:val="24"/>
                <w:highlight w:val="none"/>
                <w:lang w:val="en-US" w:eastAsia="zh-CN"/>
              </w:rPr>
              <w:t>施工期</w:t>
            </w:r>
          </w:p>
        </w:tc>
        <w:tc>
          <w:tcPr>
            <w:tcW w:w="1274" w:type="dxa"/>
            <w:vMerge w:val="restart"/>
            <w:tcBorders>
              <w:tl2br w:val="nil"/>
              <w:tr2bl w:val="nil"/>
            </w:tcBorders>
            <w:noWrap w:val="0"/>
            <w:vAlign w:val="center"/>
          </w:tcPr>
          <w:p>
            <w:pPr>
              <w:adjustRightInd w:val="0"/>
              <w:spacing w:line="240" w:lineRule="auto"/>
              <w:jc w:val="center"/>
              <w:textAlignment w:val="baseline"/>
              <w:rPr>
                <w:rFonts w:hint="eastAsia" w:eastAsia="宋体"/>
                <w:sz w:val="24"/>
                <w:szCs w:val="24"/>
                <w:highlight w:val="none"/>
                <w:lang w:val="en-US" w:eastAsia="zh-CN"/>
              </w:rPr>
            </w:pPr>
            <w:r>
              <w:rPr>
                <w:rFonts w:hint="eastAsia"/>
                <w:sz w:val="24"/>
                <w:szCs w:val="24"/>
                <w:highlight w:val="none"/>
                <w:lang w:val="en-US" w:eastAsia="zh-CN"/>
              </w:rPr>
              <w:t>大气污染物</w:t>
            </w:r>
          </w:p>
        </w:tc>
        <w:tc>
          <w:tcPr>
            <w:tcW w:w="1170" w:type="dxa"/>
            <w:vMerge w:val="restart"/>
            <w:tcBorders>
              <w:tl2br w:val="nil"/>
              <w:tr2bl w:val="nil"/>
            </w:tcBorders>
            <w:noWrap w:val="0"/>
            <w:vAlign w:val="center"/>
          </w:tcPr>
          <w:p>
            <w:pPr>
              <w:adjustRightInd w:val="0"/>
              <w:spacing w:line="240" w:lineRule="auto"/>
              <w:jc w:val="center"/>
              <w:textAlignment w:val="baseline"/>
              <w:rPr>
                <w:rFonts w:hint="default"/>
                <w:sz w:val="24"/>
                <w:szCs w:val="24"/>
                <w:highlight w:val="none"/>
                <w:lang w:val="en-US" w:eastAsia="zh-CN"/>
              </w:rPr>
            </w:pPr>
            <w:r>
              <w:rPr>
                <w:rFonts w:hint="default"/>
                <w:sz w:val="24"/>
                <w:szCs w:val="24"/>
                <w:highlight w:val="none"/>
                <w:lang w:val="en-US" w:eastAsia="zh-CN"/>
              </w:rPr>
              <w:t>施工场地</w:t>
            </w:r>
          </w:p>
        </w:tc>
        <w:tc>
          <w:tcPr>
            <w:tcW w:w="1252" w:type="dxa"/>
            <w:tcBorders>
              <w:tl2br w:val="nil"/>
              <w:tr2bl w:val="nil"/>
            </w:tcBorders>
            <w:noWrap w:val="0"/>
            <w:vAlign w:val="center"/>
          </w:tcPr>
          <w:p>
            <w:pPr>
              <w:autoSpaceDE w:val="0"/>
              <w:autoSpaceDN w:val="0"/>
              <w:spacing w:line="240" w:lineRule="auto"/>
              <w:jc w:val="center"/>
              <w:rPr>
                <w:rFonts w:hint="default"/>
                <w:sz w:val="24"/>
                <w:szCs w:val="24"/>
                <w:highlight w:val="none"/>
                <w:lang w:val="en-US" w:eastAsia="zh-CN"/>
              </w:rPr>
            </w:pPr>
            <w:r>
              <w:rPr>
                <w:sz w:val="24"/>
                <w:szCs w:val="24"/>
              </w:rPr>
              <w:t>扬尘</w:t>
            </w:r>
          </w:p>
        </w:tc>
        <w:tc>
          <w:tcPr>
            <w:tcW w:w="2393" w:type="dxa"/>
            <w:gridSpan w:val="2"/>
            <w:tcBorders>
              <w:tl2br w:val="nil"/>
              <w:tr2bl w:val="nil"/>
            </w:tcBorders>
            <w:noWrap w:val="0"/>
            <w:vAlign w:val="center"/>
          </w:tcPr>
          <w:p>
            <w:pPr>
              <w:autoSpaceDE w:val="0"/>
              <w:autoSpaceDN w:val="0"/>
              <w:spacing w:line="240" w:lineRule="auto"/>
              <w:jc w:val="center"/>
              <w:rPr>
                <w:rFonts w:hint="default" w:ascii="Times New Roman" w:hAnsi="Times New Roman" w:eastAsia="宋体" w:cs="宋体"/>
                <w:sz w:val="24"/>
                <w:szCs w:val="24"/>
                <w:highlight w:val="none"/>
                <w:lang w:val="en-US" w:eastAsia="zh-CN"/>
              </w:rPr>
            </w:pPr>
            <w:r>
              <w:rPr>
                <w:sz w:val="24"/>
                <w:szCs w:val="24"/>
              </w:rPr>
              <w:t>少量</w:t>
            </w:r>
          </w:p>
        </w:tc>
        <w:tc>
          <w:tcPr>
            <w:tcW w:w="2607" w:type="dxa"/>
            <w:gridSpan w:val="2"/>
            <w:tcBorders>
              <w:tl2br w:val="nil"/>
              <w:tr2bl w:val="nil"/>
            </w:tcBorders>
            <w:noWrap w:val="0"/>
            <w:vAlign w:val="center"/>
          </w:tcPr>
          <w:p>
            <w:pPr>
              <w:autoSpaceDE w:val="0"/>
              <w:autoSpaceDN w:val="0"/>
              <w:spacing w:line="240" w:lineRule="auto"/>
              <w:jc w:val="center"/>
              <w:rPr>
                <w:rFonts w:hint="eastAsia" w:ascii="Times New Roman" w:hAnsi="Times New Roman" w:eastAsia="宋体"/>
                <w:sz w:val="24"/>
                <w:szCs w:val="24"/>
                <w:highlight w:val="none"/>
                <w:lang w:val="en-US" w:eastAsia="zh-CN"/>
              </w:rPr>
            </w:pPr>
            <w:r>
              <w:rPr>
                <w:sz w:val="24"/>
                <w:szCs w:val="24"/>
              </w:rPr>
              <w:t>少量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 w:hRule="atLeast"/>
          <w:jc w:val="center"/>
        </w:trPr>
        <w:tc>
          <w:tcPr>
            <w:tcW w:w="404" w:type="dxa"/>
            <w:vMerge w:val="continue"/>
            <w:tcBorders>
              <w:tl2br w:val="nil"/>
              <w:tr2bl w:val="nil"/>
            </w:tcBorders>
            <w:noWrap w:val="0"/>
            <w:vAlign w:val="center"/>
          </w:tcPr>
          <w:p>
            <w:pPr>
              <w:adjustRightInd w:val="0"/>
              <w:spacing w:line="240" w:lineRule="auto"/>
              <w:jc w:val="center"/>
              <w:textAlignment w:val="baseline"/>
              <w:rPr>
                <w:sz w:val="24"/>
                <w:szCs w:val="24"/>
                <w:highlight w:val="none"/>
              </w:rPr>
            </w:pPr>
          </w:p>
        </w:tc>
        <w:tc>
          <w:tcPr>
            <w:tcW w:w="1274" w:type="dxa"/>
            <w:vMerge w:val="continue"/>
            <w:tcBorders>
              <w:tl2br w:val="nil"/>
              <w:tr2bl w:val="nil"/>
            </w:tcBorders>
            <w:noWrap w:val="0"/>
            <w:vAlign w:val="center"/>
          </w:tcPr>
          <w:p>
            <w:pPr>
              <w:adjustRightInd w:val="0"/>
              <w:spacing w:line="240" w:lineRule="auto"/>
              <w:jc w:val="center"/>
              <w:textAlignment w:val="baseline"/>
              <w:rPr>
                <w:sz w:val="24"/>
                <w:szCs w:val="24"/>
                <w:highlight w:val="none"/>
              </w:rPr>
            </w:pPr>
          </w:p>
        </w:tc>
        <w:tc>
          <w:tcPr>
            <w:tcW w:w="1170" w:type="dxa"/>
            <w:vMerge w:val="continue"/>
            <w:tcBorders>
              <w:tl2br w:val="nil"/>
              <w:tr2bl w:val="nil"/>
            </w:tcBorders>
            <w:noWrap w:val="0"/>
            <w:vAlign w:val="center"/>
          </w:tcPr>
          <w:p>
            <w:pPr>
              <w:adjustRightInd w:val="0"/>
              <w:spacing w:line="240" w:lineRule="auto"/>
              <w:jc w:val="center"/>
              <w:textAlignment w:val="baseline"/>
              <w:rPr>
                <w:rFonts w:hint="default"/>
                <w:sz w:val="24"/>
                <w:szCs w:val="24"/>
                <w:highlight w:val="none"/>
                <w:lang w:val="en-US" w:eastAsia="zh-CN"/>
              </w:rPr>
            </w:pPr>
          </w:p>
        </w:tc>
        <w:tc>
          <w:tcPr>
            <w:tcW w:w="1252" w:type="dxa"/>
            <w:tcBorders>
              <w:tl2br w:val="nil"/>
              <w:tr2bl w:val="nil"/>
            </w:tcBorders>
            <w:noWrap w:val="0"/>
            <w:vAlign w:val="center"/>
          </w:tcPr>
          <w:p>
            <w:pPr>
              <w:autoSpaceDE w:val="0"/>
              <w:autoSpaceDN w:val="0"/>
              <w:spacing w:line="240" w:lineRule="auto"/>
              <w:jc w:val="center"/>
              <w:rPr>
                <w:rFonts w:hint="default"/>
                <w:sz w:val="24"/>
                <w:szCs w:val="24"/>
                <w:highlight w:val="none"/>
                <w:lang w:val="en-US" w:eastAsia="zh-CN"/>
              </w:rPr>
            </w:pPr>
            <w:r>
              <w:rPr>
                <w:sz w:val="24"/>
                <w:szCs w:val="24"/>
              </w:rPr>
              <w:t>机械尾气</w:t>
            </w:r>
          </w:p>
        </w:tc>
        <w:tc>
          <w:tcPr>
            <w:tcW w:w="2393" w:type="dxa"/>
            <w:gridSpan w:val="2"/>
            <w:tcBorders>
              <w:tl2br w:val="nil"/>
              <w:tr2bl w:val="nil"/>
            </w:tcBorders>
            <w:noWrap w:val="0"/>
            <w:vAlign w:val="center"/>
          </w:tcPr>
          <w:p>
            <w:pPr>
              <w:autoSpaceDE w:val="0"/>
              <w:autoSpaceDN w:val="0"/>
              <w:spacing w:line="240" w:lineRule="auto"/>
              <w:jc w:val="center"/>
              <w:rPr>
                <w:rFonts w:hint="eastAsia" w:ascii="Times New Roman" w:hAnsi="Times New Roman" w:eastAsia="宋体" w:cs="宋体"/>
                <w:sz w:val="24"/>
                <w:szCs w:val="24"/>
                <w:highlight w:val="none"/>
                <w:lang w:val="en-US" w:eastAsia="zh-CN"/>
              </w:rPr>
            </w:pPr>
            <w:r>
              <w:rPr>
                <w:sz w:val="24"/>
                <w:szCs w:val="24"/>
              </w:rPr>
              <w:t>少量</w:t>
            </w:r>
          </w:p>
        </w:tc>
        <w:tc>
          <w:tcPr>
            <w:tcW w:w="2607" w:type="dxa"/>
            <w:gridSpan w:val="2"/>
            <w:tcBorders>
              <w:tl2br w:val="nil"/>
              <w:tr2bl w:val="nil"/>
            </w:tcBorders>
            <w:noWrap w:val="0"/>
            <w:vAlign w:val="center"/>
          </w:tcPr>
          <w:p>
            <w:pPr>
              <w:autoSpaceDE w:val="0"/>
              <w:autoSpaceDN w:val="0"/>
              <w:spacing w:line="240" w:lineRule="auto"/>
              <w:jc w:val="center"/>
              <w:rPr>
                <w:rFonts w:hint="eastAsia" w:ascii="Times New Roman" w:hAnsi="Times New Roman" w:eastAsia="宋体"/>
                <w:sz w:val="24"/>
                <w:szCs w:val="24"/>
                <w:highlight w:val="none"/>
                <w:lang w:val="en-US" w:eastAsia="zh-CN"/>
              </w:rPr>
            </w:pPr>
            <w:r>
              <w:rPr>
                <w:sz w:val="24"/>
                <w:szCs w:val="24"/>
              </w:rPr>
              <w:t>少量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4" w:type="dxa"/>
            <w:vMerge w:val="continue"/>
            <w:tcBorders>
              <w:tl2br w:val="nil"/>
              <w:tr2bl w:val="nil"/>
            </w:tcBorders>
            <w:noWrap w:val="0"/>
            <w:vAlign w:val="center"/>
          </w:tcPr>
          <w:p>
            <w:pPr>
              <w:adjustRightInd w:val="0"/>
              <w:spacing w:line="240" w:lineRule="auto"/>
              <w:jc w:val="center"/>
              <w:rPr>
                <w:rFonts w:hint="eastAsia" w:eastAsia="宋体"/>
                <w:sz w:val="24"/>
                <w:szCs w:val="24"/>
                <w:highlight w:val="none"/>
                <w:lang w:val="en-US" w:eastAsia="zh-CN"/>
              </w:rPr>
            </w:pPr>
          </w:p>
        </w:tc>
        <w:tc>
          <w:tcPr>
            <w:tcW w:w="1274" w:type="dxa"/>
            <w:vMerge w:val="restart"/>
            <w:tcBorders>
              <w:tl2br w:val="nil"/>
              <w:tr2bl w:val="nil"/>
            </w:tcBorders>
            <w:noWrap w:val="0"/>
            <w:vAlign w:val="center"/>
          </w:tcPr>
          <w:p>
            <w:pPr>
              <w:adjustRightInd w:val="0"/>
              <w:spacing w:line="240" w:lineRule="auto"/>
              <w:jc w:val="center"/>
              <w:rPr>
                <w:rFonts w:hint="default"/>
                <w:sz w:val="24"/>
                <w:szCs w:val="24"/>
                <w:highlight w:val="none"/>
                <w:lang w:val="en-US" w:eastAsia="zh-CN"/>
              </w:rPr>
            </w:pPr>
            <w:r>
              <w:rPr>
                <w:rFonts w:hint="eastAsia"/>
                <w:sz w:val="24"/>
                <w:szCs w:val="24"/>
                <w:highlight w:val="none"/>
                <w:lang w:val="en-US" w:eastAsia="zh-CN"/>
              </w:rPr>
              <w:t>水污染物</w:t>
            </w:r>
          </w:p>
        </w:tc>
        <w:tc>
          <w:tcPr>
            <w:tcW w:w="1170" w:type="dxa"/>
            <w:vMerge w:val="restart"/>
            <w:tcBorders>
              <w:tl2br w:val="nil"/>
              <w:tr2bl w:val="nil"/>
            </w:tcBorders>
            <w:noWrap w:val="0"/>
            <w:vAlign w:val="center"/>
          </w:tcPr>
          <w:p>
            <w:pPr>
              <w:spacing w:line="240" w:lineRule="auto"/>
              <w:jc w:val="center"/>
              <w:rPr>
                <w:rFonts w:hint="eastAsia"/>
                <w:sz w:val="24"/>
                <w:szCs w:val="24"/>
                <w:highlight w:val="none"/>
                <w:lang w:val="en-US" w:eastAsia="zh-CN"/>
              </w:rPr>
            </w:pPr>
            <w:r>
              <w:rPr>
                <w:sz w:val="24"/>
                <w:szCs w:val="24"/>
              </w:rPr>
              <w:t>施工场地</w:t>
            </w:r>
          </w:p>
        </w:tc>
        <w:tc>
          <w:tcPr>
            <w:tcW w:w="1252" w:type="dxa"/>
            <w:tcBorders>
              <w:tl2br w:val="nil"/>
              <w:tr2bl w:val="nil"/>
            </w:tcBorders>
            <w:noWrap w:val="0"/>
            <w:vAlign w:val="center"/>
          </w:tcPr>
          <w:p>
            <w:pPr>
              <w:spacing w:line="240" w:lineRule="auto"/>
              <w:jc w:val="center"/>
              <w:rPr>
                <w:rFonts w:hint="default"/>
                <w:sz w:val="24"/>
                <w:szCs w:val="24"/>
                <w:highlight w:val="none"/>
                <w:lang w:val="en-US" w:eastAsia="zh-CN"/>
              </w:rPr>
            </w:pPr>
            <w:r>
              <w:rPr>
                <w:sz w:val="24"/>
                <w:szCs w:val="24"/>
              </w:rPr>
              <w:t>生活污水</w:t>
            </w:r>
          </w:p>
        </w:tc>
        <w:tc>
          <w:tcPr>
            <w:tcW w:w="2393" w:type="dxa"/>
            <w:gridSpan w:val="2"/>
            <w:tcBorders>
              <w:tl2br w:val="nil"/>
              <w:tr2bl w:val="nil"/>
            </w:tcBorders>
            <w:noWrap w:val="0"/>
            <w:vAlign w:val="center"/>
          </w:tcPr>
          <w:p>
            <w:pPr>
              <w:spacing w:line="240" w:lineRule="auto"/>
              <w:jc w:val="center"/>
              <w:rPr>
                <w:rFonts w:hint="default"/>
                <w:sz w:val="24"/>
                <w:szCs w:val="24"/>
                <w:lang w:val="en-US" w:eastAsia="zh-CN"/>
              </w:rPr>
            </w:pPr>
            <w:r>
              <w:rPr>
                <w:rFonts w:hint="eastAsia"/>
                <w:sz w:val="24"/>
                <w:szCs w:val="24"/>
                <w:lang w:val="en-US" w:eastAsia="zh-CN"/>
              </w:rPr>
              <w:t>76.8m</w:t>
            </w:r>
            <w:r>
              <w:rPr>
                <w:rFonts w:hint="eastAsia"/>
                <w:sz w:val="24"/>
                <w:szCs w:val="24"/>
                <w:vertAlign w:val="superscript"/>
                <w:lang w:val="en-US" w:eastAsia="zh-CN"/>
              </w:rPr>
              <w:t>3</w:t>
            </w:r>
          </w:p>
        </w:tc>
        <w:tc>
          <w:tcPr>
            <w:tcW w:w="2607" w:type="dxa"/>
            <w:gridSpan w:val="2"/>
            <w:tcBorders>
              <w:tl2br w:val="nil"/>
              <w:tr2bl w:val="nil"/>
            </w:tcBorders>
            <w:noWrap w:val="0"/>
            <w:vAlign w:val="center"/>
          </w:tcPr>
          <w:p>
            <w:pPr>
              <w:adjustRightInd w:val="0"/>
              <w:spacing w:line="240" w:lineRule="auto"/>
              <w:jc w:val="center"/>
              <w:textAlignment w:val="baseline"/>
              <w:rPr>
                <w:rFonts w:hint="default"/>
                <w:sz w:val="24"/>
                <w:szCs w:val="24"/>
                <w:highlight w:val="yellow"/>
                <w:lang w:val="en-US" w:eastAsia="zh-CN"/>
              </w:rPr>
            </w:pPr>
            <w:r>
              <w:rPr>
                <w:sz w:val="24"/>
                <w:szCs w:val="24"/>
              </w:rPr>
              <w:t>集中收集后直接用于泼洒抑尘，不外排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4" w:type="dxa"/>
            <w:vMerge w:val="continue"/>
            <w:tcBorders>
              <w:tl2br w:val="nil"/>
              <w:tr2bl w:val="nil"/>
            </w:tcBorders>
            <w:noWrap w:val="0"/>
            <w:vAlign w:val="center"/>
          </w:tcPr>
          <w:p>
            <w:pPr>
              <w:adjustRightInd w:val="0"/>
              <w:spacing w:line="240" w:lineRule="auto"/>
              <w:jc w:val="center"/>
              <w:rPr>
                <w:rFonts w:hint="eastAsia" w:eastAsia="宋体"/>
                <w:sz w:val="24"/>
                <w:szCs w:val="24"/>
                <w:highlight w:val="none"/>
                <w:lang w:val="en-US" w:eastAsia="zh-CN"/>
              </w:rPr>
            </w:pPr>
          </w:p>
        </w:tc>
        <w:tc>
          <w:tcPr>
            <w:tcW w:w="1274" w:type="dxa"/>
            <w:vMerge w:val="continue"/>
            <w:tcBorders>
              <w:tl2br w:val="nil"/>
              <w:tr2bl w:val="nil"/>
            </w:tcBorders>
            <w:noWrap w:val="0"/>
            <w:vAlign w:val="center"/>
          </w:tcPr>
          <w:p>
            <w:pPr>
              <w:adjustRightInd w:val="0"/>
              <w:spacing w:line="240" w:lineRule="auto"/>
              <w:jc w:val="center"/>
              <w:rPr>
                <w:rFonts w:hint="eastAsia"/>
                <w:sz w:val="24"/>
                <w:szCs w:val="24"/>
                <w:highlight w:val="none"/>
                <w:lang w:val="en-US" w:eastAsia="zh-CN"/>
              </w:rPr>
            </w:pPr>
          </w:p>
        </w:tc>
        <w:tc>
          <w:tcPr>
            <w:tcW w:w="1170" w:type="dxa"/>
            <w:vMerge w:val="continue"/>
            <w:tcBorders>
              <w:tl2br w:val="nil"/>
              <w:tr2bl w:val="nil"/>
            </w:tcBorders>
            <w:noWrap w:val="0"/>
            <w:vAlign w:val="center"/>
          </w:tcPr>
          <w:p>
            <w:pPr>
              <w:spacing w:line="240" w:lineRule="auto"/>
              <w:jc w:val="center"/>
              <w:rPr>
                <w:sz w:val="24"/>
                <w:szCs w:val="24"/>
              </w:rPr>
            </w:pPr>
          </w:p>
        </w:tc>
        <w:tc>
          <w:tcPr>
            <w:tcW w:w="1252" w:type="dxa"/>
            <w:tcBorders>
              <w:tl2br w:val="nil"/>
              <w:tr2bl w:val="nil"/>
            </w:tcBorders>
            <w:noWrap w:val="0"/>
            <w:vAlign w:val="center"/>
          </w:tcPr>
          <w:p>
            <w:pPr>
              <w:spacing w:line="240" w:lineRule="auto"/>
              <w:jc w:val="center"/>
              <w:rPr>
                <w:rFonts w:hint="eastAsia" w:eastAsia="宋体"/>
                <w:sz w:val="24"/>
                <w:szCs w:val="24"/>
                <w:lang w:eastAsia="zh-CN"/>
              </w:rPr>
            </w:pPr>
            <w:r>
              <w:rPr>
                <w:rFonts w:hint="eastAsia"/>
                <w:sz w:val="24"/>
                <w:szCs w:val="24"/>
                <w:lang w:val="en-US" w:eastAsia="zh-CN"/>
              </w:rPr>
              <w:t>施工废水</w:t>
            </w:r>
          </w:p>
        </w:tc>
        <w:tc>
          <w:tcPr>
            <w:tcW w:w="2393" w:type="dxa"/>
            <w:gridSpan w:val="2"/>
            <w:tcBorders>
              <w:tl2br w:val="nil"/>
              <w:tr2bl w:val="nil"/>
            </w:tcBorders>
            <w:noWrap w:val="0"/>
            <w:vAlign w:val="center"/>
          </w:tcPr>
          <w:p>
            <w:pPr>
              <w:spacing w:line="240" w:lineRule="auto"/>
              <w:jc w:val="center"/>
              <w:rPr>
                <w:rFonts w:hint="eastAsia"/>
                <w:sz w:val="24"/>
                <w:szCs w:val="24"/>
                <w:lang w:val="en-US" w:eastAsia="zh-CN"/>
              </w:rPr>
            </w:pPr>
            <w:r>
              <w:rPr>
                <w:sz w:val="24"/>
                <w:szCs w:val="24"/>
              </w:rPr>
              <w:t>少量</w:t>
            </w:r>
          </w:p>
        </w:tc>
        <w:tc>
          <w:tcPr>
            <w:tcW w:w="2607" w:type="dxa"/>
            <w:gridSpan w:val="2"/>
            <w:tcBorders>
              <w:tl2br w:val="nil"/>
              <w:tr2bl w:val="nil"/>
            </w:tcBorders>
            <w:noWrap w:val="0"/>
            <w:vAlign w:val="center"/>
          </w:tcPr>
          <w:p>
            <w:pPr>
              <w:adjustRightInd w:val="0"/>
              <w:spacing w:line="240" w:lineRule="auto"/>
              <w:jc w:val="center"/>
              <w:textAlignment w:val="baseline"/>
              <w:rPr>
                <w:sz w:val="24"/>
                <w:szCs w:val="24"/>
              </w:rPr>
            </w:pPr>
            <w:r>
              <w:rPr>
                <w:rFonts w:hint="eastAsia" w:ascii="Times New Roman" w:hAnsi="Times New Roman" w:cs="Times New Roman"/>
                <w:bCs/>
                <w:sz w:val="24"/>
                <w:highlight w:val="none"/>
                <w:lang w:val="en-US" w:eastAsia="zh-CN"/>
              </w:rPr>
              <w:t>集中收集经沉淀后用于泼洒抑尘，不外排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4" w:type="dxa"/>
            <w:vMerge w:val="continue"/>
            <w:tcBorders>
              <w:tl2br w:val="nil"/>
              <w:tr2bl w:val="nil"/>
            </w:tcBorders>
            <w:noWrap w:val="0"/>
            <w:vAlign w:val="center"/>
          </w:tcPr>
          <w:p>
            <w:pPr>
              <w:adjustRightInd w:val="0"/>
              <w:spacing w:line="240" w:lineRule="auto"/>
              <w:jc w:val="center"/>
              <w:rPr>
                <w:sz w:val="24"/>
                <w:szCs w:val="24"/>
                <w:highlight w:val="yellow"/>
              </w:rPr>
            </w:pPr>
          </w:p>
        </w:tc>
        <w:tc>
          <w:tcPr>
            <w:tcW w:w="1274" w:type="dxa"/>
            <w:vMerge w:val="restart"/>
            <w:tcBorders>
              <w:tl2br w:val="nil"/>
              <w:tr2bl w:val="nil"/>
            </w:tcBorders>
            <w:noWrap w:val="0"/>
            <w:vAlign w:val="center"/>
          </w:tcPr>
          <w:p>
            <w:pPr>
              <w:adjustRightInd w:val="0"/>
              <w:spacing w:line="240" w:lineRule="auto"/>
              <w:jc w:val="center"/>
              <w:rPr>
                <w:sz w:val="24"/>
                <w:szCs w:val="24"/>
                <w:highlight w:val="none"/>
              </w:rPr>
            </w:pPr>
            <w:r>
              <w:rPr>
                <w:sz w:val="24"/>
                <w:szCs w:val="24"/>
                <w:highlight w:val="none"/>
              </w:rPr>
              <w:t>固</w:t>
            </w:r>
            <w:r>
              <w:rPr>
                <w:rFonts w:hint="eastAsia"/>
                <w:sz w:val="24"/>
                <w:szCs w:val="24"/>
                <w:highlight w:val="none"/>
              </w:rPr>
              <w:t>体废物</w:t>
            </w:r>
          </w:p>
        </w:tc>
        <w:tc>
          <w:tcPr>
            <w:tcW w:w="1170" w:type="dxa"/>
            <w:vMerge w:val="restart"/>
            <w:tcBorders>
              <w:tl2br w:val="nil"/>
              <w:tr2bl w:val="nil"/>
            </w:tcBorders>
            <w:noWrap w:val="0"/>
            <w:vAlign w:val="center"/>
          </w:tcPr>
          <w:p>
            <w:pPr>
              <w:adjustRightInd w:val="0"/>
              <w:spacing w:line="240" w:lineRule="auto"/>
              <w:jc w:val="center"/>
              <w:rPr>
                <w:rFonts w:hint="eastAsia" w:eastAsia="宋体"/>
                <w:sz w:val="24"/>
                <w:szCs w:val="24"/>
                <w:highlight w:val="none"/>
                <w:lang w:val="en-US" w:eastAsia="zh-CN"/>
              </w:rPr>
            </w:pPr>
            <w:r>
              <w:rPr>
                <w:rFonts w:hint="eastAsia"/>
                <w:sz w:val="24"/>
                <w:szCs w:val="24"/>
                <w:highlight w:val="none"/>
                <w:lang w:val="en-US" w:eastAsia="zh-CN"/>
              </w:rPr>
              <w:t>施工场地</w:t>
            </w:r>
          </w:p>
        </w:tc>
        <w:tc>
          <w:tcPr>
            <w:tcW w:w="1252" w:type="dxa"/>
            <w:tcBorders>
              <w:tl2br w:val="nil"/>
              <w:tr2bl w:val="nil"/>
            </w:tcBorders>
            <w:noWrap w:val="0"/>
            <w:vAlign w:val="center"/>
          </w:tcPr>
          <w:p>
            <w:pPr>
              <w:spacing w:line="240" w:lineRule="auto"/>
              <w:jc w:val="center"/>
              <w:rPr>
                <w:rFonts w:hint="eastAsia" w:ascii="Times New Roman" w:hAnsi="Times New Roman" w:eastAsia="宋体"/>
                <w:sz w:val="24"/>
                <w:szCs w:val="24"/>
                <w:highlight w:val="none"/>
                <w:lang w:val="en-US" w:eastAsia="zh-CN"/>
              </w:rPr>
            </w:pPr>
            <w:r>
              <w:rPr>
                <w:rFonts w:hint="eastAsia"/>
                <w:sz w:val="24"/>
                <w:szCs w:val="24"/>
                <w:lang w:eastAsia="zh-CN"/>
              </w:rPr>
              <w:t>废弃土石方</w:t>
            </w:r>
          </w:p>
        </w:tc>
        <w:tc>
          <w:tcPr>
            <w:tcW w:w="2393" w:type="dxa"/>
            <w:gridSpan w:val="2"/>
            <w:tcBorders>
              <w:tl2br w:val="nil"/>
              <w:tr2bl w:val="nil"/>
            </w:tcBorders>
            <w:noWrap w:val="0"/>
            <w:vAlign w:val="center"/>
          </w:tcPr>
          <w:p>
            <w:pPr>
              <w:spacing w:line="240" w:lineRule="auto"/>
              <w:jc w:val="center"/>
              <w:rPr>
                <w:rFonts w:hint="default"/>
                <w:sz w:val="24"/>
                <w:szCs w:val="24"/>
                <w:lang w:val="en-US" w:eastAsia="zh-CN"/>
              </w:rPr>
            </w:pPr>
            <w:r>
              <w:rPr>
                <w:rFonts w:hint="eastAsia" w:cs="Times New Roman"/>
                <w:bCs w:val="0"/>
                <w:i w:val="0"/>
                <w:color w:val="auto"/>
                <w:kern w:val="2"/>
                <w:sz w:val="24"/>
                <w:szCs w:val="24"/>
                <w:u w:val="none"/>
                <w:lang w:val="en-US" w:eastAsia="zh-CN" w:bidi="ar"/>
              </w:rPr>
              <w:t>91545.75</w:t>
            </w:r>
            <w:r>
              <w:rPr>
                <w:rFonts w:hint="eastAsia"/>
                <w:sz w:val="24"/>
                <w:szCs w:val="24"/>
                <w:lang w:val="en-US" w:eastAsia="zh-CN"/>
              </w:rPr>
              <w:t>m</w:t>
            </w:r>
            <w:r>
              <w:rPr>
                <w:rFonts w:hint="eastAsia"/>
                <w:sz w:val="24"/>
                <w:szCs w:val="24"/>
                <w:vertAlign w:val="superscript"/>
                <w:lang w:val="en-US" w:eastAsia="zh-CN"/>
              </w:rPr>
              <w:t>3</w:t>
            </w:r>
          </w:p>
        </w:tc>
        <w:tc>
          <w:tcPr>
            <w:tcW w:w="2607" w:type="dxa"/>
            <w:gridSpan w:val="2"/>
            <w:tcBorders>
              <w:tl2br w:val="nil"/>
              <w:tr2bl w:val="nil"/>
            </w:tcBorders>
            <w:noWrap w:val="0"/>
            <w:vAlign w:val="center"/>
          </w:tcPr>
          <w:p>
            <w:pPr>
              <w:spacing w:line="240" w:lineRule="auto"/>
              <w:jc w:val="center"/>
              <w:rPr>
                <w:rFonts w:hint="eastAsia" w:eastAsia="宋体"/>
                <w:sz w:val="24"/>
                <w:szCs w:val="24"/>
                <w:highlight w:val="none"/>
                <w:lang w:val="en-US" w:eastAsia="zh-CN"/>
              </w:rPr>
            </w:pPr>
            <w:r>
              <w:rPr>
                <w:rFonts w:hint="eastAsia"/>
                <w:sz w:val="24"/>
                <w:highlight w:val="none"/>
                <w:lang w:val="en-US" w:eastAsia="zh-CN"/>
              </w:rPr>
              <w:t>用于场地平整回填，不得外运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4" w:type="dxa"/>
            <w:vMerge w:val="continue"/>
            <w:tcBorders>
              <w:tl2br w:val="nil"/>
              <w:tr2bl w:val="nil"/>
            </w:tcBorders>
            <w:noWrap w:val="0"/>
            <w:vAlign w:val="center"/>
          </w:tcPr>
          <w:p>
            <w:pPr>
              <w:adjustRightInd w:val="0"/>
              <w:spacing w:line="240" w:lineRule="auto"/>
              <w:jc w:val="center"/>
              <w:rPr>
                <w:sz w:val="24"/>
                <w:szCs w:val="24"/>
                <w:highlight w:val="yellow"/>
              </w:rPr>
            </w:pPr>
          </w:p>
        </w:tc>
        <w:tc>
          <w:tcPr>
            <w:tcW w:w="1274" w:type="dxa"/>
            <w:vMerge w:val="continue"/>
            <w:tcBorders>
              <w:tl2br w:val="nil"/>
              <w:tr2bl w:val="nil"/>
            </w:tcBorders>
            <w:noWrap w:val="0"/>
            <w:vAlign w:val="center"/>
          </w:tcPr>
          <w:p>
            <w:pPr>
              <w:adjustRightInd w:val="0"/>
              <w:spacing w:line="240" w:lineRule="auto"/>
              <w:jc w:val="center"/>
              <w:rPr>
                <w:sz w:val="24"/>
                <w:szCs w:val="24"/>
                <w:highlight w:val="none"/>
              </w:rPr>
            </w:pPr>
          </w:p>
        </w:tc>
        <w:tc>
          <w:tcPr>
            <w:tcW w:w="1170" w:type="dxa"/>
            <w:vMerge w:val="continue"/>
            <w:tcBorders>
              <w:tl2br w:val="nil"/>
              <w:tr2bl w:val="nil"/>
            </w:tcBorders>
            <w:noWrap w:val="0"/>
            <w:vAlign w:val="center"/>
          </w:tcPr>
          <w:p>
            <w:pPr>
              <w:adjustRightInd w:val="0"/>
              <w:spacing w:line="240" w:lineRule="auto"/>
              <w:jc w:val="center"/>
              <w:rPr>
                <w:sz w:val="24"/>
                <w:szCs w:val="24"/>
                <w:highlight w:val="none"/>
              </w:rPr>
            </w:pPr>
          </w:p>
        </w:tc>
        <w:tc>
          <w:tcPr>
            <w:tcW w:w="1252" w:type="dxa"/>
            <w:tcBorders>
              <w:tl2br w:val="nil"/>
              <w:tr2bl w:val="nil"/>
            </w:tcBorders>
            <w:noWrap w:val="0"/>
            <w:vAlign w:val="center"/>
          </w:tcPr>
          <w:p>
            <w:pPr>
              <w:spacing w:line="240" w:lineRule="auto"/>
              <w:jc w:val="center"/>
              <w:rPr>
                <w:rFonts w:hint="eastAsia" w:ascii="Times New Roman" w:hAnsi="Times New Roman" w:eastAsia="宋体"/>
                <w:sz w:val="24"/>
                <w:szCs w:val="24"/>
                <w:highlight w:val="none"/>
                <w:lang w:val="en-US" w:eastAsia="zh-CN"/>
              </w:rPr>
            </w:pPr>
            <w:r>
              <w:rPr>
                <w:sz w:val="24"/>
                <w:szCs w:val="24"/>
              </w:rPr>
              <w:t>生活垃圾</w:t>
            </w:r>
          </w:p>
        </w:tc>
        <w:tc>
          <w:tcPr>
            <w:tcW w:w="2393" w:type="dxa"/>
            <w:gridSpan w:val="2"/>
            <w:tcBorders>
              <w:tl2br w:val="nil"/>
              <w:tr2bl w:val="nil"/>
            </w:tcBorders>
            <w:noWrap w:val="0"/>
            <w:vAlign w:val="center"/>
          </w:tcPr>
          <w:p>
            <w:pPr>
              <w:spacing w:line="240" w:lineRule="auto"/>
              <w:jc w:val="center"/>
              <w:rPr>
                <w:rFonts w:hint="default" w:eastAsia="宋体"/>
                <w:sz w:val="24"/>
                <w:szCs w:val="24"/>
                <w:highlight w:val="none"/>
                <w:lang w:val="en-US" w:eastAsia="zh-CN"/>
              </w:rPr>
            </w:pPr>
            <w:r>
              <w:rPr>
                <w:rFonts w:hint="eastAsia"/>
                <w:sz w:val="24"/>
                <w:szCs w:val="24"/>
                <w:lang w:val="en-US" w:eastAsia="zh-CN"/>
              </w:rPr>
              <w:t>2.4</w:t>
            </w:r>
            <w:r>
              <w:rPr>
                <w:sz w:val="24"/>
                <w:szCs w:val="24"/>
              </w:rPr>
              <w:t>t</w:t>
            </w:r>
          </w:p>
        </w:tc>
        <w:tc>
          <w:tcPr>
            <w:tcW w:w="2607" w:type="dxa"/>
            <w:gridSpan w:val="2"/>
            <w:tcBorders>
              <w:tl2br w:val="nil"/>
              <w:tr2bl w:val="nil"/>
            </w:tcBorders>
            <w:noWrap w:val="0"/>
            <w:vAlign w:val="center"/>
          </w:tcPr>
          <w:p>
            <w:pPr>
              <w:spacing w:line="240" w:lineRule="auto"/>
              <w:jc w:val="center"/>
              <w:rPr>
                <w:rFonts w:hint="eastAsia" w:eastAsia="宋体"/>
                <w:sz w:val="24"/>
                <w:szCs w:val="24"/>
                <w:highlight w:val="none"/>
                <w:lang w:val="en-US" w:eastAsia="zh-CN"/>
              </w:rPr>
            </w:pPr>
            <w:r>
              <w:rPr>
                <w:sz w:val="24"/>
                <w:szCs w:val="24"/>
              </w:rPr>
              <w:t>交由环卫部门处置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78" w:type="dxa"/>
            <w:gridSpan w:val="2"/>
            <w:tcBorders>
              <w:tl2br w:val="nil"/>
              <w:tr2bl w:val="nil"/>
            </w:tcBorders>
            <w:noWrap w:val="0"/>
            <w:vAlign w:val="center"/>
          </w:tcPr>
          <w:p>
            <w:pPr>
              <w:adjustRightInd w:val="0"/>
              <w:spacing w:line="400" w:lineRule="exact"/>
              <w:jc w:val="center"/>
              <w:rPr>
                <w:sz w:val="24"/>
                <w:szCs w:val="24"/>
                <w:highlight w:val="none"/>
              </w:rPr>
            </w:pPr>
            <w:r>
              <w:rPr>
                <w:rFonts w:hint="eastAsia"/>
                <w:sz w:val="24"/>
                <w:szCs w:val="24"/>
                <w:highlight w:val="none"/>
              </w:rPr>
              <w:t>噪声</w:t>
            </w:r>
          </w:p>
        </w:tc>
        <w:tc>
          <w:tcPr>
            <w:tcW w:w="7422" w:type="dxa"/>
            <w:gridSpan w:val="6"/>
            <w:tcBorders>
              <w:tl2br w:val="nil"/>
              <w:tr2bl w:val="nil"/>
            </w:tcBorders>
            <w:noWrap w:val="0"/>
            <w:vAlign w:val="center"/>
          </w:tcPr>
          <w:p>
            <w:pPr>
              <w:spacing w:line="276" w:lineRule="auto"/>
              <w:jc w:val="center"/>
              <w:rPr>
                <w:sz w:val="24"/>
                <w:szCs w:val="24"/>
                <w:highlight w:val="none"/>
              </w:rPr>
            </w:pPr>
            <w:r>
              <w:rPr>
                <w:rFonts w:hint="eastAsia"/>
                <w:sz w:val="24"/>
                <w:szCs w:val="24"/>
                <w:highlight w:val="none"/>
              </w:rPr>
              <w:t>本项目施工期噪声主要为施工机械设备产生的机械噪声，挖掘机、自卸车、碾压机、运输车辆等，噪声值在70~95dB(A)之间。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00" w:type="dxa"/>
            <w:gridSpan w:val="8"/>
            <w:tcBorders>
              <w:tl2br w:val="nil"/>
              <w:tr2bl w:val="nil"/>
            </w:tcBorders>
            <w:noWrap w:val="0"/>
            <w:vAlign w:val="center"/>
          </w:tcPr>
          <w:p>
            <w:pPr>
              <w:spacing w:line="360" w:lineRule="auto"/>
              <w:jc w:val="both"/>
              <w:rPr>
                <w:b/>
                <w:sz w:val="24"/>
                <w:szCs w:val="24"/>
                <w:highlight w:val="none"/>
              </w:rPr>
            </w:pPr>
            <w:r>
              <w:rPr>
                <w:b/>
                <w:sz w:val="24"/>
                <w:szCs w:val="24"/>
                <w:highlight w:val="none"/>
              </w:rPr>
              <w:t>主要生态影响(不够时可附另页)：</w:t>
            </w:r>
          </w:p>
          <w:p>
            <w:pPr>
              <w:spacing w:line="360" w:lineRule="auto"/>
              <w:ind w:firstLine="480" w:firstLineChars="200"/>
              <w:jc w:val="left"/>
              <w:rPr>
                <w:rFonts w:hint="eastAsia"/>
                <w:sz w:val="24"/>
                <w:szCs w:val="24"/>
                <w:highlight w:val="none"/>
              </w:rPr>
            </w:pPr>
            <w:r>
              <w:rPr>
                <w:rFonts w:hint="eastAsia"/>
                <w:sz w:val="24"/>
                <w:szCs w:val="24"/>
                <w:highlight w:val="none"/>
              </w:rPr>
              <w:t>⑴土石方开挖、施工占地会造成一定程度的水土流失；</w:t>
            </w:r>
          </w:p>
          <w:p>
            <w:pPr>
              <w:spacing w:line="360" w:lineRule="auto"/>
              <w:ind w:firstLine="480" w:firstLineChars="200"/>
              <w:jc w:val="left"/>
              <w:rPr>
                <w:rFonts w:hint="eastAsia"/>
                <w:sz w:val="24"/>
                <w:szCs w:val="24"/>
                <w:highlight w:val="none"/>
              </w:rPr>
            </w:pPr>
            <w:r>
              <w:rPr>
                <w:rFonts w:hint="eastAsia"/>
                <w:sz w:val="24"/>
                <w:szCs w:val="24"/>
                <w:highlight w:val="none"/>
              </w:rPr>
              <w:t>⑵施工活动会对野生动物的栖息环境产生干扰；</w:t>
            </w:r>
          </w:p>
          <w:p>
            <w:pPr>
              <w:spacing w:line="360" w:lineRule="auto"/>
              <w:ind w:firstLine="480" w:firstLineChars="200"/>
              <w:jc w:val="left"/>
              <w:rPr>
                <w:rFonts w:hint="eastAsia"/>
                <w:sz w:val="24"/>
                <w:szCs w:val="24"/>
                <w:highlight w:val="none"/>
              </w:rPr>
            </w:pPr>
            <w:r>
              <w:rPr>
                <w:rFonts w:hint="eastAsia"/>
                <w:sz w:val="24"/>
                <w:szCs w:val="24"/>
                <w:highlight w:val="none"/>
              </w:rPr>
              <w:t>⑶施工过程中由于</w:t>
            </w:r>
            <w:r>
              <w:rPr>
                <w:rFonts w:hint="eastAsia"/>
                <w:sz w:val="24"/>
                <w:szCs w:val="24"/>
                <w:highlight w:val="none"/>
                <w:lang w:val="en-US" w:eastAsia="zh-CN"/>
              </w:rPr>
              <w:t>削坡垃方</w:t>
            </w:r>
            <w:r>
              <w:rPr>
                <w:rFonts w:hint="eastAsia"/>
                <w:sz w:val="24"/>
                <w:szCs w:val="24"/>
                <w:highlight w:val="none"/>
              </w:rPr>
              <w:t>，会导致项目流域自然景观的破坏；</w:t>
            </w:r>
          </w:p>
          <w:p>
            <w:pPr>
              <w:spacing w:line="360" w:lineRule="auto"/>
              <w:ind w:firstLine="480" w:firstLineChars="200"/>
              <w:jc w:val="left"/>
              <w:rPr>
                <w:rFonts w:hint="eastAsia" w:eastAsia="宋体"/>
                <w:sz w:val="24"/>
                <w:szCs w:val="24"/>
                <w:highlight w:val="none"/>
                <w:lang w:eastAsia="zh-CN"/>
              </w:rPr>
            </w:pPr>
            <w:r>
              <w:rPr>
                <w:rFonts w:hint="eastAsia"/>
                <w:sz w:val="24"/>
                <w:szCs w:val="24"/>
                <w:highlight w:val="none"/>
              </w:rPr>
              <w:t>此类影响为暂时性影响，随着项目施工期的结束，植被恢复等措施，将进一步恢复植被，改善当地生态系统</w:t>
            </w:r>
            <w:r>
              <w:rPr>
                <w:rFonts w:hint="eastAsia"/>
                <w:sz w:val="24"/>
                <w:szCs w:val="24"/>
                <w:highlight w:val="none"/>
                <w:lang w:eastAsia="zh-CN"/>
              </w:rPr>
              <w:t>。</w:t>
            </w: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pStyle w:val="2"/>
              <w:ind w:firstLine="0"/>
              <w:rPr>
                <w:rFonts w:hint="eastAsia"/>
                <w:sz w:val="24"/>
                <w:szCs w:val="24"/>
                <w:highlight w:val="none"/>
                <w:lang w:eastAsia="zh-CN"/>
              </w:rPr>
            </w:pPr>
          </w:p>
          <w:p>
            <w:pPr>
              <w:spacing w:line="276" w:lineRule="auto"/>
              <w:jc w:val="both"/>
              <w:rPr>
                <w:rFonts w:hint="eastAsia"/>
                <w:sz w:val="24"/>
                <w:szCs w:val="24"/>
                <w:highlight w:val="yellow"/>
              </w:rPr>
            </w:pPr>
          </w:p>
        </w:tc>
      </w:tr>
      <w:bookmarkEnd w:id="9"/>
    </w:tbl>
    <w:p>
      <w:pPr>
        <w:pStyle w:val="15"/>
        <w:spacing w:line="240" w:lineRule="auto"/>
        <w:jc w:val="both"/>
        <w:outlineLvl w:val="0"/>
        <w:rPr>
          <w:rFonts w:ascii="黑体" w:hAnsi="黑体" w:eastAsia="黑体"/>
          <w:sz w:val="30"/>
          <w:szCs w:val="30"/>
        </w:rPr>
      </w:pPr>
      <w:r>
        <w:rPr>
          <w:rFonts w:hint="eastAsia" w:ascii="Times New Roman" w:hAnsi="Times New Roman" w:eastAsia="宋体" w:cs="Times New Roman"/>
          <w:b/>
          <w:bCs/>
          <w:sz w:val="32"/>
          <w:szCs w:val="32"/>
          <w:lang w:eastAsia="zh-CN"/>
        </w:rPr>
        <w:t>七、</w:t>
      </w:r>
      <w:r>
        <w:rPr>
          <w:rFonts w:hint="default" w:ascii="Times New Roman" w:hAnsi="Times New Roman" w:eastAsia="宋体" w:cs="Times New Roman"/>
          <w:b/>
          <w:bCs/>
          <w:sz w:val="32"/>
          <w:szCs w:val="32"/>
        </w:rPr>
        <w:t>环境影响分析</w:t>
      </w:r>
    </w:p>
    <w:tbl>
      <w:tblPr>
        <w:tblStyle w:val="19"/>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28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431" w:hRule="atLeast"/>
          <w:jc w:val="center"/>
        </w:trPr>
        <w:tc>
          <w:tcPr>
            <w:tcW w:w="9286" w:type="dxa"/>
            <w:noWrap w:val="0"/>
            <w:vAlign w:val="top"/>
          </w:tcPr>
          <w:p>
            <w:pPr>
              <w:spacing w:line="360" w:lineRule="auto"/>
              <w:rPr>
                <w:rFonts w:hint="eastAsia"/>
                <w:b/>
                <w:sz w:val="24"/>
                <w:szCs w:val="24"/>
              </w:rPr>
            </w:pPr>
            <w:r>
              <w:rPr>
                <w:b/>
                <w:sz w:val="24"/>
                <w:szCs w:val="24"/>
              </w:rPr>
              <w:t>施工期环境影响分析：</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黑体" w:cs="Times New Roman"/>
                <w:b w:val="0"/>
                <w:bCs w:val="0"/>
                <w:sz w:val="24"/>
              </w:rPr>
            </w:pPr>
            <w:r>
              <w:rPr>
                <w:rFonts w:hint="default" w:ascii="Times New Roman" w:hAnsi="Times New Roman" w:eastAsia="黑体" w:cs="Times New Roman"/>
                <w:b w:val="0"/>
                <w:bCs w:val="0"/>
                <w:sz w:val="24"/>
              </w:rPr>
              <w:t>1、大气环境影响分析</w:t>
            </w:r>
          </w:p>
          <w:p>
            <w:pPr>
              <w:spacing w:line="360" w:lineRule="auto"/>
              <w:ind w:firstLine="480" w:firstLineChars="200"/>
              <w:rPr>
                <w:rFonts w:hint="eastAsia"/>
                <w:kern w:val="0"/>
                <w:sz w:val="24"/>
                <w:lang w:eastAsia="zh-CN"/>
              </w:rPr>
            </w:pPr>
            <w:r>
              <w:rPr>
                <w:rFonts w:hint="eastAsia"/>
                <w:kern w:val="0"/>
                <w:sz w:val="24"/>
                <w:lang w:eastAsia="zh-CN"/>
              </w:rPr>
              <w:t>项目施工过程中废气主要为施工扬尘及施工机械车辆尾气，扬尘主要产生于清理场地、土方挖掘、建筑材料装卸运输。拆除的弃渣、开挖及挖掘的泥土堆放在施工现场，清运或回填不及时，均会产生二次扬尘，排放方式均属于无组织间断性排放；出入施工现场的车辆车轮沾染的泥土，将泥土带出施工场地，产生二次扬尘。施工期扬尘污染程度及范围与施工作业管理水平和气象条件有关，因此，施工时采取必要的减缓措施。</w:t>
            </w:r>
          </w:p>
          <w:p>
            <w:pPr>
              <w:spacing w:line="360" w:lineRule="auto"/>
              <w:ind w:firstLine="480" w:firstLineChars="200"/>
              <w:rPr>
                <w:rFonts w:hint="default"/>
                <w:kern w:val="0"/>
                <w:sz w:val="24"/>
                <w:lang w:val="en-US" w:eastAsia="zh-CN"/>
              </w:rPr>
            </w:pPr>
            <w:r>
              <w:rPr>
                <w:rFonts w:hint="eastAsia"/>
                <w:kern w:val="0"/>
                <w:sz w:val="24"/>
                <w:lang w:eastAsia="zh-CN"/>
              </w:rPr>
              <w:t>⑴</w:t>
            </w:r>
            <w:r>
              <w:rPr>
                <w:rFonts w:hint="eastAsia"/>
                <w:kern w:val="0"/>
                <w:sz w:val="24"/>
                <w:lang w:val="en-US" w:eastAsia="zh-CN"/>
              </w:rPr>
              <w:t>扬尘</w:t>
            </w:r>
          </w:p>
          <w:p>
            <w:pPr>
              <w:spacing w:line="360" w:lineRule="auto"/>
              <w:ind w:firstLine="480" w:firstLineChars="200"/>
              <w:rPr>
                <w:rFonts w:hint="eastAsia"/>
                <w:kern w:val="0"/>
                <w:sz w:val="24"/>
                <w:lang w:eastAsia="zh-CN"/>
              </w:rPr>
            </w:pPr>
            <w:r>
              <w:rPr>
                <w:rFonts w:hint="eastAsia"/>
                <w:kern w:val="0"/>
                <w:sz w:val="24"/>
                <w:lang w:eastAsia="zh-CN"/>
              </w:rPr>
              <w:t>扬尘主要来源为：</w:t>
            </w:r>
          </w:p>
          <w:p>
            <w:pPr>
              <w:spacing w:line="360" w:lineRule="auto"/>
              <w:ind w:firstLine="480" w:firstLineChars="200"/>
              <w:rPr>
                <w:rFonts w:hint="eastAsia"/>
                <w:kern w:val="0"/>
                <w:sz w:val="24"/>
                <w:lang w:eastAsia="zh-CN"/>
              </w:rPr>
            </w:pPr>
            <w:r>
              <w:rPr>
                <w:rFonts w:hint="eastAsia"/>
                <w:kern w:val="0"/>
                <w:sz w:val="24"/>
                <w:lang w:eastAsia="zh-CN"/>
              </w:rPr>
              <w:t>①土方开挖、回填和运输过程中产生的扬尘；</w:t>
            </w:r>
          </w:p>
          <w:p>
            <w:pPr>
              <w:spacing w:line="360" w:lineRule="auto"/>
              <w:ind w:firstLine="480" w:firstLineChars="200"/>
              <w:rPr>
                <w:rFonts w:hint="eastAsia"/>
                <w:kern w:val="0"/>
                <w:sz w:val="24"/>
                <w:lang w:eastAsia="zh-CN"/>
              </w:rPr>
            </w:pPr>
            <w:r>
              <w:rPr>
                <w:rFonts w:hint="eastAsia"/>
                <w:kern w:val="0"/>
                <w:sz w:val="24"/>
                <w:lang w:eastAsia="zh-CN"/>
              </w:rPr>
              <w:t>②建筑材料的堆放、装卸过程产生的扬尘；</w:t>
            </w:r>
          </w:p>
          <w:p>
            <w:pPr>
              <w:spacing w:line="360" w:lineRule="auto"/>
              <w:ind w:firstLine="480" w:firstLineChars="200"/>
              <w:rPr>
                <w:rFonts w:hint="eastAsia"/>
                <w:kern w:val="0"/>
                <w:sz w:val="24"/>
                <w:lang w:eastAsia="zh-CN"/>
              </w:rPr>
            </w:pPr>
            <w:r>
              <w:rPr>
                <w:rFonts w:hint="eastAsia"/>
                <w:kern w:val="0"/>
                <w:sz w:val="24"/>
                <w:lang w:eastAsia="zh-CN"/>
              </w:rPr>
              <w:t>③运输车辆造成的道路扬尘。</w:t>
            </w:r>
          </w:p>
          <w:p>
            <w:pPr>
              <w:spacing w:line="360" w:lineRule="auto"/>
              <w:ind w:firstLine="480" w:firstLineChars="200"/>
              <w:rPr>
                <w:rFonts w:hint="eastAsia"/>
                <w:kern w:val="0"/>
                <w:sz w:val="24"/>
                <w:lang w:eastAsia="zh-CN"/>
              </w:rPr>
            </w:pPr>
            <w:r>
              <w:rPr>
                <w:rFonts w:hint="eastAsia"/>
                <w:kern w:val="0"/>
                <w:sz w:val="24"/>
                <w:lang w:eastAsia="zh-CN"/>
              </w:rPr>
              <w:t>扬尘其源强大小与颗粒物的粒径大小、比重以及环境的风速、湿度等因素有关，风速越大，颗粒越小，土沙的含水率越小，扬尘的产生量就越大。为降低本工程施工期扬尘对周边环境的影响，本项目采取以下防治措施：</w:t>
            </w:r>
          </w:p>
          <w:p>
            <w:pPr>
              <w:spacing w:line="360" w:lineRule="auto"/>
              <w:ind w:firstLine="480" w:firstLineChars="200"/>
              <w:rPr>
                <w:rFonts w:hint="eastAsia"/>
                <w:kern w:val="0"/>
                <w:sz w:val="24"/>
                <w:lang w:eastAsia="zh-CN"/>
              </w:rPr>
            </w:pPr>
            <w:r>
              <w:rPr>
                <w:rFonts w:hint="eastAsia"/>
                <w:kern w:val="0"/>
                <w:sz w:val="24"/>
                <w:lang w:eastAsia="zh-CN"/>
              </w:rPr>
              <w:t>①施工场地及道路采取定时对场地洒水抑尘，增加施工区域环境湿度，降低扬尘产生量；</w:t>
            </w:r>
          </w:p>
          <w:p>
            <w:pPr>
              <w:spacing w:line="360" w:lineRule="auto"/>
              <w:ind w:firstLine="480" w:firstLineChars="200"/>
              <w:rPr>
                <w:rFonts w:hint="eastAsia"/>
                <w:kern w:val="0"/>
                <w:sz w:val="24"/>
                <w:lang w:eastAsia="zh-CN"/>
              </w:rPr>
            </w:pPr>
            <w:r>
              <w:rPr>
                <w:rFonts w:hint="eastAsia"/>
                <w:kern w:val="0"/>
                <w:sz w:val="24"/>
                <w:lang w:eastAsia="zh-CN"/>
              </w:rPr>
              <w:t>②对施工现场进行科学管理，做好施工统一规划，土方工程应做到挖、填同步进行，尽量减少土方的堆存时间，多余的土方和建筑垃圾应及时清运；必要时，对部分施工段落设置施工围挡，降低扬尘溢散；</w:t>
            </w:r>
          </w:p>
          <w:p>
            <w:pPr>
              <w:spacing w:line="360" w:lineRule="auto"/>
              <w:ind w:firstLine="480" w:firstLineChars="200"/>
              <w:rPr>
                <w:rFonts w:hint="eastAsia"/>
                <w:kern w:val="0"/>
                <w:sz w:val="24"/>
                <w:lang w:eastAsia="zh-CN"/>
              </w:rPr>
            </w:pPr>
            <w:r>
              <w:rPr>
                <w:rFonts w:hint="eastAsia"/>
                <w:kern w:val="0"/>
                <w:sz w:val="24"/>
                <w:lang w:eastAsia="zh-CN"/>
              </w:rPr>
              <w:t>③对运输车辆采取遮盖、密闭措施，避免沿途物料抛洒。文明装卸和驾驶，在装卸点须对散落在车顶、蓬布外部等处的物料进行清扫；</w:t>
            </w:r>
          </w:p>
          <w:p>
            <w:pPr>
              <w:spacing w:line="360" w:lineRule="auto"/>
              <w:ind w:firstLine="480" w:firstLineChars="200"/>
              <w:rPr>
                <w:rFonts w:hint="eastAsia"/>
                <w:kern w:val="0"/>
                <w:sz w:val="24"/>
                <w:lang w:eastAsia="zh-CN"/>
              </w:rPr>
            </w:pPr>
            <w:r>
              <w:rPr>
                <w:rFonts w:hint="eastAsia"/>
                <w:kern w:val="0"/>
                <w:sz w:val="24"/>
                <w:lang w:eastAsia="zh-CN"/>
              </w:rPr>
              <w:t>④风速超过四级时应停止施工作业，并对堆放的土石方等材料进行遮盖处理。</w:t>
            </w:r>
          </w:p>
          <w:p>
            <w:pPr>
              <w:spacing w:line="360" w:lineRule="auto"/>
              <w:ind w:firstLine="480" w:firstLineChars="200"/>
              <w:rPr>
                <w:rFonts w:hint="eastAsia"/>
                <w:kern w:val="0"/>
                <w:sz w:val="24"/>
                <w:lang w:eastAsia="zh-CN"/>
              </w:rPr>
            </w:pPr>
            <w:r>
              <w:rPr>
                <w:rFonts w:hint="eastAsia"/>
                <w:kern w:val="0"/>
                <w:sz w:val="24"/>
                <w:lang w:eastAsia="zh-CN"/>
              </w:rPr>
              <w:t>通过以上措施后，本项目施工期产生的扬尘将得到有效防止，对环境影响较小。</w:t>
            </w:r>
          </w:p>
          <w:p>
            <w:pPr>
              <w:spacing w:line="360" w:lineRule="auto"/>
              <w:ind w:firstLine="480" w:firstLineChars="200"/>
              <w:rPr>
                <w:rFonts w:hint="eastAsia"/>
                <w:kern w:val="0"/>
                <w:sz w:val="24"/>
                <w:lang w:eastAsia="zh-CN"/>
              </w:rPr>
            </w:pPr>
            <w:r>
              <w:rPr>
                <w:rFonts w:hint="eastAsia"/>
                <w:kern w:val="0"/>
                <w:sz w:val="24"/>
                <w:lang w:eastAsia="zh-CN"/>
              </w:rPr>
              <w:t>⑵施工机械尾气</w:t>
            </w:r>
          </w:p>
          <w:p>
            <w:pPr>
              <w:spacing w:line="360" w:lineRule="auto"/>
              <w:ind w:firstLine="480" w:firstLineChars="200"/>
              <w:rPr>
                <w:rFonts w:hint="eastAsia"/>
                <w:kern w:val="0"/>
                <w:sz w:val="24"/>
                <w:lang w:eastAsia="zh-CN"/>
              </w:rPr>
            </w:pPr>
            <w:r>
              <w:rPr>
                <w:rFonts w:hint="eastAsia"/>
                <w:kern w:val="0"/>
                <w:sz w:val="24"/>
                <w:lang w:eastAsia="zh-CN"/>
              </w:rPr>
              <w:t>本工程施工期机械尾气污染物主要有CO、NO</w:t>
            </w:r>
            <w:r>
              <w:rPr>
                <w:rFonts w:hint="eastAsia"/>
                <w:kern w:val="0"/>
                <w:sz w:val="24"/>
                <w:vertAlign w:val="subscript"/>
                <w:lang w:val="en-US" w:eastAsia="zh-CN"/>
              </w:rPr>
              <w:t>X</w:t>
            </w:r>
            <w:r>
              <w:rPr>
                <w:rFonts w:hint="eastAsia"/>
                <w:kern w:val="0"/>
                <w:sz w:val="24"/>
                <w:lang w:eastAsia="zh-CN"/>
              </w:rPr>
              <w:t>及HC等。施工机械所排放的废气在空间和时间上具有较集中的特点，并以无组织面源的形式排放，对施工区域大气环境造成不利影响。但施工结束后，废气影响也随之消失，不会造成长期影响。为降低本工程施工期机械尾气都周边环境的影响，本项目采取以下措施进行防护：</w:t>
            </w:r>
          </w:p>
          <w:p>
            <w:pPr>
              <w:spacing w:line="360" w:lineRule="auto"/>
              <w:ind w:firstLine="480" w:firstLineChars="200"/>
              <w:rPr>
                <w:rFonts w:hint="eastAsia"/>
                <w:kern w:val="0"/>
                <w:sz w:val="24"/>
                <w:lang w:eastAsia="zh-CN"/>
              </w:rPr>
            </w:pPr>
            <w:r>
              <w:rPr>
                <w:rFonts w:hint="eastAsia"/>
                <w:kern w:val="0"/>
                <w:sz w:val="24"/>
                <w:lang w:eastAsia="zh-CN"/>
              </w:rPr>
              <w:t>①为降低机械尾气排放，应加强施工机械的使用管理和保养维修，合理降低使用次数，提高机械使用效率，以达到降低废气排放目的；</w:t>
            </w:r>
          </w:p>
          <w:p>
            <w:pPr>
              <w:spacing w:line="360" w:lineRule="auto"/>
              <w:ind w:firstLine="480" w:firstLineChars="200"/>
              <w:rPr>
                <w:rFonts w:hint="eastAsia"/>
                <w:kern w:val="0"/>
                <w:sz w:val="24"/>
                <w:lang w:eastAsia="zh-CN"/>
              </w:rPr>
            </w:pPr>
            <w:r>
              <w:rPr>
                <w:rFonts w:hint="eastAsia"/>
                <w:kern w:val="0"/>
                <w:sz w:val="24"/>
                <w:lang w:eastAsia="zh-CN"/>
              </w:rPr>
              <w:t>②合理安排施工运输工作，对于施工作业中的大型构件和大量物资及弃土的运输，应尽量避开交通高峰期，以缓解交通压力。同时，施工单位应与交通管理部门协调一致，采取相应的措施，做好施工现场的交通疏导，避免压车和交通阻塞，最大限度的控制汽车尾气的排放。</w:t>
            </w:r>
          </w:p>
          <w:p>
            <w:pPr>
              <w:spacing w:line="360" w:lineRule="auto"/>
              <w:ind w:firstLine="480" w:firstLineChars="200"/>
              <w:rPr>
                <w:rFonts w:hint="eastAsia"/>
                <w:kern w:val="0"/>
                <w:sz w:val="24"/>
                <w:lang w:eastAsia="zh-CN"/>
              </w:rPr>
            </w:pPr>
            <w:r>
              <w:rPr>
                <w:rFonts w:hint="eastAsia"/>
                <w:kern w:val="0"/>
                <w:sz w:val="24"/>
                <w:lang w:eastAsia="zh-CN"/>
              </w:rPr>
              <w:t>综上所述，本项目施工期对环境空气的影响较小。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黑体" w:cs="Times New Roman"/>
                <w:b w:val="0"/>
                <w:bCs w:val="0"/>
                <w:sz w:val="24"/>
              </w:rPr>
            </w:pPr>
            <w:r>
              <w:rPr>
                <w:rFonts w:hint="eastAsia" w:ascii="Times New Roman" w:hAnsi="Times New Roman" w:eastAsia="黑体" w:cs="Times New Roman"/>
                <w:b w:val="0"/>
                <w:bCs w:val="0"/>
                <w:sz w:val="24"/>
                <w:lang w:val="en-US" w:eastAsia="zh-CN"/>
              </w:rPr>
              <w:t>2</w:t>
            </w:r>
            <w:r>
              <w:rPr>
                <w:rFonts w:hint="default" w:ascii="Times New Roman" w:hAnsi="Times New Roman" w:eastAsia="黑体" w:cs="Times New Roman"/>
                <w:b w:val="0"/>
                <w:bCs w:val="0"/>
                <w:sz w:val="24"/>
              </w:rPr>
              <w:t>、</w:t>
            </w:r>
            <w:r>
              <w:rPr>
                <w:rFonts w:hint="eastAsia" w:ascii="Times New Roman" w:hAnsi="Times New Roman" w:eastAsia="黑体" w:cs="Times New Roman"/>
                <w:b w:val="0"/>
                <w:bCs w:val="0"/>
                <w:sz w:val="24"/>
                <w:lang w:val="en-US" w:eastAsia="zh-CN"/>
              </w:rPr>
              <w:t>水环境</w:t>
            </w:r>
            <w:r>
              <w:rPr>
                <w:rFonts w:hint="eastAsia" w:ascii="Times New Roman" w:hAnsi="Times New Roman" w:eastAsia="黑体" w:cs="Times New Roman"/>
                <w:b w:val="0"/>
                <w:bCs w:val="0"/>
                <w:sz w:val="24"/>
              </w:rPr>
              <w:t>影响分析</w:t>
            </w:r>
          </w:p>
          <w:p>
            <w:pPr>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施工期废水主要为施工人员生活污水。</w:t>
            </w:r>
          </w:p>
          <w:p>
            <w:pPr>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本项目施工工地不设住宿和食堂，设有旱厕，生活污水主要为施工人员的洗漱废水，施工期生活污水排放量约为</w:t>
            </w:r>
            <w:r>
              <w:rPr>
                <w:rFonts w:hint="eastAsia" w:cs="Times New Roman"/>
                <w:sz w:val="24"/>
                <w:szCs w:val="24"/>
                <w:lang w:val="en-US" w:eastAsia="zh-CN"/>
              </w:rPr>
              <w:t>76.8</w:t>
            </w:r>
            <w:r>
              <w:rPr>
                <w:rFonts w:hint="eastAsia" w:ascii="Times New Roman" w:hAnsi="Times New Roman" w:cs="Times New Roman"/>
                <w:sz w:val="24"/>
                <w:szCs w:val="24"/>
                <w:lang w:eastAsia="zh-CN"/>
              </w:rPr>
              <w:t>m</w:t>
            </w:r>
            <w:r>
              <w:rPr>
                <w:rFonts w:hint="eastAsia" w:ascii="Times New Roman" w:hAnsi="Times New Roman" w:cs="Times New Roman"/>
                <w:sz w:val="24"/>
                <w:szCs w:val="24"/>
                <w:vertAlign w:val="superscript"/>
                <w:lang w:eastAsia="zh-CN"/>
              </w:rPr>
              <w:t>3</w:t>
            </w:r>
            <w:r>
              <w:rPr>
                <w:rFonts w:hint="eastAsia" w:ascii="Times New Roman" w:hAnsi="Times New Roman" w:cs="Times New Roman"/>
                <w:sz w:val="24"/>
                <w:szCs w:val="24"/>
                <w:lang w:eastAsia="zh-CN"/>
              </w:rPr>
              <w:t>，集中收集后直接用于泼洒抑尘，不外排；旱厕定期清掏后还田，不外排。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sz w:val="24"/>
                <w:highlight w:val="none"/>
                <w:lang w:val="en-US" w:eastAsia="zh-CN"/>
              </w:rPr>
            </w:pPr>
            <w:r>
              <w:rPr>
                <w:rFonts w:hint="eastAsia" w:cs="Times New Roman"/>
                <w:bCs/>
                <w:sz w:val="24"/>
                <w:highlight w:val="none"/>
                <w:lang w:val="en-US" w:eastAsia="zh-CN"/>
              </w:rPr>
              <w:t>施工废水</w:t>
            </w:r>
            <w:r>
              <w:rPr>
                <w:rFonts w:hint="eastAsia" w:ascii="Times New Roman" w:hAnsi="Times New Roman" w:cs="Times New Roman"/>
                <w:bCs/>
                <w:sz w:val="24"/>
                <w:highlight w:val="none"/>
                <w:lang w:val="en-US" w:eastAsia="zh-CN"/>
              </w:rPr>
              <w:t>集中收集经沉淀后用于泼洒抑尘，不外排。运营期无用水消耗。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因此，项目施工期废水对</w:t>
            </w:r>
            <w:r>
              <w:rPr>
                <w:rFonts w:hint="eastAsia" w:ascii="Times New Roman" w:hAnsi="Times New Roman" w:cs="Times New Roman"/>
                <w:sz w:val="24"/>
                <w:szCs w:val="24"/>
                <w:lang w:val="en-US" w:eastAsia="zh-CN"/>
              </w:rPr>
              <w:t>周围水环境的影响较小。</w:t>
            </w:r>
          </w:p>
          <w:p>
            <w:pPr>
              <w:spacing w:line="360" w:lineRule="auto"/>
              <w:rPr>
                <w:rFonts w:hint="default" w:ascii="Times New Roman" w:hAnsi="Times New Roman" w:eastAsia="黑体" w:cs="Times New Roman"/>
                <w:color w:val="000000"/>
                <w:sz w:val="24"/>
                <w:szCs w:val="24"/>
                <w:lang w:val="en-US" w:eastAsia="zh-CN"/>
              </w:rPr>
            </w:pPr>
            <w:r>
              <w:rPr>
                <w:rFonts w:hint="default" w:ascii="Times New Roman" w:hAnsi="Times New Roman" w:eastAsia="黑体" w:cs="Times New Roman"/>
                <w:color w:val="000000"/>
                <w:sz w:val="24"/>
                <w:szCs w:val="24"/>
                <w:lang w:val="en-US" w:eastAsia="zh-CN"/>
              </w:rPr>
              <w:t>3、地下水环境影响分析及减缓措施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highlight w:val="none"/>
                <w:lang w:val="en-US" w:eastAsia="zh-CN"/>
              </w:rPr>
              <w:t>本</w:t>
            </w:r>
            <w:r>
              <w:rPr>
                <w:rFonts w:hint="default" w:ascii="Times New Roman" w:hAnsi="Times New Roman" w:cs="Times New Roman"/>
                <w:sz w:val="24"/>
                <w:highlight w:val="none"/>
              </w:rPr>
              <w:t>项目</w:t>
            </w:r>
            <w:r>
              <w:rPr>
                <w:rFonts w:hint="default"/>
                <w:sz w:val="24"/>
                <w:highlight w:val="none"/>
                <w:lang w:eastAsia="zh-CN"/>
              </w:rPr>
              <w:t>为废弃矿山生态修复治理工程</w:t>
            </w:r>
            <w:r>
              <w:rPr>
                <w:rFonts w:hint="eastAsia"/>
                <w:sz w:val="24"/>
                <w:highlight w:val="none"/>
                <w:lang w:eastAsia="zh-CN"/>
              </w:rPr>
              <w:t>，</w:t>
            </w:r>
            <w:r>
              <w:rPr>
                <w:rFonts w:hint="default" w:ascii="Times New Roman" w:hAnsi="Times New Roman" w:cs="Times New Roman"/>
                <w:sz w:val="24"/>
                <w:szCs w:val="24"/>
              </w:rPr>
              <w:t>根据</w:t>
            </w:r>
            <w:r>
              <w:rPr>
                <w:rFonts w:hint="default" w:ascii="Times New Roman" w:hAnsi="Times New Roman" w:cs="Times New Roman"/>
                <w:sz w:val="24"/>
                <w:highlight w:val="none"/>
              </w:rPr>
              <w:t>《建设项目环境影响评价分类管理名录》(</w:t>
            </w:r>
            <w:r>
              <w:rPr>
                <w:rFonts w:hint="eastAsia" w:cs="Times New Roman"/>
                <w:sz w:val="24"/>
                <w:highlight w:val="none"/>
                <w:lang w:val="en-US" w:eastAsia="zh-CN"/>
              </w:rPr>
              <w:t>2021年版</w:t>
            </w:r>
            <w:r>
              <w:rPr>
                <w:rFonts w:hint="default" w:ascii="Times New Roman" w:hAnsi="Times New Roman" w:cs="Times New Roman"/>
                <w:sz w:val="24"/>
                <w:highlight w:val="none"/>
              </w:rPr>
              <w:t>)</w:t>
            </w:r>
            <w:r>
              <w:rPr>
                <w:rFonts w:hint="eastAsia" w:cs="Times New Roman"/>
                <w:sz w:val="24"/>
                <w:highlight w:val="none"/>
                <w:lang w:eastAsia="zh-CN"/>
              </w:rPr>
              <w:t>及</w:t>
            </w:r>
            <w:r>
              <w:rPr>
                <w:rFonts w:hint="default" w:ascii="Times New Roman" w:hAnsi="Times New Roman" w:cs="Times New Roman"/>
                <w:sz w:val="24"/>
                <w:szCs w:val="24"/>
              </w:rPr>
              <w:t>《环境影响评价技术导则 地下水环境》(HJ610-2016)中附录A</w:t>
            </w:r>
            <w:r>
              <w:rPr>
                <w:rFonts w:hint="eastAsia" w:cs="Times New Roman"/>
                <w:sz w:val="24"/>
                <w:szCs w:val="24"/>
                <w:lang w:eastAsia="zh-CN"/>
              </w:rPr>
              <w:t>的判定结果</w:t>
            </w:r>
            <w:r>
              <w:rPr>
                <w:rFonts w:hint="default" w:ascii="Times New Roman" w:hAnsi="Times New Roman" w:cs="Times New Roman"/>
                <w:sz w:val="24"/>
                <w:szCs w:val="24"/>
              </w:rPr>
              <w:t>，</w:t>
            </w:r>
            <w:r>
              <w:rPr>
                <w:rFonts w:hint="default"/>
                <w:sz w:val="24"/>
                <w:lang w:eastAsia="zh-CN"/>
              </w:rPr>
              <w:t>本</w:t>
            </w:r>
            <w:r>
              <w:rPr>
                <w:rFonts w:hint="default" w:ascii="Times New Roman" w:hAnsi="Times New Roman" w:cs="Times New Roman"/>
                <w:sz w:val="24"/>
                <w:szCs w:val="24"/>
              </w:rPr>
              <w:t>项目属于</w:t>
            </w:r>
            <w:r>
              <w:rPr>
                <w:rFonts w:hint="default" w:ascii="Times New Roman" w:hAnsi="Times New Roman" w:cs="Times New Roman"/>
                <w:sz w:val="24"/>
                <w:szCs w:val="24"/>
                <w:lang w:val="en-US" w:eastAsia="zh-CN"/>
              </w:rPr>
              <w:t>54</w:t>
            </w:r>
            <w:r>
              <w:rPr>
                <w:rFonts w:hint="default" w:ascii="Times New Roman" w:hAnsi="Times New Roman" w:cs="Times New Roman"/>
                <w:sz w:val="24"/>
                <w:szCs w:val="24"/>
              </w:rPr>
              <w:t>·</w:t>
            </w:r>
            <w:r>
              <w:rPr>
                <w:rFonts w:hint="default" w:ascii="Times New Roman" w:hAnsi="Times New Roman" w:cs="Times New Roman"/>
                <w:sz w:val="24"/>
                <w:szCs w:val="24"/>
                <w:lang w:eastAsia="zh-CN"/>
              </w:rPr>
              <w:t>土砂石开采</w:t>
            </w:r>
            <w:r>
              <w:rPr>
                <w:rFonts w:hint="eastAsia" w:cs="Times New Roman"/>
                <w:sz w:val="24"/>
                <w:szCs w:val="24"/>
                <w:lang w:eastAsia="zh-CN"/>
              </w:rPr>
              <w:t>中其他类别</w:t>
            </w:r>
            <w:r>
              <w:rPr>
                <w:rFonts w:hint="default" w:ascii="Times New Roman" w:hAnsi="Times New Roman" w:cs="Times New Roman"/>
                <w:sz w:val="24"/>
                <w:szCs w:val="24"/>
              </w:rPr>
              <w:t>，地下水环境影响评价类别为Ⅳ类。因此，根据《环境影响评价技术导则 地下水环境》(HJ610-2016)中要求，Ⅳ类建设项目不需开展地下水环境影响评价。</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黑体" w:cs="Times New Roman"/>
                <w:b w:val="0"/>
                <w:bCs w:val="0"/>
                <w:sz w:val="24"/>
                <w:lang w:val="en-US" w:eastAsia="zh-CN"/>
              </w:rPr>
            </w:pPr>
            <w:r>
              <w:rPr>
                <w:rFonts w:hint="eastAsia" w:eastAsia="黑体" w:cs="Times New Roman"/>
                <w:b w:val="0"/>
                <w:bCs w:val="0"/>
                <w:sz w:val="24"/>
                <w:lang w:val="en-US" w:eastAsia="zh-CN"/>
              </w:rPr>
              <w:t>4</w:t>
            </w:r>
            <w:r>
              <w:rPr>
                <w:rFonts w:hint="default" w:ascii="Times New Roman" w:hAnsi="Times New Roman" w:eastAsia="黑体" w:cs="Times New Roman"/>
                <w:b w:val="0"/>
                <w:bCs w:val="0"/>
                <w:sz w:val="24"/>
                <w:lang w:val="en-US" w:eastAsia="zh-CN"/>
              </w:rPr>
              <w:t>、</w:t>
            </w:r>
            <w:r>
              <w:rPr>
                <w:rFonts w:hint="eastAsia" w:ascii="Times New Roman" w:hAnsi="Times New Roman" w:eastAsia="黑体" w:cs="Times New Roman"/>
                <w:b w:val="0"/>
                <w:bCs w:val="0"/>
                <w:sz w:val="24"/>
                <w:lang w:val="en-US" w:eastAsia="zh-CN"/>
              </w:rPr>
              <w:t>噪声环境影响分析</w:t>
            </w:r>
          </w:p>
          <w:p>
            <w:pPr>
              <w:spacing w:line="360" w:lineRule="auto"/>
              <w:ind w:firstLine="480" w:firstLineChars="200"/>
              <w:rPr>
                <w:rFonts w:hint="eastAsia"/>
                <w:kern w:val="0"/>
                <w:sz w:val="24"/>
              </w:rPr>
            </w:pPr>
            <w:r>
              <w:rPr>
                <w:rFonts w:hint="eastAsia"/>
                <w:kern w:val="0"/>
                <w:sz w:val="24"/>
              </w:rPr>
              <w:t>施工期噪声主要来源于施工机械噪声。</w:t>
            </w:r>
          </w:p>
          <w:p>
            <w:pPr>
              <w:spacing w:line="360" w:lineRule="auto"/>
              <w:ind w:firstLine="480" w:firstLineChars="200"/>
              <w:rPr>
                <w:rFonts w:hint="eastAsia"/>
                <w:kern w:val="0"/>
                <w:sz w:val="24"/>
              </w:rPr>
            </w:pPr>
            <w:r>
              <w:rPr>
                <w:rFonts w:hint="eastAsia"/>
                <w:kern w:val="0"/>
                <w:sz w:val="24"/>
              </w:rPr>
              <w:t>本项目施工期机械设备噪声源可视为点源，根据点源衰减模式计算施工期间离声源不同距离处的噪声值。预测模式如下：</w:t>
            </w:r>
          </w:p>
          <w:p>
            <w:pPr>
              <w:spacing w:line="360" w:lineRule="auto"/>
              <w:jc w:val="center"/>
              <w:rPr>
                <w:rFonts w:hint="eastAsia"/>
                <w:kern w:val="0"/>
                <w:sz w:val="24"/>
                <w:szCs w:val="24"/>
              </w:rPr>
            </w:pPr>
            <w:r>
              <w:rPr>
                <w:sz w:val="24"/>
                <w:szCs w:val="24"/>
              </w:rPr>
              <w:t>Lp=L</w:t>
            </w:r>
            <w:r>
              <w:rPr>
                <w:sz w:val="24"/>
                <w:szCs w:val="24"/>
                <w:vertAlign w:val="subscript"/>
              </w:rPr>
              <w:t>P0</w:t>
            </w:r>
            <w:r>
              <w:rPr>
                <w:sz w:val="24"/>
                <w:szCs w:val="24"/>
              </w:rPr>
              <w:t>-20Log（r/r</w:t>
            </w:r>
            <w:r>
              <w:rPr>
                <w:sz w:val="24"/>
                <w:szCs w:val="24"/>
                <w:vertAlign w:val="subscript"/>
              </w:rPr>
              <w:t>0</w:t>
            </w:r>
            <w:r>
              <w:rPr>
                <w:sz w:val="24"/>
                <w:szCs w:val="24"/>
              </w:rPr>
              <w:t>）</w:t>
            </w:r>
          </w:p>
          <w:p>
            <w:pPr>
              <w:pStyle w:val="29"/>
              <w:keepNext w:val="0"/>
              <w:keepLines w:val="0"/>
              <w:pageBreakBefore w:val="0"/>
              <w:widowControl w:val="0"/>
              <w:kinsoku/>
              <w:wordWrap/>
              <w:overflowPunct/>
              <w:topLinePunct w:val="0"/>
              <w:autoSpaceDE/>
              <w:autoSpaceDN/>
              <w:bidi w:val="0"/>
              <w:snapToGrid w:val="0"/>
              <w:spacing w:line="360" w:lineRule="auto"/>
              <w:ind w:left="0" w:right="0" w:firstLine="480" w:firstLineChars="200"/>
              <w:rPr>
                <w:sz w:val="24"/>
                <w:szCs w:val="24"/>
              </w:rPr>
            </w:pPr>
            <w:r>
              <w:rPr>
                <w:sz w:val="24"/>
                <w:szCs w:val="24"/>
              </w:rPr>
              <w:t>式中：L</w:t>
            </w:r>
            <w:r>
              <w:rPr>
                <w:sz w:val="24"/>
                <w:szCs w:val="24"/>
                <w:vertAlign w:val="subscript"/>
              </w:rPr>
              <w:t>p</w:t>
            </w:r>
            <w:r>
              <w:rPr>
                <w:sz w:val="24"/>
                <w:szCs w:val="24"/>
              </w:rPr>
              <w:t>——距声源r米处的施工噪声预测值[dB(A)]；</w:t>
            </w:r>
          </w:p>
          <w:p>
            <w:pPr>
              <w:pStyle w:val="29"/>
              <w:keepNext w:val="0"/>
              <w:keepLines w:val="0"/>
              <w:pageBreakBefore w:val="0"/>
              <w:widowControl w:val="0"/>
              <w:kinsoku/>
              <w:wordWrap/>
              <w:overflowPunct/>
              <w:topLinePunct w:val="0"/>
              <w:autoSpaceDE/>
              <w:autoSpaceDN/>
              <w:bidi w:val="0"/>
              <w:snapToGrid w:val="0"/>
              <w:spacing w:line="360" w:lineRule="auto"/>
              <w:ind w:left="0" w:right="0" w:firstLine="1200" w:firstLineChars="500"/>
              <w:rPr>
                <w:sz w:val="24"/>
                <w:szCs w:val="24"/>
              </w:rPr>
            </w:pPr>
            <w:r>
              <w:rPr>
                <w:sz w:val="24"/>
                <w:szCs w:val="24"/>
              </w:rPr>
              <w:t>L</w:t>
            </w:r>
            <w:r>
              <w:rPr>
                <w:sz w:val="24"/>
                <w:szCs w:val="24"/>
                <w:vertAlign w:val="subscript"/>
              </w:rPr>
              <w:t>P0</w:t>
            </w:r>
            <w:r>
              <w:rPr>
                <w:sz w:val="24"/>
                <w:szCs w:val="24"/>
              </w:rPr>
              <w:t>——距声源r</w:t>
            </w:r>
            <w:r>
              <w:rPr>
                <w:sz w:val="24"/>
                <w:szCs w:val="24"/>
                <w:vertAlign w:val="subscript"/>
              </w:rPr>
              <w:t>0</w:t>
            </w:r>
            <w:r>
              <w:rPr>
                <w:sz w:val="24"/>
                <w:szCs w:val="24"/>
              </w:rPr>
              <w:t>米处的参考声级[dB(A)]。</w:t>
            </w:r>
          </w:p>
          <w:p>
            <w:pPr>
              <w:snapToGrid/>
              <w:spacing w:line="360" w:lineRule="auto"/>
              <w:ind w:firstLine="480" w:firstLineChars="200"/>
              <w:jc w:val="left"/>
              <w:rPr>
                <w:rFonts w:hint="default" w:ascii="Times New Roman" w:hAnsi="Times New Roman" w:eastAsia="黑体" w:cs="Times New Roman"/>
                <w:b w:val="0"/>
                <w:bCs/>
                <w:sz w:val="24"/>
                <w:szCs w:val="24"/>
              </w:rPr>
            </w:pPr>
            <w:r>
              <w:rPr>
                <w:sz w:val="24"/>
                <w:szCs w:val="24"/>
              </w:rPr>
              <w:t>计算出各类施工设施在不同距离处的噪声值见表</w:t>
            </w:r>
            <w:r>
              <w:rPr>
                <w:rFonts w:hint="eastAsia"/>
                <w:sz w:val="24"/>
                <w:szCs w:val="24"/>
                <w:lang w:val="en-US" w:eastAsia="zh-CN"/>
              </w:rPr>
              <w:t>7-1</w:t>
            </w:r>
            <w:r>
              <w:rPr>
                <w:sz w:val="24"/>
                <w:szCs w:val="24"/>
              </w:rPr>
              <w:t>。</w:t>
            </w:r>
          </w:p>
          <w:p>
            <w:pPr>
              <w:snapToGrid w:val="0"/>
              <w:spacing w:line="360" w:lineRule="auto"/>
              <w:jc w:val="center"/>
              <w:rPr>
                <w:rFonts w:hint="default" w:ascii="Times New Roman" w:hAnsi="Times New Roman" w:eastAsia="黑体" w:cs="Times New Roman"/>
                <w:b w:val="0"/>
                <w:bCs/>
                <w:sz w:val="24"/>
                <w:szCs w:val="24"/>
              </w:rPr>
            </w:pPr>
            <w:r>
              <w:rPr>
                <w:rFonts w:hint="default" w:ascii="Times New Roman" w:hAnsi="Times New Roman" w:eastAsia="黑体" w:cs="Times New Roman"/>
                <w:b w:val="0"/>
                <w:bCs/>
                <w:sz w:val="24"/>
                <w:szCs w:val="24"/>
              </w:rPr>
              <w:t>表</w:t>
            </w:r>
            <w:r>
              <w:rPr>
                <w:rFonts w:hint="eastAsia" w:ascii="Times New Roman" w:hAnsi="Times New Roman" w:eastAsia="黑体" w:cs="Times New Roman"/>
                <w:b w:val="0"/>
                <w:bCs/>
                <w:sz w:val="24"/>
                <w:szCs w:val="24"/>
                <w:lang w:val="en-US" w:eastAsia="zh-CN"/>
              </w:rPr>
              <w:t xml:space="preserve">7-1  </w:t>
            </w:r>
            <w:r>
              <w:rPr>
                <w:rFonts w:hint="default" w:ascii="Times New Roman" w:hAnsi="Times New Roman" w:eastAsia="黑体" w:cs="Times New Roman"/>
                <w:b w:val="0"/>
                <w:bCs/>
                <w:sz w:val="24"/>
                <w:szCs w:val="24"/>
              </w:rPr>
              <w:t xml:space="preserve">  施工机械设备在不同距离处的噪声值</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2"/>
              <w:gridCol w:w="2272"/>
              <w:gridCol w:w="864"/>
              <w:gridCol w:w="867"/>
              <w:gridCol w:w="865"/>
              <w:gridCol w:w="867"/>
              <w:gridCol w:w="866"/>
              <w:gridCol w:w="867"/>
              <w:gridCol w:w="8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2" w:type="dxa"/>
                  <w:vMerge w:val="restart"/>
                  <w:tcBorders>
                    <w:tl2br w:val="nil"/>
                    <w:tr2bl w:val="nil"/>
                  </w:tcBorders>
                  <w:noWrap w:val="0"/>
                  <w:vAlign w:val="center"/>
                </w:tcPr>
                <w:p>
                  <w:pPr>
                    <w:spacing w:line="240" w:lineRule="auto"/>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2272" w:type="dxa"/>
                  <w:vMerge w:val="restart"/>
                  <w:tcBorders>
                    <w:tl2br w:val="nil"/>
                    <w:tr2bl w:val="nil"/>
                  </w:tcBorders>
                  <w:noWrap w:val="0"/>
                  <w:vAlign w:val="center"/>
                </w:tcPr>
                <w:p>
                  <w:pPr>
                    <w:spacing w:line="240" w:lineRule="auto"/>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机械类型</w:t>
                  </w:r>
                </w:p>
              </w:tc>
              <w:tc>
                <w:tcPr>
                  <w:tcW w:w="6061" w:type="dxa"/>
                  <w:gridSpan w:val="7"/>
                  <w:tcBorders>
                    <w:tl2br w:val="nil"/>
                    <w:tr2bl w:val="nil"/>
                  </w:tcBorders>
                  <w:noWrap w:val="0"/>
                  <w:vAlign w:val="center"/>
                </w:tcPr>
                <w:p>
                  <w:pPr>
                    <w:spacing w:line="240" w:lineRule="auto"/>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距声源不同距离的噪声预测值dB（A）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pPr>
                    <w:spacing w:line="240" w:lineRule="auto"/>
                    <w:contextualSpacing/>
                    <w:jc w:val="center"/>
                    <w:rPr>
                      <w:rFonts w:hint="default" w:ascii="Times New Roman" w:hAnsi="Times New Roman" w:cs="Times New Roman"/>
                      <w:sz w:val="21"/>
                      <w:szCs w:val="21"/>
                    </w:rPr>
                  </w:pPr>
                </w:p>
              </w:tc>
              <w:tc>
                <w:tcPr>
                  <w:tcW w:w="2272" w:type="dxa"/>
                  <w:vMerge w:val="continue"/>
                  <w:tcBorders>
                    <w:tl2br w:val="nil"/>
                    <w:tr2bl w:val="nil"/>
                  </w:tcBorders>
                  <w:noWrap w:val="0"/>
                  <w:vAlign w:val="center"/>
                </w:tcPr>
                <w:p>
                  <w:pPr>
                    <w:spacing w:line="240" w:lineRule="auto"/>
                    <w:contextualSpacing/>
                    <w:jc w:val="center"/>
                    <w:rPr>
                      <w:rFonts w:hint="default" w:ascii="Times New Roman" w:hAnsi="Times New Roman" w:cs="Times New Roman"/>
                      <w:sz w:val="21"/>
                      <w:szCs w:val="21"/>
                    </w:rPr>
                  </w:pPr>
                </w:p>
              </w:tc>
              <w:tc>
                <w:tcPr>
                  <w:tcW w:w="864" w:type="dxa"/>
                  <w:tcBorders>
                    <w:tl2br w:val="nil"/>
                    <w:tr2bl w:val="nil"/>
                  </w:tcBorders>
                  <w:noWrap w:val="0"/>
                  <w:vAlign w:val="center"/>
                </w:tcPr>
                <w:p>
                  <w:pPr>
                    <w:spacing w:line="240" w:lineRule="auto"/>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5m</w:t>
                  </w:r>
                </w:p>
              </w:tc>
              <w:tc>
                <w:tcPr>
                  <w:tcW w:w="867" w:type="dxa"/>
                  <w:tcBorders>
                    <w:tl2br w:val="nil"/>
                    <w:tr2bl w:val="nil"/>
                  </w:tcBorders>
                  <w:noWrap w:val="0"/>
                  <w:vAlign w:val="center"/>
                </w:tcPr>
                <w:p>
                  <w:pPr>
                    <w:spacing w:line="240" w:lineRule="auto"/>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10m</w:t>
                  </w:r>
                </w:p>
              </w:tc>
              <w:tc>
                <w:tcPr>
                  <w:tcW w:w="865" w:type="dxa"/>
                  <w:tcBorders>
                    <w:tl2br w:val="nil"/>
                    <w:tr2bl w:val="nil"/>
                  </w:tcBorders>
                  <w:noWrap w:val="0"/>
                  <w:vAlign w:val="center"/>
                </w:tcPr>
                <w:p>
                  <w:pPr>
                    <w:spacing w:line="240" w:lineRule="auto"/>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20m</w:t>
                  </w:r>
                </w:p>
              </w:tc>
              <w:tc>
                <w:tcPr>
                  <w:tcW w:w="867" w:type="dxa"/>
                  <w:tcBorders>
                    <w:tl2br w:val="nil"/>
                    <w:tr2bl w:val="nil"/>
                  </w:tcBorders>
                  <w:noWrap w:val="0"/>
                  <w:vAlign w:val="center"/>
                </w:tcPr>
                <w:p>
                  <w:pPr>
                    <w:spacing w:line="240" w:lineRule="auto"/>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50m</w:t>
                  </w:r>
                </w:p>
              </w:tc>
              <w:tc>
                <w:tcPr>
                  <w:tcW w:w="866" w:type="dxa"/>
                  <w:tcBorders>
                    <w:tl2br w:val="nil"/>
                    <w:tr2bl w:val="nil"/>
                  </w:tcBorders>
                  <w:noWrap w:val="0"/>
                  <w:vAlign w:val="center"/>
                </w:tcPr>
                <w:p>
                  <w:pPr>
                    <w:spacing w:line="240" w:lineRule="auto"/>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100m</w:t>
                  </w:r>
                </w:p>
              </w:tc>
              <w:tc>
                <w:tcPr>
                  <w:tcW w:w="867" w:type="dxa"/>
                  <w:tcBorders>
                    <w:tl2br w:val="nil"/>
                    <w:tr2bl w:val="nil"/>
                  </w:tcBorders>
                  <w:noWrap w:val="0"/>
                  <w:vAlign w:val="center"/>
                </w:tcPr>
                <w:p>
                  <w:pPr>
                    <w:spacing w:line="240" w:lineRule="auto"/>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150m</w:t>
                  </w:r>
                </w:p>
              </w:tc>
              <w:tc>
                <w:tcPr>
                  <w:tcW w:w="865" w:type="dxa"/>
                  <w:tcBorders>
                    <w:tl2br w:val="nil"/>
                    <w:tr2bl w:val="nil"/>
                  </w:tcBorders>
                  <w:noWrap w:val="0"/>
                  <w:vAlign w:val="center"/>
                </w:tcPr>
                <w:p>
                  <w:pPr>
                    <w:spacing w:line="240" w:lineRule="auto"/>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200m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2" w:type="dxa"/>
                  <w:tcBorders>
                    <w:tl2br w:val="nil"/>
                    <w:tr2bl w:val="nil"/>
                  </w:tcBorders>
                  <w:noWrap w:val="0"/>
                  <w:vAlign w:val="center"/>
                </w:tcPr>
                <w:p>
                  <w:pPr>
                    <w:spacing w:line="240" w:lineRule="auto"/>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272" w:type="dxa"/>
                  <w:tcBorders>
                    <w:tl2br w:val="nil"/>
                    <w:tr2bl w:val="nil"/>
                  </w:tcBorders>
                  <w:noWrap w:val="0"/>
                  <w:vAlign w:val="center"/>
                </w:tcPr>
                <w:p>
                  <w:pPr>
                    <w:spacing w:line="240" w:lineRule="exact"/>
                    <w:jc w:val="center"/>
                    <w:rPr>
                      <w:rFonts w:hint="eastAsia" w:ascii="Times New Roman" w:hAnsi="Times New Roman" w:eastAsia="宋体" w:cs="Times New Roman"/>
                      <w:sz w:val="21"/>
                      <w:szCs w:val="21"/>
                      <w:lang w:eastAsia="zh-CN"/>
                    </w:rPr>
                  </w:pPr>
                  <w:r>
                    <w:rPr>
                      <w:rFonts w:hint="eastAsia"/>
                      <w:sz w:val="21"/>
                      <w:szCs w:val="21"/>
                      <w:lang w:eastAsia="zh-CN"/>
                    </w:rPr>
                    <w:t>液压</w:t>
                  </w:r>
                  <w:r>
                    <w:rPr>
                      <w:sz w:val="21"/>
                      <w:szCs w:val="21"/>
                    </w:rPr>
                    <w:t>挖掘机</w:t>
                  </w:r>
                </w:p>
              </w:tc>
              <w:tc>
                <w:tcPr>
                  <w:tcW w:w="8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77</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71</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65</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57</w:t>
                  </w:r>
                </w:p>
              </w:tc>
              <w:tc>
                <w:tcPr>
                  <w:tcW w:w="8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51</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47</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2" w:type="dxa"/>
                  <w:tcBorders>
                    <w:tl2br w:val="nil"/>
                    <w:tr2bl w:val="nil"/>
                  </w:tcBorders>
                  <w:noWrap w:val="0"/>
                  <w:vAlign w:val="center"/>
                </w:tcPr>
                <w:p>
                  <w:pPr>
                    <w:spacing w:line="240" w:lineRule="auto"/>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272" w:type="dxa"/>
                  <w:tcBorders>
                    <w:tl2br w:val="nil"/>
                    <w:tr2bl w:val="nil"/>
                  </w:tcBorders>
                  <w:noWrap w:val="0"/>
                  <w:vAlign w:val="center"/>
                </w:tcPr>
                <w:p>
                  <w:pPr>
                    <w:spacing w:line="240" w:lineRule="exact"/>
                    <w:jc w:val="center"/>
                    <w:rPr>
                      <w:rFonts w:hint="default" w:ascii="Times New Roman" w:hAnsi="Times New Roman" w:cs="Times New Roman"/>
                      <w:sz w:val="21"/>
                      <w:szCs w:val="21"/>
                    </w:rPr>
                  </w:pPr>
                  <w:r>
                    <w:rPr>
                      <w:rFonts w:hint="eastAsia"/>
                      <w:sz w:val="21"/>
                      <w:szCs w:val="21"/>
                      <w:lang w:eastAsia="zh-CN"/>
                    </w:rPr>
                    <w:t>液压松土机</w:t>
                  </w:r>
                </w:p>
              </w:tc>
              <w:tc>
                <w:tcPr>
                  <w:tcW w:w="8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71</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65</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59</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51</w:t>
                  </w:r>
                </w:p>
              </w:tc>
              <w:tc>
                <w:tcPr>
                  <w:tcW w:w="8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45</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41</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2" w:type="dxa"/>
                  <w:tcBorders>
                    <w:tl2br w:val="nil"/>
                    <w:tr2bl w:val="nil"/>
                  </w:tcBorders>
                  <w:noWrap w:val="0"/>
                  <w:vAlign w:val="center"/>
                </w:tcPr>
                <w:p>
                  <w:pPr>
                    <w:spacing w:line="240" w:lineRule="auto"/>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272" w:type="dxa"/>
                  <w:tcBorders>
                    <w:tl2br w:val="nil"/>
                    <w:tr2bl w:val="nil"/>
                  </w:tcBorders>
                  <w:noWrap w:val="0"/>
                  <w:vAlign w:val="center"/>
                </w:tcPr>
                <w:p>
                  <w:pPr>
                    <w:spacing w:line="240" w:lineRule="exact"/>
                    <w:jc w:val="center"/>
                    <w:rPr>
                      <w:rFonts w:hint="default" w:ascii="Times New Roman" w:hAnsi="Times New Roman" w:cs="Times New Roman"/>
                      <w:sz w:val="21"/>
                      <w:szCs w:val="21"/>
                    </w:rPr>
                  </w:pPr>
                  <w:r>
                    <w:rPr>
                      <w:rFonts w:hint="eastAsia"/>
                      <w:sz w:val="21"/>
                      <w:szCs w:val="21"/>
                      <w:lang w:eastAsia="zh-CN"/>
                    </w:rPr>
                    <w:t>轮式装载机</w:t>
                  </w:r>
                </w:p>
              </w:tc>
              <w:tc>
                <w:tcPr>
                  <w:tcW w:w="8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68</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62</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56</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48</w:t>
                  </w:r>
                </w:p>
              </w:tc>
              <w:tc>
                <w:tcPr>
                  <w:tcW w:w="8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42</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38</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2" w:type="dxa"/>
                  <w:tcBorders>
                    <w:tl2br w:val="nil"/>
                    <w:tr2bl w:val="nil"/>
                  </w:tcBorders>
                  <w:noWrap w:val="0"/>
                  <w:vAlign w:val="center"/>
                </w:tcPr>
                <w:p>
                  <w:pPr>
                    <w:spacing w:line="240" w:lineRule="auto"/>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272" w:type="dxa"/>
                  <w:tcBorders>
                    <w:tl2br w:val="nil"/>
                    <w:tr2bl w:val="nil"/>
                  </w:tcBorders>
                  <w:noWrap w:val="0"/>
                  <w:vAlign w:val="center"/>
                </w:tcPr>
                <w:p>
                  <w:pPr>
                    <w:spacing w:line="240" w:lineRule="exact"/>
                    <w:jc w:val="center"/>
                    <w:rPr>
                      <w:rFonts w:hint="default" w:ascii="Times New Roman" w:hAnsi="Times New Roman" w:cs="Times New Roman"/>
                      <w:sz w:val="21"/>
                      <w:szCs w:val="21"/>
                    </w:rPr>
                  </w:pPr>
                  <w:r>
                    <w:rPr>
                      <w:rFonts w:hint="eastAsia"/>
                      <w:sz w:val="21"/>
                      <w:szCs w:val="21"/>
                      <w:lang w:eastAsia="zh-CN"/>
                    </w:rPr>
                    <w:t>平路机</w:t>
                  </w:r>
                </w:p>
              </w:tc>
              <w:tc>
                <w:tcPr>
                  <w:tcW w:w="8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77</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71</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65</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57</w:t>
                  </w:r>
                </w:p>
              </w:tc>
              <w:tc>
                <w:tcPr>
                  <w:tcW w:w="8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51</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47</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2" w:type="dxa"/>
                  <w:tcBorders>
                    <w:tl2br w:val="nil"/>
                    <w:tr2bl w:val="nil"/>
                  </w:tcBorders>
                  <w:noWrap w:val="0"/>
                  <w:vAlign w:val="center"/>
                </w:tcPr>
                <w:p>
                  <w:pPr>
                    <w:spacing w:line="240" w:lineRule="auto"/>
                    <w:contextualSpacing/>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c>
                <w:tcPr>
                  <w:tcW w:w="2272" w:type="dxa"/>
                  <w:tcBorders>
                    <w:tl2br w:val="nil"/>
                    <w:tr2bl w:val="nil"/>
                  </w:tcBorders>
                  <w:noWrap w:val="0"/>
                  <w:vAlign w:val="center"/>
                </w:tcPr>
                <w:p>
                  <w:pPr>
                    <w:spacing w:line="240" w:lineRule="exact"/>
                    <w:jc w:val="center"/>
                    <w:rPr>
                      <w:rFonts w:hint="default" w:ascii="Times New Roman" w:hAnsi="Times New Roman" w:cs="Times New Roman"/>
                      <w:sz w:val="21"/>
                      <w:szCs w:val="21"/>
                    </w:rPr>
                  </w:pPr>
                  <w:r>
                    <w:rPr>
                      <w:rFonts w:hint="eastAsia"/>
                      <w:sz w:val="21"/>
                      <w:szCs w:val="21"/>
                      <w:lang w:eastAsia="zh-CN"/>
                    </w:rPr>
                    <w:t>自卸卡车</w:t>
                  </w:r>
                </w:p>
              </w:tc>
              <w:tc>
                <w:tcPr>
                  <w:tcW w:w="8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71</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65</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59</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51</w:t>
                  </w:r>
                </w:p>
              </w:tc>
              <w:tc>
                <w:tcPr>
                  <w:tcW w:w="8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45</w:t>
                  </w:r>
                </w:p>
              </w:tc>
              <w:tc>
                <w:tcPr>
                  <w:tcW w:w="8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41</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39</w:t>
                  </w:r>
                </w:p>
              </w:tc>
            </w:tr>
          </w:tbl>
          <w:p>
            <w:pPr>
              <w:pStyle w:val="29"/>
              <w:keepNext w:val="0"/>
              <w:keepLines w:val="0"/>
              <w:pageBreakBefore w:val="0"/>
              <w:widowControl w:val="0"/>
              <w:kinsoku/>
              <w:wordWrap/>
              <w:overflowPunct/>
              <w:topLinePunct w:val="0"/>
              <w:autoSpaceDE/>
              <w:autoSpaceDN/>
              <w:bidi w:val="0"/>
              <w:snapToGrid w:val="0"/>
              <w:spacing w:line="360" w:lineRule="auto"/>
              <w:ind w:left="0" w:leftChars="0" w:right="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由上表可知，本项目施工机械产生的噪声在50m处为</w:t>
            </w:r>
            <w:r>
              <w:rPr>
                <w:rFonts w:hint="eastAsia" w:ascii="Times New Roman" w:hAnsi="Times New Roman" w:cs="Times New Roman"/>
                <w:sz w:val="24"/>
                <w:szCs w:val="24"/>
                <w:lang w:val="en-US" w:eastAsia="zh-CN"/>
              </w:rPr>
              <w:t>36</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61</w:t>
            </w:r>
            <w:r>
              <w:rPr>
                <w:rFonts w:hint="default" w:ascii="Times New Roman" w:hAnsi="Times New Roman" w:cs="Times New Roman"/>
                <w:sz w:val="24"/>
                <w:szCs w:val="24"/>
                <w:lang w:val="en-US" w:eastAsia="zh-CN"/>
              </w:rPr>
              <w:t>B(A)之间，50m范围内满足《建筑施工场界环境噪声排放标准》(GB12523-2011)。工程只在白天施工，而且施工期较短，工程运营期不会对敏感目标产生影响。</w:t>
            </w:r>
          </w:p>
          <w:p>
            <w:pPr>
              <w:pStyle w:val="29"/>
              <w:keepNext w:val="0"/>
              <w:keepLines w:val="0"/>
              <w:pageBreakBefore w:val="0"/>
              <w:widowControl w:val="0"/>
              <w:kinsoku/>
              <w:wordWrap/>
              <w:overflowPunct/>
              <w:topLinePunct w:val="0"/>
              <w:autoSpaceDE/>
              <w:autoSpaceDN/>
              <w:bidi w:val="0"/>
              <w:snapToGrid w:val="0"/>
              <w:spacing w:line="360" w:lineRule="auto"/>
              <w:ind w:left="0" w:leftChars="0" w:right="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本项目仅在白天施工，为了进一步减轻本工程施工期噪声的环境影响，可采取以下控制措施：</w:t>
            </w:r>
          </w:p>
          <w:p>
            <w:pPr>
              <w:keepNext w:val="0"/>
              <w:keepLines w:val="0"/>
              <w:pageBreakBefore w:val="0"/>
              <w:widowControl w:val="0"/>
              <w:kinsoku/>
              <w:wordWrap/>
              <w:overflowPunct/>
              <w:topLinePunct w:val="0"/>
              <w:autoSpaceDE/>
              <w:autoSpaceDN/>
              <w:bidi w:val="0"/>
              <w:spacing w:line="360" w:lineRule="auto"/>
              <w:ind w:left="0" w:leftChars="0"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①加强施工管理，合理安排施工作业时间，禁止夜间进行高噪声施工作业，严禁晚间22：00-6：00时段施工。</w:t>
            </w:r>
          </w:p>
          <w:p>
            <w:pPr>
              <w:keepNext w:val="0"/>
              <w:keepLines w:val="0"/>
              <w:pageBreakBefore w:val="0"/>
              <w:widowControl w:val="0"/>
              <w:kinsoku/>
              <w:wordWrap/>
              <w:overflowPunct/>
              <w:topLinePunct w:val="0"/>
              <w:autoSpaceDE/>
              <w:autoSpaceDN/>
              <w:bidi w:val="0"/>
              <w:spacing w:line="360" w:lineRule="auto"/>
              <w:ind w:left="0" w:leftChars="0"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②降低施工设备噪声：尽量采用低噪声设备；对动力机械、设备加强定期检修、养护。</w:t>
            </w:r>
          </w:p>
          <w:p>
            <w:pPr>
              <w:keepNext w:val="0"/>
              <w:keepLines w:val="0"/>
              <w:pageBreakBefore w:val="0"/>
              <w:widowControl w:val="0"/>
              <w:kinsoku/>
              <w:wordWrap/>
              <w:overflowPunct/>
              <w:topLinePunct w:val="0"/>
              <w:autoSpaceDE/>
              <w:autoSpaceDN/>
              <w:bidi w:val="0"/>
              <w:spacing w:line="360" w:lineRule="auto"/>
              <w:ind w:left="0" w:leftChars="0"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③降低人为噪声：按规定操作机械设备，模板、支架装卸过程中，尽量减少碰撞声音；尽量少用哨子、笛等指挥作业。</w:t>
            </w:r>
          </w:p>
          <w:p>
            <w:pPr>
              <w:pStyle w:val="16"/>
              <w:keepNext w:val="0"/>
              <w:keepLines w:val="0"/>
              <w:pageBreakBefore w:val="0"/>
              <w:widowControl w:val="0"/>
              <w:kinsoku/>
              <w:wordWrap/>
              <w:overflowPunct/>
              <w:topLinePunct w:val="0"/>
              <w:autoSpaceDE/>
              <w:autoSpaceDN/>
              <w:bidi w:val="0"/>
              <w:spacing w:after="0" w:line="360" w:lineRule="auto"/>
              <w:ind w:left="0" w:leftChars="0" w:right="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④控制汽车鸣笛。</w:t>
            </w:r>
          </w:p>
          <w:p>
            <w:pPr>
              <w:pStyle w:val="16"/>
              <w:keepNext w:val="0"/>
              <w:keepLines w:val="0"/>
              <w:pageBreakBefore w:val="0"/>
              <w:widowControl w:val="0"/>
              <w:kinsoku/>
              <w:wordWrap/>
              <w:overflowPunct/>
              <w:topLinePunct w:val="0"/>
              <w:autoSpaceDE/>
              <w:autoSpaceDN/>
              <w:bidi w:val="0"/>
              <w:spacing w:after="0" w:line="360" w:lineRule="auto"/>
              <w:ind w:left="0" w:leftChars="0" w:right="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⑤如果确须夜间施工，须到环保部门办理夜间施工审批手续并告知附近居民。</w:t>
            </w:r>
          </w:p>
          <w:p>
            <w:pPr>
              <w:keepNext w:val="0"/>
              <w:keepLines w:val="0"/>
              <w:pageBreakBefore w:val="0"/>
              <w:widowControl w:val="0"/>
              <w:kinsoku/>
              <w:wordWrap/>
              <w:overflowPunct/>
              <w:topLinePunct w:val="0"/>
              <w:autoSpaceDE/>
              <w:autoSpaceDN/>
              <w:bidi w:val="0"/>
              <w:spacing w:line="360" w:lineRule="auto"/>
              <w:ind w:left="0" w:leftChars="0" w:right="0" w:firstLine="480" w:firstLineChars="200"/>
              <w:rPr>
                <w:rFonts w:hint="default" w:ascii="Times New Roman" w:hAnsi="Times New Roman" w:eastAsia="宋体" w:cs="Times New Roman"/>
                <w:kern w:val="0"/>
                <w:sz w:val="24"/>
                <w:szCs w:val="24"/>
                <w:lang w:eastAsia="zh-CN"/>
              </w:rPr>
            </w:pPr>
            <w:r>
              <w:rPr>
                <w:rFonts w:hint="default" w:ascii="Times New Roman" w:hAnsi="Times New Roman" w:cs="Times New Roman"/>
                <w:sz w:val="24"/>
                <w:szCs w:val="24"/>
              </w:rPr>
              <w:t>综上所述，本项目施工期噪声对周边环境影响较小</w:t>
            </w:r>
            <w:r>
              <w:rPr>
                <w:rFonts w:hint="default" w:ascii="Times New Roman" w:hAnsi="Times New Roman" w:cs="Times New Roman"/>
                <w:kern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黑体" w:cs="Times New Roman"/>
                <w:b w:val="0"/>
                <w:bCs w:val="0"/>
                <w:sz w:val="24"/>
                <w:lang w:val="en-US" w:eastAsia="zh-CN"/>
              </w:rPr>
            </w:pPr>
            <w:r>
              <w:rPr>
                <w:rFonts w:hint="eastAsia" w:eastAsia="黑体" w:cs="Times New Roman"/>
                <w:b w:val="0"/>
                <w:bCs w:val="0"/>
                <w:sz w:val="24"/>
                <w:lang w:val="en-US" w:eastAsia="zh-CN"/>
              </w:rPr>
              <w:t>5</w:t>
            </w:r>
            <w:r>
              <w:rPr>
                <w:rFonts w:hint="default" w:ascii="Times New Roman" w:hAnsi="Times New Roman" w:eastAsia="黑体" w:cs="Times New Roman"/>
                <w:b w:val="0"/>
                <w:bCs w:val="0"/>
                <w:sz w:val="24"/>
                <w:lang w:val="en-US" w:eastAsia="zh-CN"/>
              </w:rPr>
              <w:t>、固体废物环境影响分析</w:t>
            </w:r>
          </w:p>
          <w:p>
            <w:pPr>
              <w:spacing w:line="360" w:lineRule="auto"/>
              <w:ind w:firstLine="480" w:firstLineChars="200"/>
              <w:rPr>
                <w:rFonts w:hint="eastAsia"/>
                <w:kern w:val="0"/>
                <w:sz w:val="24"/>
                <w:lang w:eastAsia="zh-CN"/>
              </w:rPr>
            </w:pPr>
            <w:r>
              <w:rPr>
                <w:rFonts w:hint="eastAsia"/>
                <w:kern w:val="0"/>
                <w:sz w:val="24"/>
                <w:lang w:eastAsia="zh-CN"/>
              </w:rPr>
              <w:t>施工期固废主要来自于施工人员产生的生活垃圾及废弃土石方。</w:t>
            </w:r>
          </w:p>
          <w:p>
            <w:pPr>
              <w:spacing w:line="360" w:lineRule="auto"/>
              <w:ind w:firstLine="480" w:firstLineChars="200"/>
              <w:rPr>
                <w:rFonts w:hint="eastAsia"/>
                <w:kern w:val="0"/>
                <w:sz w:val="24"/>
                <w:lang w:eastAsia="zh-CN"/>
              </w:rPr>
            </w:pPr>
            <w:r>
              <w:rPr>
                <w:rFonts w:hint="eastAsia"/>
                <w:kern w:val="0"/>
                <w:sz w:val="24"/>
                <w:lang w:eastAsia="zh-CN"/>
              </w:rPr>
              <w:t>项目施工高峰期施工人员约为</w:t>
            </w:r>
            <w:r>
              <w:rPr>
                <w:rFonts w:hint="eastAsia"/>
                <w:kern w:val="0"/>
                <w:sz w:val="24"/>
                <w:lang w:val="en-US" w:eastAsia="zh-CN"/>
              </w:rPr>
              <w:t>40</w:t>
            </w:r>
            <w:r>
              <w:rPr>
                <w:rFonts w:hint="eastAsia"/>
                <w:kern w:val="0"/>
                <w:sz w:val="24"/>
                <w:lang w:eastAsia="zh-CN"/>
              </w:rPr>
              <w:t>人，生活垃圾量按0.5kg/人·d计，生活垃圾产生量约为</w:t>
            </w:r>
            <w:r>
              <w:rPr>
                <w:rFonts w:hint="eastAsia"/>
                <w:kern w:val="0"/>
                <w:sz w:val="24"/>
                <w:lang w:val="en-US" w:eastAsia="zh-CN"/>
              </w:rPr>
              <w:t>20</w:t>
            </w:r>
            <w:r>
              <w:rPr>
                <w:rFonts w:hint="eastAsia"/>
                <w:kern w:val="0"/>
                <w:sz w:val="24"/>
                <w:lang w:eastAsia="zh-CN"/>
              </w:rPr>
              <w:t>kg/d，施工累计时间</w:t>
            </w:r>
            <w:r>
              <w:rPr>
                <w:rFonts w:hint="eastAsia"/>
                <w:kern w:val="0"/>
                <w:sz w:val="24"/>
                <w:lang w:val="en-US" w:eastAsia="zh-CN"/>
              </w:rPr>
              <w:t>120</w:t>
            </w:r>
            <w:r>
              <w:rPr>
                <w:rFonts w:hint="eastAsia"/>
                <w:kern w:val="0"/>
                <w:sz w:val="24"/>
                <w:lang w:eastAsia="zh-CN"/>
              </w:rPr>
              <w:t>天，施工期生活垃圾排放量约</w:t>
            </w:r>
            <w:r>
              <w:rPr>
                <w:rFonts w:hint="eastAsia"/>
                <w:kern w:val="0"/>
                <w:sz w:val="24"/>
                <w:lang w:val="en-US" w:eastAsia="zh-CN"/>
              </w:rPr>
              <w:t>2.4</w:t>
            </w:r>
            <w:r>
              <w:rPr>
                <w:rFonts w:hint="eastAsia"/>
                <w:kern w:val="0"/>
                <w:sz w:val="24"/>
                <w:lang w:eastAsia="zh-CN"/>
              </w:rPr>
              <w:t>t。生活垃圾收集后交由环卫部门处置。</w:t>
            </w:r>
          </w:p>
          <w:p>
            <w:pPr>
              <w:adjustRightInd w:val="0"/>
              <w:spacing w:line="360" w:lineRule="auto"/>
              <w:ind w:firstLine="480"/>
              <w:rPr>
                <w:rFonts w:hint="eastAsia"/>
                <w:sz w:val="24"/>
                <w:highlight w:val="none"/>
                <w:lang w:val="en-US" w:eastAsia="zh-CN"/>
              </w:rPr>
            </w:pPr>
            <w:r>
              <w:rPr>
                <w:rFonts w:hint="eastAsia"/>
                <w:sz w:val="24"/>
                <w:highlight w:val="none"/>
                <w:lang w:val="en-US" w:eastAsia="zh-CN"/>
              </w:rPr>
              <w:t>本项目废弃土石方产生量为</w:t>
            </w:r>
            <w:r>
              <w:rPr>
                <w:rFonts w:hint="eastAsia" w:cs="Times New Roman"/>
                <w:bCs w:val="0"/>
                <w:i w:val="0"/>
                <w:color w:val="auto"/>
                <w:kern w:val="2"/>
                <w:sz w:val="24"/>
                <w:szCs w:val="24"/>
                <w:highlight w:val="none"/>
                <w:u w:val="none"/>
                <w:lang w:val="en-US" w:eastAsia="zh-CN" w:bidi="ar"/>
              </w:rPr>
              <w:t>91545.75</w:t>
            </w:r>
            <w:r>
              <w:rPr>
                <w:rFonts w:hint="eastAsia"/>
                <w:sz w:val="24"/>
                <w:highlight w:val="none"/>
                <w:lang w:val="en-US" w:eastAsia="zh-CN"/>
              </w:rPr>
              <w:t>m</w:t>
            </w:r>
            <w:r>
              <w:rPr>
                <w:rFonts w:hint="eastAsia"/>
                <w:sz w:val="24"/>
                <w:highlight w:val="none"/>
                <w:vertAlign w:val="superscript"/>
                <w:lang w:val="en-US" w:eastAsia="zh-CN"/>
              </w:rPr>
              <w:t>3</w:t>
            </w:r>
            <w:r>
              <w:rPr>
                <w:rFonts w:hint="eastAsia"/>
                <w:sz w:val="24"/>
                <w:highlight w:val="none"/>
                <w:lang w:val="en-US" w:eastAsia="zh-CN"/>
              </w:rPr>
              <w:t>，用于场地平整回填，不得外运。</w:t>
            </w:r>
          </w:p>
          <w:p>
            <w:pPr>
              <w:spacing w:line="360" w:lineRule="auto"/>
              <w:ind w:firstLine="480" w:firstLineChars="200"/>
              <w:rPr>
                <w:rFonts w:hint="eastAsia" w:eastAsia="宋体"/>
                <w:kern w:val="0"/>
                <w:sz w:val="24"/>
                <w:lang w:eastAsia="zh-CN"/>
              </w:rPr>
            </w:pPr>
            <w:r>
              <w:rPr>
                <w:rFonts w:hint="eastAsia"/>
                <w:kern w:val="0"/>
                <w:sz w:val="24"/>
                <w:lang w:eastAsia="zh-CN"/>
              </w:rPr>
              <w:t>因此，项目在施工期间产生的各项固体废弃物均得到了有效的处置，不会对周围环境造成影响。</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textAlignment w:val="auto"/>
              <w:rPr>
                <w:rFonts w:hint="eastAsia" w:eastAsia="黑体" w:cs="Times New Roman"/>
                <w:b w:val="0"/>
                <w:bCs w:val="0"/>
                <w:sz w:val="24"/>
                <w:lang w:val="en-US" w:eastAsia="zh-CN"/>
              </w:rPr>
            </w:pPr>
            <w:r>
              <w:rPr>
                <w:rFonts w:hint="eastAsia" w:eastAsia="黑体" w:cs="Times New Roman"/>
                <w:b w:val="0"/>
                <w:bCs w:val="0"/>
                <w:sz w:val="24"/>
                <w:lang w:val="en-US" w:eastAsia="zh-CN"/>
              </w:rPr>
              <w:t>土壤环境影响分析</w:t>
            </w:r>
          </w:p>
          <w:p>
            <w:pPr>
              <w:spacing w:line="360" w:lineRule="auto"/>
              <w:ind w:firstLine="480" w:firstLineChars="200"/>
              <w:rPr>
                <w:rFonts w:hint="eastAsia" w:ascii="Times New Roman" w:hAnsi="Times New Roman" w:cs="Times New Roman"/>
                <w:kern w:val="0"/>
                <w:sz w:val="24"/>
                <w:lang w:val="en-US" w:eastAsia="zh-CN"/>
              </w:rPr>
            </w:pPr>
            <w:r>
              <w:rPr>
                <w:rFonts w:hint="default" w:ascii="Times New Roman" w:hAnsi="Times New Roman" w:cs="Times New Roman"/>
                <w:kern w:val="0"/>
                <w:sz w:val="24"/>
                <w:lang w:eastAsia="zh-CN"/>
              </w:rPr>
              <w:t>（一）评价等级确定</w:t>
            </w:r>
          </w:p>
          <w:p>
            <w:pPr>
              <w:spacing w:line="360" w:lineRule="auto"/>
              <w:ind w:firstLine="480" w:firstLineChars="200"/>
              <w:rPr>
                <w:rFonts w:hint="default" w:ascii="Times New Roman" w:hAnsi="Times New Roman" w:cs="Times New Roman"/>
                <w:kern w:val="0"/>
                <w:sz w:val="24"/>
                <w:lang w:eastAsia="zh-CN"/>
              </w:rPr>
            </w:pPr>
            <w:r>
              <w:rPr>
                <w:rFonts w:hint="default" w:ascii="Times New Roman" w:hAnsi="Times New Roman" w:cs="Times New Roman"/>
                <w:kern w:val="0"/>
                <w:sz w:val="24"/>
                <w:lang w:eastAsia="zh-CN"/>
              </w:rPr>
              <w:t>本项目主要进行</w:t>
            </w:r>
            <w:r>
              <w:rPr>
                <w:rFonts w:hint="eastAsia" w:ascii="Times New Roman" w:hAnsi="Times New Roman" w:cs="Times New Roman"/>
                <w:kern w:val="0"/>
                <w:sz w:val="24"/>
                <w:lang w:eastAsia="zh-CN"/>
              </w:rPr>
              <w:t>废弃矿山生态修复治理</w:t>
            </w:r>
            <w:r>
              <w:rPr>
                <w:rFonts w:hint="default" w:ascii="Times New Roman" w:hAnsi="Times New Roman" w:cs="Times New Roman"/>
                <w:kern w:val="0"/>
                <w:sz w:val="24"/>
                <w:lang w:eastAsia="zh-CN"/>
              </w:rPr>
              <w:t>，涉及土壤环境生态影响型。</w:t>
            </w:r>
          </w:p>
          <w:p>
            <w:pPr>
              <w:spacing w:line="360" w:lineRule="auto"/>
              <w:ind w:firstLine="480" w:firstLineChars="200"/>
              <w:rPr>
                <w:rFonts w:hint="eastAsia" w:ascii="Times New Roman" w:hAnsi="Times New Roman" w:cs="Times New Roman"/>
                <w:kern w:val="0"/>
                <w:sz w:val="24"/>
                <w:lang w:eastAsia="zh-CN"/>
              </w:rPr>
            </w:pPr>
            <w:r>
              <w:rPr>
                <w:rFonts w:hint="eastAsia" w:ascii="Times New Roman" w:hAnsi="Times New Roman" w:cs="Times New Roman"/>
                <w:kern w:val="0"/>
                <w:sz w:val="24"/>
                <w:lang w:eastAsia="zh-CN"/>
              </w:rPr>
              <w:t>①建设项目行业分类</w:t>
            </w:r>
          </w:p>
          <w:p>
            <w:pPr>
              <w:spacing w:line="360" w:lineRule="auto"/>
              <w:ind w:firstLine="480" w:firstLineChars="200"/>
              <w:rPr>
                <w:rFonts w:hint="eastAsia" w:ascii="Times New Roman" w:hAnsi="Times New Roman" w:cs="Times New Roman"/>
                <w:kern w:val="0"/>
                <w:sz w:val="24"/>
                <w:lang w:eastAsia="zh-CN"/>
              </w:rPr>
            </w:pPr>
            <w:r>
              <w:rPr>
                <w:rFonts w:hint="default" w:ascii="Times New Roman" w:hAnsi="Times New Roman" w:cs="Times New Roman"/>
                <w:sz w:val="24"/>
                <w:highlight w:val="none"/>
                <w:lang w:val="en-US" w:eastAsia="zh-CN"/>
              </w:rPr>
              <w:t>本</w:t>
            </w:r>
            <w:r>
              <w:rPr>
                <w:rFonts w:hint="default" w:ascii="Times New Roman" w:hAnsi="Times New Roman" w:cs="Times New Roman"/>
                <w:sz w:val="24"/>
                <w:highlight w:val="none"/>
              </w:rPr>
              <w:t>项目</w:t>
            </w:r>
            <w:r>
              <w:rPr>
                <w:rFonts w:hint="default"/>
                <w:sz w:val="24"/>
                <w:highlight w:val="none"/>
                <w:lang w:eastAsia="zh-CN"/>
              </w:rPr>
              <w:t>为废弃矿山生态修复治理工程</w:t>
            </w:r>
            <w:r>
              <w:rPr>
                <w:rFonts w:hint="eastAsia"/>
                <w:sz w:val="24"/>
                <w:highlight w:val="none"/>
                <w:lang w:eastAsia="zh-CN"/>
              </w:rPr>
              <w:t>，</w:t>
            </w:r>
            <w:r>
              <w:rPr>
                <w:rFonts w:hint="eastAsia" w:ascii="Times New Roman" w:hAnsi="Times New Roman" w:cs="Times New Roman"/>
                <w:kern w:val="0"/>
                <w:sz w:val="24"/>
                <w:lang w:eastAsia="zh-CN"/>
              </w:rPr>
              <w:t>根据</w:t>
            </w:r>
            <w:r>
              <w:rPr>
                <w:rFonts w:hint="default" w:ascii="Times New Roman" w:hAnsi="Times New Roman" w:cs="Times New Roman"/>
                <w:sz w:val="24"/>
                <w:highlight w:val="none"/>
              </w:rPr>
              <w:t>《建设项目环境影响评价分类管理名录》(</w:t>
            </w:r>
            <w:r>
              <w:rPr>
                <w:rFonts w:hint="eastAsia" w:cs="Times New Roman"/>
                <w:sz w:val="24"/>
                <w:highlight w:val="none"/>
                <w:lang w:val="en-US" w:eastAsia="zh-CN"/>
              </w:rPr>
              <w:t>2021年版</w:t>
            </w:r>
            <w:r>
              <w:rPr>
                <w:rFonts w:hint="default" w:ascii="Times New Roman" w:hAnsi="Times New Roman" w:cs="Times New Roman"/>
                <w:sz w:val="24"/>
                <w:highlight w:val="none"/>
              </w:rPr>
              <w:t>)</w:t>
            </w:r>
            <w:r>
              <w:rPr>
                <w:rFonts w:hint="eastAsia" w:cs="Times New Roman"/>
                <w:sz w:val="24"/>
                <w:highlight w:val="none"/>
                <w:lang w:eastAsia="zh-CN"/>
              </w:rPr>
              <w:t>及</w:t>
            </w:r>
            <w:r>
              <w:rPr>
                <w:rFonts w:hint="eastAsia" w:ascii="Times New Roman" w:hAnsi="Times New Roman" w:cs="Times New Roman"/>
                <w:kern w:val="0"/>
                <w:sz w:val="24"/>
                <w:lang w:eastAsia="zh-CN"/>
              </w:rPr>
              <w:t>《环境影响评价技术导则 土壤环境》(HJ964-2018)附录A</w:t>
            </w:r>
            <w:r>
              <w:rPr>
                <w:rFonts w:hint="eastAsia" w:cs="Times New Roman"/>
                <w:kern w:val="0"/>
                <w:sz w:val="24"/>
                <w:lang w:eastAsia="zh-CN"/>
              </w:rPr>
              <w:t>的判定结果</w:t>
            </w:r>
            <w:r>
              <w:rPr>
                <w:rFonts w:hint="eastAsia" w:ascii="Times New Roman" w:hAnsi="Times New Roman" w:cs="Times New Roman"/>
                <w:kern w:val="0"/>
                <w:sz w:val="24"/>
                <w:lang w:eastAsia="zh-CN"/>
              </w:rPr>
              <w:t>，</w:t>
            </w:r>
            <w:r>
              <w:rPr>
                <w:rFonts w:hint="eastAsia" w:cs="Times New Roman"/>
                <w:kern w:val="0"/>
                <w:sz w:val="24"/>
                <w:lang w:eastAsia="zh-CN"/>
              </w:rPr>
              <w:t>本项目</w:t>
            </w:r>
            <w:r>
              <w:rPr>
                <w:rFonts w:hint="eastAsia" w:ascii="Times New Roman" w:hAnsi="Times New Roman" w:cs="Times New Roman"/>
                <w:kern w:val="0"/>
                <w:sz w:val="24"/>
                <w:lang w:eastAsia="zh-CN"/>
              </w:rPr>
              <w:t>属于“采矿业-其他”，土壤环境影响评价类别为Ⅲ类。</w:t>
            </w:r>
          </w:p>
          <w:p>
            <w:pPr>
              <w:spacing w:line="360" w:lineRule="auto"/>
              <w:ind w:firstLine="480" w:firstLineChars="200"/>
              <w:rPr>
                <w:rFonts w:hint="eastAsia" w:ascii="Times New Roman" w:hAnsi="Times New Roman" w:cs="Times New Roman"/>
                <w:kern w:val="0"/>
                <w:sz w:val="24"/>
                <w:lang w:eastAsia="zh-CN"/>
              </w:rPr>
            </w:pPr>
            <w:r>
              <w:rPr>
                <w:rFonts w:hint="eastAsia" w:ascii="Times New Roman" w:hAnsi="Times New Roman" w:cs="Times New Roman"/>
                <w:kern w:val="0"/>
                <w:sz w:val="24"/>
                <w:lang w:eastAsia="zh-CN"/>
              </w:rPr>
              <w:t>②土壤环境敏感程度分级</w:t>
            </w:r>
          </w:p>
          <w:p>
            <w:pPr>
              <w:spacing w:line="360" w:lineRule="auto"/>
              <w:ind w:firstLine="480" w:firstLineChars="200"/>
              <w:rPr>
                <w:rFonts w:hint="eastAsia" w:ascii="Times New Roman" w:hAnsi="Times New Roman" w:cs="Times New Roman"/>
                <w:kern w:val="0"/>
                <w:sz w:val="24"/>
                <w:lang w:eastAsia="zh-CN"/>
              </w:rPr>
            </w:pPr>
            <w:r>
              <w:rPr>
                <w:rFonts w:hint="eastAsia" w:ascii="Times New Roman" w:hAnsi="Times New Roman" w:cs="Times New Roman"/>
                <w:kern w:val="0"/>
                <w:sz w:val="24"/>
                <w:lang w:eastAsia="zh-CN"/>
              </w:rPr>
              <w:t>建设项目所在地土壤环境敏感程度分为敏感、较敏感、不敏感，判别依据见表</w:t>
            </w:r>
            <w:r>
              <w:rPr>
                <w:rFonts w:hint="eastAsia" w:cs="Times New Roman"/>
                <w:kern w:val="0"/>
                <w:sz w:val="24"/>
                <w:lang w:val="en-US" w:eastAsia="zh-CN"/>
              </w:rPr>
              <w:t>7-2</w:t>
            </w:r>
            <w:r>
              <w:rPr>
                <w:rFonts w:hint="eastAsia" w:ascii="Times New Roman" w:hAnsi="Times New Roman" w:cs="Times New Roman"/>
                <w:kern w:val="0"/>
                <w:sz w:val="24"/>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outlineLvl w:val="0"/>
              <w:rPr>
                <w:rFonts w:hint="default" w:ascii="Times New Roman" w:hAnsi="Times New Roman" w:eastAsia="黑体" w:cs="Times New Roman"/>
                <w:b w:val="0"/>
                <w:bCs w:val="0"/>
                <w:kern w:val="0"/>
                <w:sz w:val="24"/>
                <w:szCs w:val="24"/>
              </w:rPr>
            </w:pPr>
            <w:r>
              <w:rPr>
                <w:rFonts w:hint="default" w:ascii="Times New Roman" w:hAnsi="Times New Roman" w:eastAsia="黑体" w:cs="Times New Roman"/>
                <w:b w:val="0"/>
                <w:bCs w:val="0"/>
                <w:kern w:val="0"/>
                <w:sz w:val="24"/>
                <w:szCs w:val="24"/>
              </w:rPr>
              <w:t>表</w:t>
            </w:r>
            <w:r>
              <w:rPr>
                <w:rFonts w:hint="default" w:ascii="Times New Roman" w:hAnsi="Times New Roman" w:eastAsia="黑体" w:cs="Times New Roman"/>
                <w:b w:val="0"/>
                <w:bCs w:val="0"/>
                <w:kern w:val="0"/>
                <w:sz w:val="24"/>
                <w:szCs w:val="24"/>
                <w:lang w:val="en-US" w:eastAsia="zh-CN"/>
              </w:rPr>
              <w:t>7-2</w:t>
            </w:r>
            <w:r>
              <w:rPr>
                <w:rFonts w:hint="default" w:ascii="Times New Roman" w:hAnsi="Times New Roman" w:eastAsia="黑体" w:cs="Times New Roman"/>
                <w:b w:val="0"/>
                <w:bCs w:val="0"/>
                <w:kern w:val="0"/>
                <w:sz w:val="24"/>
                <w:szCs w:val="24"/>
              </w:rPr>
              <w:t xml:space="preserve">    生态影响型敏感程度分级表</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81"/>
              <w:gridCol w:w="5261"/>
              <w:gridCol w:w="1420"/>
              <w:gridCol w:w="14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5" w:hRule="atLeast"/>
              </w:trPr>
              <w:tc>
                <w:tcPr>
                  <w:tcW w:w="54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敏感</w:t>
                  </w:r>
                </w:p>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程度</w:t>
                  </w:r>
                </w:p>
              </w:tc>
              <w:tc>
                <w:tcPr>
                  <w:tcW w:w="4459" w:type="pct"/>
                  <w:gridSpan w:val="3"/>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判别依据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4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p>
              </w:tc>
              <w:tc>
                <w:tcPr>
                  <w:tcW w:w="2900" w:type="pc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盐化</w:t>
                  </w: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酸化</w:t>
                  </w:r>
                </w:p>
              </w:tc>
              <w:tc>
                <w:tcPr>
                  <w:tcW w:w="776" w:type="pc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碱化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1" w:type="pc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敏感</w:t>
                  </w:r>
                </w:p>
              </w:tc>
              <w:tc>
                <w:tcPr>
                  <w:tcW w:w="2900" w:type="pc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建设项目所在地干燥度a＞2.5且常年地下水位平均埋深＜1.5m的地势平坦区域；或土壤含盐量＞4g/kg的区域</w:t>
                  </w: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pH≤4.5</w:t>
                  </w:r>
                </w:p>
              </w:tc>
              <w:tc>
                <w:tcPr>
                  <w:tcW w:w="776" w:type="pc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pH≥9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1" w:type="pc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较敏感</w:t>
                  </w:r>
                </w:p>
              </w:tc>
              <w:tc>
                <w:tcPr>
                  <w:tcW w:w="2900" w:type="pc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建设项目所在地干燥度＞2.5且常年地下水位平均埋深≥1.5m的，或1.8＜干燥度≤2.5且常年地下水位平均埋深＜1.8m的地势平坦区域；建设项目所在地干燥度＞2.5或常年地下水位平均埋深＜1.5m的平原区；或2g/kg＜土壤含盐量≤4g/kg的区域</w:t>
                  </w: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4.5＜pH≤5.5</w:t>
                  </w:r>
                </w:p>
              </w:tc>
              <w:tc>
                <w:tcPr>
                  <w:tcW w:w="776" w:type="pc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8.5＜pH≤9.0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41" w:type="pc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不敏感</w:t>
                  </w:r>
                </w:p>
              </w:tc>
              <w:tc>
                <w:tcPr>
                  <w:tcW w:w="2900" w:type="pct"/>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559" w:type="pct"/>
                  <w:gridSpan w:val="2"/>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5.5＜pH＜8.5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4"/>
                  <w:noWrap w:val="0"/>
                  <w:vAlign w:val="center"/>
                </w:tcPr>
                <w:p>
                  <w:pPr>
                    <w:keepNext w:val="0"/>
                    <w:keepLines w:val="0"/>
                    <w:pageBreakBefore w:val="0"/>
                    <w:kinsoku/>
                    <w:wordWrap/>
                    <w:overflowPunct/>
                    <w:topLinePunct w:val="0"/>
                    <w:autoSpaceDE/>
                    <w:autoSpaceDN/>
                    <w:bidi w:val="0"/>
                    <w:adjustRightInd w:val="0"/>
                    <w:snapToGrid w:val="0"/>
                    <w:spacing w:line="0" w:lineRule="atLeas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注：a是指采用E601观测的多年平均水面蒸发量与降水量的比值，即蒸降比值。</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w:t>
            </w:r>
            <w:r>
              <w:rPr>
                <w:rFonts w:hint="eastAsia" w:ascii="Times New Roman" w:hAnsi="Times New Roman" w:eastAsia="宋体" w:cs="Times New Roman"/>
                <w:kern w:val="0"/>
                <w:sz w:val="24"/>
                <w:szCs w:val="24"/>
                <w:lang w:eastAsia="zh-CN"/>
              </w:rPr>
              <w:t>红寺堡区</w:t>
            </w:r>
            <w:r>
              <w:rPr>
                <w:rFonts w:hint="eastAsia" w:ascii="Times New Roman" w:hAnsi="Times New Roman" w:eastAsia="宋体" w:cs="Times New Roman"/>
                <w:kern w:val="0"/>
                <w:sz w:val="24"/>
                <w:szCs w:val="24"/>
              </w:rPr>
              <w:t>气象站近20年气象资料，干燥度(蒸降比值)为</w:t>
            </w:r>
            <w:r>
              <w:rPr>
                <w:rFonts w:hint="eastAsia" w:ascii="Times New Roman" w:hAnsi="Times New Roman" w:eastAsia="宋体" w:cs="Times New Roman"/>
                <w:kern w:val="0"/>
                <w:sz w:val="24"/>
                <w:szCs w:val="24"/>
                <w:lang w:val="en-US" w:eastAsia="zh-CN"/>
              </w:rPr>
              <w:t>3.5</w:t>
            </w:r>
            <w:r>
              <w:rPr>
                <w:rFonts w:hint="eastAsia" w:ascii="Times New Roman" w:hAnsi="Times New Roman" w:eastAsia="宋体" w:cs="Times New Roman"/>
                <w:kern w:val="0"/>
                <w:sz w:val="24"/>
                <w:szCs w:val="24"/>
              </w:rPr>
              <w:t>＞2.5。</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根据区域水文地质条件，项目所在地的地下水类型为基岩裂隙水，常年地下水位埋深1</w:t>
            </w:r>
            <w:r>
              <w:rPr>
                <w:rFonts w:hint="eastAsia" w:ascii="Times New Roman" w:hAnsi="Times New Roman" w:eastAsia="宋体" w:cs="Times New Roman"/>
                <w:kern w:val="0"/>
                <w:sz w:val="24"/>
                <w:szCs w:val="24"/>
                <w:lang w:val="en-US" w:eastAsia="zh-CN"/>
              </w:rPr>
              <w:t>0~40</w:t>
            </w:r>
            <w:r>
              <w:rPr>
                <w:rFonts w:hint="eastAsia" w:ascii="Times New Roman" w:hAnsi="Times New Roman" w:eastAsia="宋体" w:cs="Times New Roman"/>
                <w:kern w:val="0"/>
                <w:sz w:val="24"/>
                <w:szCs w:val="24"/>
              </w:rPr>
              <w:t>m＞1.5m。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经查阅“国家土壤信息服务平台”，</w:t>
            </w:r>
            <w:r>
              <w:rPr>
                <w:rFonts w:hint="eastAsia" w:ascii="Times New Roman" w:hAnsi="Times New Roman" w:eastAsia="宋体" w:cs="Times New Roman"/>
                <w:kern w:val="0"/>
                <w:sz w:val="24"/>
                <w:szCs w:val="24"/>
                <w:lang w:eastAsia="zh-CN"/>
              </w:rPr>
              <w:t>煤炭治理区</w:t>
            </w:r>
            <w:r>
              <w:rPr>
                <w:rFonts w:hint="eastAsia" w:ascii="Times New Roman" w:hAnsi="Times New Roman" w:eastAsia="宋体" w:cs="Times New Roman"/>
                <w:kern w:val="0"/>
                <w:sz w:val="24"/>
                <w:szCs w:val="24"/>
              </w:rPr>
              <w:t>土壤类型为</w:t>
            </w:r>
            <w:r>
              <w:rPr>
                <w:rFonts w:hint="eastAsia" w:cs="Times New Roman"/>
                <w:kern w:val="0"/>
                <w:sz w:val="24"/>
                <w:szCs w:val="24"/>
                <w:lang w:eastAsia="zh-CN"/>
              </w:rPr>
              <w:t>普通</w:t>
            </w:r>
            <w:r>
              <w:rPr>
                <w:rFonts w:hint="eastAsia" w:ascii="Times New Roman" w:hAnsi="Times New Roman" w:eastAsia="宋体" w:cs="Times New Roman"/>
                <w:kern w:val="0"/>
                <w:sz w:val="24"/>
                <w:szCs w:val="24"/>
              </w:rPr>
              <w:t>灰钙土</w:t>
            </w:r>
            <w:r>
              <w:rPr>
                <w:rFonts w:hint="eastAsia" w:ascii="Times New Roman" w:hAnsi="Times New Roman" w:eastAsia="宋体" w:cs="Times New Roman"/>
                <w:kern w:val="0"/>
                <w:sz w:val="24"/>
                <w:szCs w:val="24"/>
                <w:lang w:eastAsia="zh-CN"/>
              </w:rPr>
              <w:t>，</w:t>
            </w:r>
            <w:r>
              <w:rPr>
                <w:rFonts w:hint="eastAsia" w:cs="Times New Roman"/>
                <w:kern w:val="0"/>
                <w:sz w:val="24"/>
                <w:szCs w:val="24"/>
                <w:lang w:eastAsia="zh-CN"/>
              </w:rPr>
              <w:t>普通</w:t>
            </w:r>
            <w:r>
              <w:rPr>
                <w:rFonts w:hint="eastAsia" w:ascii="Times New Roman" w:hAnsi="Times New Roman" w:eastAsia="宋体" w:cs="Times New Roman"/>
                <w:kern w:val="0"/>
                <w:sz w:val="24"/>
                <w:szCs w:val="24"/>
              </w:rPr>
              <w:t>灰钙土的碳酸钙含量大于1</w:t>
            </w:r>
            <w:r>
              <w:rPr>
                <w:rFonts w:hint="eastAsia" w:ascii="Times New Roman" w:hAnsi="Times New Roman" w:eastAsia="宋体" w:cs="Times New Roman"/>
                <w:kern w:val="0"/>
                <w:sz w:val="24"/>
                <w:szCs w:val="24"/>
                <w:lang w:val="en-US" w:eastAsia="zh-CN"/>
              </w:rPr>
              <w:t>4</w:t>
            </w:r>
            <w:r>
              <w:rPr>
                <w:rFonts w:hint="eastAsia" w:ascii="Times New Roman" w:hAnsi="Times New Roman" w:eastAsia="宋体" w:cs="Times New Roman"/>
                <w:kern w:val="0"/>
                <w:sz w:val="24"/>
                <w:szCs w:val="24"/>
              </w:rPr>
              <w:t>%，折合含盐量1</w:t>
            </w:r>
            <w:r>
              <w:rPr>
                <w:rFonts w:hint="eastAsia" w:ascii="Times New Roman" w:hAnsi="Times New Roman" w:eastAsia="宋体" w:cs="Times New Roman"/>
                <w:kern w:val="0"/>
                <w:sz w:val="24"/>
                <w:szCs w:val="24"/>
                <w:lang w:val="en-US" w:eastAsia="zh-CN"/>
              </w:rPr>
              <w:t>40</w:t>
            </w:r>
            <w:r>
              <w:rPr>
                <w:rFonts w:hint="eastAsia" w:ascii="Times New Roman" w:hAnsi="Times New Roman" w:eastAsia="宋体" w:cs="Times New Roman"/>
                <w:kern w:val="0"/>
                <w:sz w:val="24"/>
                <w:szCs w:val="24"/>
              </w:rPr>
              <w:t>g/kg＞4g/kg，pH=8.39，属于盐化土壤</w:t>
            </w:r>
            <w:r>
              <w:rPr>
                <w:rFonts w:hint="eastAsia" w:ascii="Times New Roman" w:hAnsi="Times New Roman" w:eastAsia="宋体" w:cs="Times New Roman"/>
                <w:kern w:val="0"/>
                <w:sz w:val="24"/>
                <w:szCs w:val="24"/>
                <w:lang w:eastAsia="zh-CN"/>
              </w:rPr>
              <w:t>，不属于碱化、酸化土壤</w:t>
            </w: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eastAsia="zh-CN"/>
              </w:rPr>
              <w:t>建筑用砂治理区</w:t>
            </w:r>
            <w:r>
              <w:rPr>
                <w:rFonts w:hint="eastAsia" w:ascii="Times New Roman" w:hAnsi="Times New Roman" w:eastAsia="宋体" w:cs="Times New Roman"/>
                <w:kern w:val="0"/>
                <w:sz w:val="24"/>
                <w:szCs w:val="24"/>
              </w:rPr>
              <w:t>土壤类型为</w:t>
            </w:r>
            <w:r>
              <w:rPr>
                <w:rFonts w:hint="eastAsia" w:cs="Times New Roman"/>
                <w:kern w:val="0"/>
                <w:sz w:val="24"/>
                <w:szCs w:val="24"/>
                <w:lang w:eastAsia="zh-CN"/>
              </w:rPr>
              <w:t>水耕</w:t>
            </w:r>
            <w:r>
              <w:rPr>
                <w:rFonts w:hint="eastAsia" w:ascii="Times New Roman" w:hAnsi="Times New Roman" w:eastAsia="宋体" w:cs="Times New Roman"/>
                <w:kern w:val="0"/>
                <w:sz w:val="24"/>
                <w:szCs w:val="24"/>
                <w:lang w:eastAsia="zh-CN"/>
              </w:rPr>
              <w:t>灌淤土</w:t>
            </w:r>
            <w:r>
              <w:rPr>
                <w:rFonts w:hint="eastAsia" w:ascii="Times New Roman" w:hAnsi="Times New Roman" w:eastAsia="宋体" w:cs="Times New Roman"/>
                <w:kern w:val="0"/>
                <w:sz w:val="24"/>
                <w:szCs w:val="24"/>
              </w:rPr>
              <w:t>，</w:t>
            </w:r>
            <w:r>
              <w:rPr>
                <w:rFonts w:hint="eastAsia" w:cs="Times New Roman"/>
                <w:kern w:val="0"/>
                <w:sz w:val="24"/>
                <w:szCs w:val="24"/>
                <w:lang w:eastAsia="zh-CN"/>
              </w:rPr>
              <w:t>水耕</w:t>
            </w:r>
            <w:r>
              <w:rPr>
                <w:rFonts w:hint="eastAsia" w:ascii="Times New Roman" w:hAnsi="Times New Roman" w:eastAsia="宋体" w:cs="Times New Roman"/>
                <w:kern w:val="0"/>
                <w:sz w:val="24"/>
                <w:szCs w:val="24"/>
                <w:lang w:eastAsia="zh-CN"/>
              </w:rPr>
              <w:t>灌淤土的含盐量一般小于</w:t>
            </w:r>
            <w:r>
              <w:rPr>
                <w:rFonts w:hint="eastAsia" w:ascii="Times New Roman" w:hAnsi="Times New Roman" w:eastAsia="宋体" w:cs="Times New Roman"/>
                <w:kern w:val="0"/>
                <w:sz w:val="24"/>
                <w:szCs w:val="24"/>
                <w:lang w:val="en-US" w:eastAsia="zh-CN"/>
              </w:rPr>
              <w:t>0.3</w:t>
            </w:r>
            <w:r>
              <w:rPr>
                <w:rFonts w:hint="eastAsia" w:ascii="Times New Roman" w:hAnsi="Times New Roman" w:eastAsia="宋体" w:cs="Times New Roman"/>
                <w:kern w:val="0"/>
                <w:sz w:val="24"/>
                <w:szCs w:val="24"/>
                <w:lang w:eastAsia="zh-CN"/>
              </w:rPr>
              <w:t>%，折合为</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lang w:eastAsia="zh-CN"/>
              </w:rPr>
              <w:t>g/kg</w:t>
            </w:r>
            <w:r>
              <w:rPr>
                <w:rFonts w:hint="eastAsia" w:ascii="Times New Roman" w:hAnsi="Times New Roman" w:eastAsia="宋体" w:cs="Times New Roman"/>
                <w:kern w:val="0"/>
                <w:sz w:val="24"/>
                <w:szCs w:val="24"/>
                <w:lang w:val="en-US" w:eastAsia="zh-CN"/>
              </w:rPr>
              <w:t>&lt;</w:t>
            </w:r>
            <w:r>
              <w:rPr>
                <w:rFonts w:hint="eastAsia" w:ascii="Times New Roman" w:hAnsi="Times New Roman" w:eastAsia="宋体" w:cs="Times New Roman"/>
                <w:kern w:val="0"/>
                <w:sz w:val="24"/>
                <w:szCs w:val="24"/>
                <w:lang w:eastAsia="zh-CN"/>
              </w:rPr>
              <w:t>4g/kg，pH=8.</w:t>
            </w:r>
            <w:r>
              <w:rPr>
                <w:rFonts w:hint="eastAsia" w:ascii="Times New Roman" w:hAnsi="Times New Roman" w:eastAsia="宋体" w:cs="Times New Roman"/>
                <w:kern w:val="0"/>
                <w:sz w:val="24"/>
                <w:szCs w:val="24"/>
                <w:lang w:val="en-US" w:eastAsia="zh-CN"/>
              </w:rPr>
              <w:t>21</w:t>
            </w:r>
            <w:r>
              <w:rPr>
                <w:rFonts w:hint="eastAsia" w:ascii="Times New Roman" w:hAnsi="Times New Roman" w:eastAsia="宋体" w:cs="Times New Roman"/>
                <w:kern w:val="0"/>
                <w:sz w:val="24"/>
                <w:szCs w:val="24"/>
                <w:lang w:eastAsia="zh-CN"/>
              </w:rPr>
              <w:t>，不属于盐化、碱化及酸化土壤。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综上分析，</w:t>
            </w:r>
            <w:r>
              <w:rPr>
                <w:rFonts w:hint="eastAsia" w:ascii="Times New Roman" w:hAnsi="Times New Roman" w:eastAsia="宋体" w:cs="Times New Roman"/>
                <w:kern w:val="0"/>
                <w:sz w:val="24"/>
                <w:szCs w:val="24"/>
                <w:lang w:eastAsia="zh-CN"/>
              </w:rPr>
              <w:t>煤炭治理区</w:t>
            </w:r>
            <w:r>
              <w:rPr>
                <w:rFonts w:hint="eastAsia" w:ascii="Times New Roman" w:hAnsi="Times New Roman" w:eastAsia="宋体" w:cs="Times New Roman"/>
                <w:kern w:val="0"/>
                <w:sz w:val="24"/>
                <w:szCs w:val="24"/>
              </w:rPr>
              <w:t>土壤环境生态影响型敏感程度为</w:t>
            </w:r>
            <w:r>
              <w:rPr>
                <w:rFonts w:hint="eastAsia" w:cs="Times New Roman"/>
                <w:kern w:val="0"/>
                <w:sz w:val="24"/>
                <w:szCs w:val="24"/>
                <w:lang w:eastAsia="zh-CN"/>
              </w:rPr>
              <w:t>较</w:t>
            </w:r>
            <w:r>
              <w:rPr>
                <w:rFonts w:hint="eastAsia" w:ascii="Times New Roman" w:hAnsi="Times New Roman" w:eastAsia="宋体" w:cs="Times New Roman"/>
                <w:kern w:val="0"/>
                <w:sz w:val="24"/>
                <w:szCs w:val="24"/>
              </w:rPr>
              <w:t>敏感。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③评价工作等级确定</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黑体" w:cs="Times New Roman"/>
                <w:b w:val="0"/>
                <w:bCs w:val="0"/>
                <w:kern w:val="0"/>
                <w:sz w:val="24"/>
                <w:szCs w:val="24"/>
              </w:rPr>
            </w:pPr>
            <w:r>
              <w:rPr>
                <w:rFonts w:hint="eastAsia" w:ascii="Times New Roman" w:hAnsi="Times New Roman" w:eastAsia="宋体" w:cs="Times New Roman"/>
                <w:kern w:val="0"/>
                <w:sz w:val="24"/>
                <w:szCs w:val="24"/>
              </w:rPr>
              <w:t>生态影响型评价工作等级划分见表</w:t>
            </w:r>
            <w:r>
              <w:rPr>
                <w:rFonts w:hint="eastAsia" w:cs="Times New Roman"/>
                <w:kern w:val="0"/>
                <w:sz w:val="24"/>
                <w:szCs w:val="24"/>
                <w:lang w:val="en-US" w:eastAsia="zh-CN"/>
              </w:rPr>
              <w:t>7-3</w:t>
            </w:r>
            <w:r>
              <w:rPr>
                <w:rFonts w:hint="eastAsia" w:ascii="Times New Roman" w:hAnsi="Times New Roman" w:eastAsia="宋体" w:cs="Times New Roman"/>
                <w:kern w:val="0"/>
                <w:sz w:val="24"/>
                <w:szCs w:val="24"/>
              </w:rPr>
              <w:t>。</w:t>
            </w:r>
          </w:p>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outlineLvl w:val="0"/>
              <w:rPr>
                <w:rFonts w:hint="eastAsia" w:ascii="Times New Roman" w:hAnsi="Times New Roman" w:eastAsia="黑体" w:cs="Times New Roman"/>
                <w:b w:val="0"/>
                <w:bCs w:val="0"/>
                <w:kern w:val="0"/>
                <w:sz w:val="24"/>
                <w:szCs w:val="24"/>
              </w:rPr>
            </w:pPr>
            <w:r>
              <w:rPr>
                <w:rFonts w:hint="eastAsia" w:ascii="Times New Roman" w:hAnsi="Times New Roman" w:eastAsia="黑体" w:cs="Times New Roman"/>
                <w:b w:val="0"/>
                <w:bCs w:val="0"/>
                <w:kern w:val="0"/>
                <w:sz w:val="24"/>
                <w:szCs w:val="24"/>
              </w:rPr>
              <w:t>表</w:t>
            </w:r>
            <w:r>
              <w:rPr>
                <w:rFonts w:hint="eastAsia" w:ascii="Times New Roman" w:hAnsi="Times New Roman" w:eastAsia="黑体" w:cs="Times New Roman"/>
                <w:b w:val="0"/>
                <w:bCs w:val="0"/>
                <w:kern w:val="0"/>
                <w:sz w:val="24"/>
                <w:szCs w:val="24"/>
                <w:lang w:val="en-US" w:eastAsia="zh-CN"/>
              </w:rPr>
              <w:t>7-3</w:t>
            </w:r>
            <w:r>
              <w:rPr>
                <w:rFonts w:hint="eastAsia" w:ascii="Times New Roman" w:hAnsi="Times New Roman" w:eastAsia="黑体" w:cs="Times New Roman"/>
                <w:b w:val="0"/>
                <w:bCs w:val="0"/>
                <w:kern w:val="0"/>
                <w:sz w:val="24"/>
                <w:szCs w:val="24"/>
              </w:rPr>
              <w:t xml:space="preserve">    生态影响型评价工作等级划分表</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545"/>
              <w:gridCol w:w="2173"/>
              <w:gridCol w:w="2173"/>
              <w:gridCol w:w="21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403" w:type="pct"/>
                  <w:vMerge w:val="restart"/>
                  <w:noWrap w:val="0"/>
                  <w:vAlign w:val="center"/>
                </w:tcPr>
                <w:p>
                  <w:pPr>
                    <w:jc w:val="center"/>
                    <w:rPr>
                      <w:rFonts w:hint="eastAsia" w:ascii="Times New Roman" w:hAnsi="Times New Roman" w:eastAsia="宋体"/>
                      <w:b/>
                      <w:bCs/>
                      <w:szCs w:val="21"/>
                    </w:rPr>
                  </w:pPr>
                  <w:r>
                    <w:rPr>
                      <w:rFonts w:hint="eastAsia" w:ascii="Times New Roman" w:hAnsi="Times New Roman" w:eastAsia="宋体"/>
                      <w:b/>
                      <w:bCs/>
                      <w:szCs w:val="21"/>
                      <w:lang w:val="en-US" w:eastAsia="zh-CN"/>
                    </w:rPr>
                    <w:t xml:space="preserve">           </w:t>
                  </w:r>
                  <w:r>
                    <w:rPr>
                      <w:rFonts w:hint="eastAsia" w:ascii="Times New Roman" w:hAnsi="Times New Roman" w:eastAsia="宋体"/>
                      <w:b/>
                      <w:bCs/>
                      <w:szCs w:val="21"/>
                    </w:rPr>
                    <w:t>项目类别</w:t>
                  </w:r>
                </w:p>
                <w:p>
                  <w:pPr>
                    <w:jc w:val="both"/>
                    <w:rPr>
                      <w:rFonts w:ascii="Times New Roman" w:hAnsi="Times New Roman" w:eastAsia="宋体"/>
                      <w:b/>
                      <w:bCs/>
                      <w:szCs w:val="21"/>
                    </w:rPr>
                  </w:pPr>
                  <w:r>
                    <w:rPr>
                      <w:rFonts w:hint="eastAsia" w:ascii="Times New Roman" w:hAnsi="Times New Roman" w:eastAsia="宋体"/>
                      <w:b/>
                      <w:bCs/>
                      <w:szCs w:val="21"/>
                    </w:rPr>
                    <w:t>环境敏感程度</w:t>
                  </w:r>
                </w:p>
              </w:tc>
              <w:tc>
                <w:tcPr>
                  <w:tcW w:w="1198" w:type="pct"/>
                  <w:vMerge w:val="restart"/>
                  <w:noWrap w:val="0"/>
                  <w:vAlign w:val="center"/>
                </w:tcPr>
                <w:p>
                  <w:pPr>
                    <w:jc w:val="center"/>
                    <w:rPr>
                      <w:rFonts w:ascii="Times New Roman" w:hAnsi="Times New Roman" w:eastAsia="宋体"/>
                      <w:b/>
                      <w:bCs/>
                      <w:szCs w:val="21"/>
                    </w:rPr>
                  </w:pPr>
                  <w:r>
                    <w:rPr>
                      <w:rFonts w:hint="eastAsia" w:ascii="Times New Roman" w:hAnsi="Times New Roman" w:eastAsia="宋体"/>
                      <w:b/>
                      <w:bCs/>
                      <w:szCs w:val="21"/>
                    </w:rPr>
                    <w:t>Ⅰ类</w:t>
                  </w:r>
                </w:p>
              </w:tc>
              <w:tc>
                <w:tcPr>
                  <w:tcW w:w="1198" w:type="pct"/>
                  <w:vMerge w:val="restart"/>
                  <w:noWrap w:val="0"/>
                  <w:vAlign w:val="center"/>
                </w:tcPr>
                <w:p>
                  <w:pPr>
                    <w:jc w:val="center"/>
                    <w:rPr>
                      <w:rFonts w:ascii="Times New Roman" w:hAnsi="Times New Roman" w:eastAsia="宋体"/>
                      <w:b/>
                      <w:bCs/>
                      <w:szCs w:val="21"/>
                    </w:rPr>
                  </w:pPr>
                  <w:r>
                    <w:rPr>
                      <w:rFonts w:hint="eastAsia" w:ascii="Times New Roman" w:hAnsi="Times New Roman" w:eastAsia="宋体"/>
                      <w:b/>
                      <w:bCs/>
                      <w:szCs w:val="21"/>
                    </w:rPr>
                    <w:t>Ⅱ类</w:t>
                  </w:r>
                </w:p>
              </w:tc>
              <w:tc>
                <w:tcPr>
                  <w:tcW w:w="1198" w:type="pct"/>
                  <w:vMerge w:val="restart"/>
                  <w:noWrap w:val="0"/>
                  <w:vAlign w:val="center"/>
                </w:tcPr>
                <w:p>
                  <w:pPr>
                    <w:jc w:val="center"/>
                    <w:rPr>
                      <w:rFonts w:ascii="Times New Roman" w:hAnsi="Times New Roman" w:eastAsia="宋体"/>
                      <w:b/>
                      <w:bCs/>
                      <w:szCs w:val="21"/>
                    </w:rPr>
                  </w:pPr>
                  <w:r>
                    <w:rPr>
                      <w:rFonts w:hint="eastAsia" w:ascii="Times New Roman" w:hAnsi="Times New Roman" w:eastAsia="宋体"/>
                      <w:b/>
                      <w:bCs/>
                      <w:szCs w:val="21"/>
                    </w:rPr>
                    <w:t>Ⅲ类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403" w:type="pct"/>
                  <w:vMerge w:val="continue"/>
                  <w:noWrap w:val="0"/>
                  <w:vAlign w:val="center"/>
                </w:tcPr>
                <w:p>
                  <w:pPr>
                    <w:jc w:val="center"/>
                    <w:rPr>
                      <w:rFonts w:ascii="Times New Roman" w:hAnsi="Times New Roman" w:eastAsia="宋体"/>
                      <w:szCs w:val="21"/>
                    </w:rPr>
                  </w:pPr>
                </w:p>
              </w:tc>
              <w:tc>
                <w:tcPr>
                  <w:tcW w:w="1198" w:type="pct"/>
                  <w:vMerge w:val="continue"/>
                  <w:noWrap w:val="0"/>
                  <w:vAlign w:val="center"/>
                </w:tcPr>
                <w:p>
                  <w:pPr>
                    <w:jc w:val="center"/>
                    <w:rPr>
                      <w:rFonts w:ascii="Times New Roman" w:hAnsi="Times New Roman" w:eastAsia="宋体"/>
                      <w:szCs w:val="21"/>
                    </w:rPr>
                  </w:pPr>
                </w:p>
              </w:tc>
              <w:tc>
                <w:tcPr>
                  <w:tcW w:w="1198" w:type="pct"/>
                  <w:vMerge w:val="continue"/>
                  <w:noWrap w:val="0"/>
                  <w:vAlign w:val="center"/>
                </w:tcPr>
                <w:p>
                  <w:pPr>
                    <w:jc w:val="center"/>
                    <w:rPr>
                      <w:rFonts w:ascii="Times New Roman" w:hAnsi="Times New Roman" w:eastAsia="宋体"/>
                      <w:szCs w:val="21"/>
                    </w:rPr>
                  </w:pPr>
                </w:p>
              </w:tc>
              <w:tc>
                <w:tcPr>
                  <w:tcW w:w="1198" w:type="pct"/>
                  <w:vMerge w:val="continue"/>
                  <w:noWrap w:val="0"/>
                  <w:vAlign w:val="center"/>
                </w:tcPr>
                <w:p>
                  <w:pPr>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403" w:type="pct"/>
                  <w:noWrap w:val="0"/>
                  <w:vAlign w:val="center"/>
                </w:tcPr>
                <w:p>
                  <w:pPr>
                    <w:jc w:val="center"/>
                    <w:rPr>
                      <w:rFonts w:ascii="Times New Roman" w:hAnsi="Times New Roman" w:eastAsia="宋体"/>
                      <w:szCs w:val="21"/>
                    </w:rPr>
                  </w:pPr>
                  <w:r>
                    <w:rPr>
                      <w:rFonts w:hint="eastAsia" w:ascii="Times New Roman" w:hAnsi="Times New Roman" w:eastAsia="宋体"/>
                      <w:szCs w:val="21"/>
                    </w:rPr>
                    <w:t>敏感</w:t>
                  </w:r>
                </w:p>
              </w:tc>
              <w:tc>
                <w:tcPr>
                  <w:tcW w:w="1198" w:type="pct"/>
                  <w:noWrap w:val="0"/>
                  <w:vAlign w:val="center"/>
                </w:tcPr>
                <w:p>
                  <w:pPr>
                    <w:jc w:val="center"/>
                    <w:rPr>
                      <w:rFonts w:ascii="Times New Roman" w:hAnsi="Times New Roman" w:eastAsia="宋体"/>
                      <w:szCs w:val="21"/>
                    </w:rPr>
                  </w:pPr>
                  <w:r>
                    <w:rPr>
                      <w:rFonts w:hint="eastAsia" w:ascii="Times New Roman" w:hAnsi="Times New Roman" w:eastAsia="宋体"/>
                      <w:szCs w:val="21"/>
                    </w:rPr>
                    <w:t>一级</w:t>
                  </w:r>
                </w:p>
              </w:tc>
              <w:tc>
                <w:tcPr>
                  <w:tcW w:w="1198" w:type="pct"/>
                  <w:noWrap w:val="0"/>
                  <w:vAlign w:val="center"/>
                </w:tcPr>
                <w:p>
                  <w:pPr>
                    <w:jc w:val="center"/>
                    <w:rPr>
                      <w:rFonts w:ascii="Times New Roman" w:hAnsi="Times New Roman" w:eastAsia="宋体"/>
                      <w:szCs w:val="21"/>
                    </w:rPr>
                  </w:pPr>
                  <w:r>
                    <w:rPr>
                      <w:rFonts w:hint="eastAsia" w:ascii="Times New Roman" w:hAnsi="Times New Roman" w:eastAsia="宋体"/>
                      <w:szCs w:val="21"/>
                    </w:rPr>
                    <w:t>二级</w:t>
                  </w:r>
                </w:p>
              </w:tc>
              <w:tc>
                <w:tcPr>
                  <w:tcW w:w="1198" w:type="pct"/>
                  <w:noWrap w:val="0"/>
                  <w:vAlign w:val="center"/>
                </w:tcPr>
                <w:p>
                  <w:pPr>
                    <w:jc w:val="center"/>
                    <w:rPr>
                      <w:rFonts w:ascii="Times New Roman" w:hAnsi="Times New Roman" w:eastAsia="宋体"/>
                      <w:szCs w:val="21"/>
                    </w:rPr>
                  </w:pPr>
                  <w:r>
                    <w:rPr>
                      <w:rFonts w:hint="eastAsia" w:ascii="Times New Roman" w:hAnsi="Times New Roman" w:eastAsia="宋体"/>
                      <w:szCs w:val="21"/>
                    </w:rP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403" w:type="pct"/>
                  <w:noWrap w:val="0"/>
                  <w:vAlign w:val="center"/>
                </w:tcPr>
                <w:p>
                  <w:pPr>
                    <w:jc w:val="center"/>
                    <w:rPr>
                      <w:rFonts w:ascii="Times New Roman" w:hAnsi="Times New Roman" w:eastAsia="宋体"/>
                      <w:szCs w:val="21"/>
                    </w:rPr>
                  </w:pPr>
                  <w:r>
                    <w:rPr>
                      <w:rFonts w:hint="eastAsia" w:ascii="Times New Roman" w:hAnsi="Times New Roman" w:eastAsia="宋体"/>
                      <w:szCs w:val="21"/>
                    </w:rPr>
                    <w:t>较敏感</w:t>
                  </w:r>
                </w:p>
              </w:tc>
              <w:tc>
                <w:tcPr>
                  <w:tcW w:w="1198" w:type="pct"/>
                  <w:noWrap w:val="0"/>
                  <w:vAlign w:val="center"/>
                </w:tcPr>
                <w:p>
                  <w:pPr>
                    <w:jc w:val="center"/>
                    <w:rPr>
                      <w:rFonts w:ascii="Times New Roman" w:hAnsi="Times New Roman" w:eastAsia="宋体"/>
                      <w:szCs w:val="21"/>
                    </w:rPr>
                  </w:pPr>
                  <w:r>
                    <w:rPr>
                      <w:rFonts w:hint="eastAsia" w:ascii="Times New Roman" w:hAnsi="Times New Roman" w:eastAsia="宋体"/>
                      <w:szCs w:val="21"/>
                    </w:rPr>
                    <w:t>二级</w:t>
                  </w:r>
                </w:p>
              </w:tc>
              <w:tc>
                <w:tcPr>
                  <w:tcW w:w="1198" w:type="pct"/>
                  <w:noWrap w:val="0"/>
                  <w:vAlign w:val="center"/>
                </w:tcPr>
                <w:p>
                  <w:pPr>
                    <w:jc w:val="center"/>
                    <w:rPr>
                      <w:rFonts w:ascii="Times New Roman" w:hAnsi="Times New Roman" w:eastAsia="宋体"/>
                      <w:szCs w:val="21"/>
                    </w:rPr>
                  </w:pPr>
                  <w:r>
                    <w:rPr>
                      <w:rFonts w:hint="eastAsia" w:ascii="Times New Roman" w:hAnsi="Times New Roman" w:eastAsia="宋体"/>
                      <w:szCs w:val="21"/>
                    </w:rPr>
                    <w:t>二级</w:t>
                  </w:r>
                </w:p>
              </w:tc>
              <w:tc>
                <w:tcPr>
                  <w:tcW w:w="1198" w:type="pct"/>
                  <w:noWrap w:val="0"/>
                  <w:vAlign w:val="center"/>
                </w:tcPr>
                <w:p>
                  <w:pPr>
                    <w:jc w:val="center"/>
                    <w:rPr>
                      <w:rFonts w:ascii="Times New Roman" w:hAnsi="Times New Roman" w:eastAsia="宋体"/>
                      <w:szCs w:val="21"/>
                    </w:rPr>
                  </w:pPr>
                  <w:r>
                    <w:rPr>
                      <w:rFonts w:hint="eastAsia" w:ascii="Times New Roman" w:hAnsi="Times New Roman" w:eastAsia="宋体"/>
                      <w:szCs w:val="21"/>
                    </w:rP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403" w:type="pct"/>
                  <w:noWrap w:val="0"/>
                  <w:vAlign w:val="center"/>
                </w:tcPr>
                <w:p>
                  <w:pPr>
                    <w:jc w:val="center"/>
                    <w:rPr>
                      <w:rFonts w:ascii="Times New Roman" w:hAnsi="Times New Roman" w:eastAsia="宋体"/>
                      <w:szCs w:val="21"/>
                    </w:rPr>
                  </w:pPr>
                  <w:r>
                    <w:rPr>
                      <w:rFonts w:hint="eastAsia" w:ascii="Times New Roman" w:hAnsi="Times New Roman" w:eastAsia="宋体"/>
                      <w:szCs w:val="21"/>
                    </w:rPr>
                    <w:t>不敏感</w:t>
                  </w:r>
                </w:p>
              </w:tc>
              <w:tc>
                <w:tcPr>
                  <w:tcW w:w="1198" w:type="pct"/>
                  <w:noWrap w:val="0"/>
                  <w:vAlign w:val="center"/>
                </w:tcPr>
                <w:p>
                  <w:pPr>
                    <w:jc w:val="center"/>
                    <w:rPr>
                      <w:rFonts w:ascii="Times New Roman" w:hAnsi="Times New Roman" w:eastAsia="宋体"/>
                      <w:szCs w:val="21"/>
                    </w:rPr>
                  </w:pPr>
                  <w:r>
                    <w:rPr>
                      <w:rFonts w:hint="eastAsia" w:ascii="Times New Roman" w:hAnsi="Times New Roman" w:eastAsia="宋体"/>
                      <w:szCs w:val="21"/>
                    </w:rPr>
                    <w:t>二级</w:t>
                  </w:r>
                </w:p>
              </w:tc>
              <w:tc>
                <w:tcPr>
                  <w:tcW w:w="1198" w:type="pct"/>
                  <w:noWrap w:val="0"/>
                  <w:vAlign w:val="center"/>
                </w:tcPr>
                <w:p>
                  <w:pPr>
                    <w:jc w:val="center"/>
                    <w:rPr>
                      <w:rFonts w:ascii="Times New Roman" w:hAnsi="Times New Roman" w:eastAsia="宋体"/>
                      <w:szCs w:val="21"/>
                    </w:rPr>
                  </w:pPr>
                  <w:r>
                    <w:rPr>
                      <w:rFonts w:hint="eastAsia" w:ascii="Times New Roman" w:hAnsi="Times New Roman" w:eastAsia="宋体"/>
                      <w:szCs w:val="21"/>
                    </w:rPr>
                    <w:t>三级</w:t>
                  </w:r>
                </w:p>
              </w:tc>
              <w:tc>
                <w:tcPr>
                  <w:tcW w:w="1198" w:type="pct"/>
                  <w:noWrap w:val="0"/>
                  <w:vAlign w:val="center"/>
                </w:tcPr>
                <w:p>
                  <w:pPr>
                    <w:jc w:val="center"/>
                    <w:rPr>
                      <w:rFonts w:ascii="Times New Roman" w:hAnsi="Times New Roman" w:eastAsia="宋体"/>
                      <w:szCs w:val="21"/>
                    </w:rPr>
                  </w:pPr>
                  <w:r>
                    <w:rPr>
                      <w:rFonts w:hint="eastAsia" w:ascii="Times New Roman" w:hAnsi="Times New Roman" w:eastAsia="宋体"/>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00" w:type="pct"/>
                  <w:gridSpan w:val="4"/>
                  <w:noWrap w:val="0"/>
                  <w:vAlign w:val="center"/>
                </w:tcPr>
                <w:p>
                  <w:pPr>
                    <w:jc w:val="center"/>
                    <w:rPr>
                      <w:rFonts w:ascii="Times New Roman" w:hAnsi="Times New Roman" w:eastAsia="宋体"/>
                      <w:szCs w:val="21"/>
                    </w:rPr>
                  </w:pPr>
                  <w:r>
                    <w:rPr>
                      <w:rFonts w:hint="eastAsia" w:ascii="Times New Roman" w:hAnsi="Times New Roman" w:eastAsia="宋体"/>
                      <w:szCs w:val="21"/>
                    </w:rPr>
                    <w:t>注：“-”表示可不开展土壤环境影响评价工作。</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废弃矿山生态修复治理工程</w:t>
            </w:r>
            <w:r>
              <w:rPr>
                <w:rFonts w:hint="eastAsia" w:ascii="Times New Roman" w:hAnsi="Times New Roman" w:eastAsia="宋体" w:cs="Times New Roman"/>
                <w:kern w:val="0"/>
                <w:sz w:val="24"/>
                <w:szCs w:val="24"/>
              </w:rPr>
              <w:t>土壤环境影响评价类别为Ⅲ类，建设项目所在地</w:t>
            </w:r>
            <w:r>
              <w:rPr>
                <w:rFonts w:hint="eastAsia" w:ascii="Times New Roman" w:hAnsi="Times New Roman" w:eastAsia="宋体" w:cs="Times New Roman"/>
                <w:kern w:val="0"/>
                <w:sz w:val="24"/>
                <w:szCs w:val="24"/>
                <w:lang w:eastAsia="zh-CN"/>
              </w:rPr>
              <w:t>煤炭治理区</w:t>
            </w:r>
            <w:r>
              <w:rPr>
                <w:rFonts w:hint="eastAsia" w:ascii="Times New Roman" w:hAnsi="Times New Roman" w:eastAsia="宋体" w:cs="Times New Roman"/>
                <w:kern w:val="0"/>
                <w:sz w:val="24"/>
                <w:szCs w:val="24"/>
              </w:rPr>
              <w:t>土壤环境敏感程度为</w:t>
            </w:r>
            <w:r>
              <w:rPr>
                <w:rFonts w:hint="eastAsia" w:cs="Times New Roman"/>
                <w:kern w:val="0"/>
                <w:sz w:val="24"/>
                <w:szCs w:val="24"/>
                <w:lang w:eastAsia="zh-CN"/>
              </w:rPr>
              <w:t>较</w:t>
            </w:r>
            <w:r>
              <w:rPr>
                <w:rFonts w:hint="eastAsia" w:ascii="Times New Roman" w:hAnsi="Times New Roman" w:eastAsia="宋体" w:cs="Times New Roman"/>
                <w:kern w:val="0"/>
                <w:sz w:val="24"/>
                <w:szCs w:val="24"/>
              </w:rPr>
              <w:t>敏感，确定本次</w:t>
            </w:r>
            <w:r>
              <w:rPr>
                <w:rFonts w:hint="eastAsia" w:ascii="Times New Roman" w:hAnsi="Times New Roman" w:eastAsia="宋体" w:cs="Times New Roman"/>
                <w:kern w:val="0"/>
                <w:sz w:val="24"/>
                <w:szCs w:val="24"/>
                <w:lang w:eastAsia="zh-CN"/>
              </w:rPr>
              <w:t>煤炭治理区</w:t>
            </w:r>
            <w:r>
              <w:rPr>
                <w:rFonts w:hint="eastAsia" w:ascii="Times New Roman" w:hAnsi="Times New Roman" w:eastAsia="宋体" w:cs="Times New Roman"/>
                <w:kern w:val="0"/>
                <w:sz w:val="24"/>
                <w:szCs w:val="24"/>
              </w:rPr>
              <w:t>生态影响型土壤环境影响评价工作等级为三级，评价范围为</w:t>
            </w:r>
            <w:r>
              <w:rPr>
                <w:rFonts w:hint="eastAsia" w:ascii="Times New Roman" w:hAnsi="Times New Roman" w:eastAsia="宋体" w:cs="Times New Roman"/>
                <w:kern w:val="0"/>
                <w:sz w:val="24"/>
                <w:szCs w:val="24"/>
                <w:lang w:eastAsia="zh-CN"/>
              </w:rPr>
              <w:t>项目区</w:t>
            </w:r>
            <w:r>
              <w:rPr>
                <w:rFonts w:hint="eastAsia" w:ascii="Times New Roman" w:hAnsi="Times New Roman" w:eastAsia="宋体" w:cs="Times New Roman"/>
                <w:kern w:val="0"/>
                <w:sz w:val="24"/>
                <w:szCs w:val="24"/>
              </w:rPr>
              <w:t>周边1km范围内。</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firstLine="480" w:firstLineChars="200"/>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（二）土壤环境影响分析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⑴土壤环境质量现状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bidi="ar-SA"/>
              </w:rPr>
              <w:t>本次环评对项目占地范围</w:t>
            </w:r>
            <w:r>
              <w:rPr>
                <w:rFonts w:hint="default" w:ascii="Times New Roman" w:hAnsi="Times New Roman" w:cs="Times New Roman"/>
                <w:sz w:val="24"/>
                <w:szCs w:val="24"/>
              </w:rPr>
              <w:t>内及矿区外1km范围的土壤进行了现状监测，监测结果表明矿区及周边土壤环境质量中监测数据分别满足《土壤环境质量 农用地土壤污染风险管控标准(试行)》(GB15618-2018)中风险筛选值标准、《土壤环境质量标准 建设用地土壤污染风险管控标准》(GB36600-2018)中第二类用地筛选值标准。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⑵项目占地对土壤环境的影响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szCs w:val="24"/>
                <w:highlight w:val="none"/>
                <w:lang w:eastAsia="zh-CN"/>
              </w:rPr>
            </w:pPr>
            <w:r>
              <w:rPr>
                <w:rFonts w:hint="eastAsia" w:cs="Times New Roman"/>
                <w:sz w:val="24"/>
                <w:szCs w:val="24"/>
                <w:highlight w:val="none"/>
                <w:lang w:eastAsia="zh-CN"/>
              </w:rPr>
              <w:t>本项目属于生态恢复工程，不新增占地。不会改变土地利用性质和现状。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⑶</w:t>
            </w:r>
            <w:r>
              <w:rPr>
                <w:rFonts w:hint="default" w:ascii="Times New Roman" w:hAnsi="Times New Roman" w:eastAsia="宋体" w:cs="Times New Roman"/>
                <w:kern w:val="0"/>
                <w:sz w:val="24"/>
                <w:szCs w:val="24"/>
                <w:lang w:val="en-US" w:eastAsia="zh-CN" w:bidi="ar-SA"/>
              </w:rPr>
              <w:t>项目运行对土壤环境的影响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szCs w:val="24"/>
                <w:lang w:val="en-US" w:eastAsia="zh-CN"/>
              </w:rPr>
            </w:pPr>
            <w:r>
              <w:rPr>
                <w:rFonts w:ascii="宋体" w:hAnsi="宋体" w:eastAsia="宋体" w:cs="宋体"/>
                <w:sz w:val="24"/>
                <w:szCs w:val="24"/>
              </w:rPr>
              <w:t>本项目为对无主</w:t>
            </w:r>
            <w:r>
              <w:rPr>
                <w:rFonts w:hint="eastAsia" w:ascii="宋体" w:hAnsi="宋体" w:eastAsia="宋体" w:cs="宋体"/>
                <w:sz w:val="24"/>
                <w:szCs w:val="24"/>
                <w:lang w:eastAsia="zh-CN"/>
              </w:rPr>
              <w:t>矿山</w:t>
            </w:r>
            <w:r>
              <w:rPr>
                <w:rFonts w:ascii="宋体" w:hAnsi="宋体" w:eastAsia="宋体" w:cs="宋体"/>
                <w:sz w:val="24"/>
                <w:szCs w:val="24"/>
              </w:rPr>
              <w:t>进行生态恢复，在建设期对生态环境的负面影响主要表现在施工临时占地对地表植被的破坏和对土壤的扰动，以及由于施工过程造成的水土流失、景观影响等方面。项目施工期结束后，影响消失。</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黑体" w:cs="Times New Roman"/>
                <w:b w:val="0"/>
                <w:bCs w:val="0"/>
                <w:sz w:val="24"/>
                <w:lang w:val="en-US" w:eastAsia="zh-CN"/>
              </w:rPr>
            </w:pPr>
            <w:r>
              <w:rPr>
                <w:rFonts w:hint="eastAsia" w:eastAsia="黑体" w:cs="Times New Roman"/>
                <w:b w:val="0"/>
                <w:bCs w:val="0"/>
                <w:sz w:val="24"/>
                <w:lang w:val="en-US" w:eastAsia="zh-CN"/>
              </w:rPr>
              <w:t>7、生态环境</w:t>
            </w:r>
            <w:r>
              <w:rPr>
                <w:rFonts w:hint="default" w:eastAsia="黑体" w:cs="Times New Roman"/>
                <w:b w:val="0"/>
                <w:bCs w:val="0"/>
                <w:sz w:val="24"/>
                <w:lang w:val="en-US" w:eastAsia="zh-CN"/>
              </w:rPr>
              <w:t>影响分析</w:t>
            </w:r>
          </w:p>
          <w:p>
            <w:pPr>
              <w:spacing w:line="360" w:lineRule="auto"/>
              <w:ind w:firstLine="480" w:firstLineChars="200"/>
              <w:rPr>
                <w:rFonts w:hint="eastAsia"/>
                <w:kern w:val="0"/>
                <w:sz w:val="24"/>
                <w:lang w:val="en-US" w:eastAsia="zh-CN"/>
              </w:rPr>
            </w:pPr>
            <w:r>
              <w:rPr>
                <w:rFonts w:hint="eastAsia"/>
                <w:kern w:val="0"/>
                <w:sz w:val="24"/>
                <w:lang w:val="en-US" w:eastAsia="zh-CN"/>
              </w:rPr>
              <w:t>项目地附近无农田，亦不占用农田，项目施工期生态环境影响主要为破坏周边山体景观、影响附近河流水质和施工粉尘对大气环境的影响。</w:t>
            </w:r>
          </w:p>
          <w:p>
            <w:pPr>
              <w:spacing w:line="360" w:lineRule="auto"/>
              <w:ind w:firstLine="480" w:firstLineChars="200"/>
              <w:rPr>
                <w:rFonts w:hint="default"/>
                <w:kern w:val="0"/>
                <w:sz w:val="24"/>
                <w:lang w:val="en-US"/>
              </w:rPr>
            </w:pPr>
            <w:r>
              <w:rPr>
                <w:rFonts w:hint="eastAsia"/>
                <w:kern w:val="0"/>
                <w:sz w:val="24"/>
                <w:lang w:val="en-US" w:eastAsia="zh-CN"/>
              </w:rPr>
              <w:t>项目施工建设形成的开挖裸露面以及所引起的水土流失，破坏了地表植被及其生存的自然条件，降低了本地区的植被覆盖率，影响了周围景观；同时在雨季，随着砂石、泥土流失，土壤中的营养元素也流入河道，使项目地附近部分河流水系浑浊度上升，污染物含量增加，水质下降。项目在建设时段，将产生各类施工粉尘，粉尘的产生使大气能见度下降，飘落在附近作物叶片上，还会影响植被光合作用和正常生长。</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黑体" w:cs="Times New Roman"/>
                <w:b w:val="0"/>
                <w:bCs w:val="0"/>
                <w:sz w:val="24"/>
                <w:lang w:val="en-US" w:eastAsia="zh-CN"/>
              </w:rPr>
            </w:pPr>
            <w:r>
              <w:rPr>
                <w:rFonts w:hint="eastAsia" w:eastAsia="黑体" w:cs="Times New Roman"/>
                <w:b w:val="0"/>
                <w:bCs w:val="0"/>
                <w:sz w:val="24"/>
                <w:lang w:val="en-US" w:eastAsia="zh-CN"/>
              </w:rPr>
              <w:t>8、</w:t>
            </w:r>
            <w:r>
              <w:rPr>
                <w:rFonts w:hint="eastAsia" w:ascii="Times New Roman" w:hAnsi="Times New Roman" w:eastAsia="黑体" w:cs="Times New Roman"/>
                <w:b w:val="0"/>
                <w:bCs w:val="0"/>
                <w:sz w:val="24"/>
                <w:lang w:val="en-US" w:eastAsia="zh-CN"/>
              </w:rPr>
              <w:t>水土流失影响</w:t>
            </w:r>
            <w:r>
              <w:rPr>
                <w:rFonts w:hint="default" w:ascii="Times New Roman" w:hAnsi="Times New Roman" w:eastAsia="黑体" w:cs="Times New Roman"/>
                <w:b w:val="0"/>
                <w:bCs w:val="0"/>
                <w:sz w:val="24"/>
                <w:lang w:val="en-US" w:eastAsia="zh-CN"/>
              </w:rPr>
              <w:t>分析</w:t>
            </w:r>
          </w:p>
          <w:p>
            <w:pPr>
              <w:spacing w:line="360" w:lineRule="auto"/>
              <w:ind w:firstLine="480" w:firstLineChars="200"/>
              <w:rPr>
                <w:rFonts w:hint="default"/>
                <w:kern w:val="0"/>
                <w:sz w:val="24"/>
                <w:lang w:val="en-US" w:eastAsia="zh-CN"/>
              </w:rPr>
            </w:pPr>
            <w:r>
              <w:rPr>
                <w:rFonts w:hint="eastAsia"/>
                <w:kern w:val="0"/>
                <w:sz w:val="24"/>
                <w:lang w:val="en-US" w:eastAsia="zh-CN"/>
              </w:rPr>
              <w:t>项目产生水土流失的主要因素是降雨和工程施工。</w:t>
            </w:r>
          </w:p>
          <w:p>
            <w:pPr>
              <w:spacing w:line="360" w:lineRule="auto"/>
              <w:ind w:firstLine="480" w:firstLineChars="200"/>
              <w:rPr>
                <w:rFonts w:hint="default"/>
                <w:kern w:val="0"/>
                <w:sz w:val="24"/>
                <w:lang w:val="en-US" w:eastAsia="zh-CN"/>
              </w:rPr>
            </w:pPr>
            <w:r>
              <w:rPr>
                <w:rFonts w:hint="eastAsia"/>
                <w:kern w:val="0"/>
                <w:sz w:val="24"/>
                <w:lang w:val="en-US" w:eastAsia="zh-CN"/>
              </w:rPr>
              <w:t>⑴降雨因素</w:t>
            </w:r>
          </w:p>
          <w:p>
            <w:pPr>
              <w:spacing w:line="360" w:lineRule="auto"/>
              <w:ind w:firstLine="480" w:firstLineChars="200"/>
              <w:rPr>
                <w:rFonts w:hint="default"/>
                <w:kern w:val="0"/>
                <w:sz w:val="24"/>
                <w:lang w:val="en-US" w:eastAsia="zh-CN"/>
              </w:rPr>
            </w:pPr>
            <w:r>
              <w:rPr>
                <w:rFonts w:hint="eastAsia"/>
                <w:kern w:val="0"/>
                <w:sz w:val="24"/>
                <w:lang w:val="en-US" w:eastAsia="zh-CN"/>
              </w:rPr>
              <w:t>降雨时发生水土流失最直接最重要的自然因素。降雨对裸露地表的影响主要表现在两个方面：一是雨滴对裸露地表的直接冲溅作用，二是雨水汇聚形成地表径流的冲刷作用。当雨水作用力大于土壤之间的粘合力时，土壤就会发生解析，其中粒径较小的将随地面径流流向较为低洼的地方，当这种运动过程发生得较为集中、较为剧烈时，就会发生水土流失。</w:t>
            </w:r>
          </w:p>
          <w:p>
            <w:pPr>
              <w:spacing w:line="360" w:lineRule="auto"/>
              <w:ind w:firstLine="480" w:firstLineChars="200"/>
              <w:rPr>
                <w:rFonts w:hint="eastAsia"/>
                <w:kern w:val="0"/>
                <w:sz w:val="24"/>
                <w:lang w:val="en-US" w:eastAsia="zh-CN"/>
              </w:rPr>
            </w:pPr>
            <w:r>
              <w:rPr>
                <w:rFonts w:hint="eastAsia"/>
                <w:kern w:val="0"/>
                <w:sz w:val="24"/>
                <w:lang w:val="en-US" w:eastAsia="zh-CN"/>
              </w:rPr>
              <w:t>⑵工程因素</w:t>
            </w:r>
          </w:p>
          <w:p>
            <w:pPr>
              <w:spacing w:line="360" w:lineRule="auto"/>
              <w:ind w:firstLine="480" w:firstLineChars="200"/>
              <w:rPr>
                <w:rFonts w:hint="eastAsia"/>
                <w:kern w:val="0"/>
                <w:sz w:val="24"/>
                <w:lang w:val="en-US" w:eastAsia="zh-CN"/>
              </w:rPr>
            </w:pPr>
            <w:r>
              <w:rPr>
                <w:rFonts w:hint="eastAsia"/>
                <w:kern w:val="0"/>
                <w:sz w:val="24"/>
                <w:lang w:val="en-US" w:eastAsia="zh-CN"/>
              </w:rPr>
              <w:t>工程因素主要指项目的开发活动，将影响或改变一些自然因素，如改变区域地形地貌、破坏植被、改变土壤的理化性质，从而加剧水土流失的发生。</w:t>
            </w:r>
          </w:p>
          <w:p>
            <w:pPr>
              <w:spacing w:line="360" w:lineRule="auto"/>
              <w:ind w:firstLine="480" w:firstLineChars="200"/>
              <w:rPr>
                <w:rFonts w:hint="default"/>
                <w:kern w:val="0"/>
                <w:sz w:val="24"/>
                <w:lang w:val="en-US" w:eastAsia="zh-CN"/>
              </w:rPr>
            </w:pPr>
            <w:r>
              <w:rPr>
                <w:rFonts w:hint="eastAsia"/>
                <w:kern w:val="0"/>
                <w:sz w:val="24"/>
                <w:lang w:val="en-US" w:eastAsia="zh-CN"/>
              </w:rPr>
              <w:t>①地形地貌</w:t>
            </w:r>
          </w:p>
          <w:p>
            <w:pPr>
              <w:spacing w:line="360" w:lineRule="auto"/>
              <w:ind w:firstLine="480" w:firstLineChars="200"/>
              <w:rPr>
                <w:rFonts w:hint="default"/>
                <w:kern w:val="0"/>
                <w:sz w:val="24"/>
                <w:lang w:val="en-US" w:eastAsia="zh-CN"/>
              </w:rPr>
            </w:pPr>
            <w:r>
              <w:rPr>
                <w:rFonts w:hint="eastAsia"/>
                <w:kern w:val="0"/>
                <w:sz w:val="24"/>
                <w:lang w:val="en-US" w:eastAsia="zh-CN"/>
              </w:rPr>
              <w:t>地形是影响水土流失的重要因素之一。地形的坡度、坡长和地形直接影响土壤侵蚀强度的大小，其影响主要通过改变径流速度而起作用。项目施工过程中的挖方、填方和平整地面等施工活动，在一定程度上改变区域内的地貌格局，塑造微地貌的较大改变，为水土流失的发生创造条件。</w:t>
            </w:r>
          </w:p>
          <w:p>
            <w:pPr>
              <w:spacing w:line="360" w:lineRule="auto"/>
              <w:ind w:firstLine="480" w:firstLineChars="200"/>
              <w:rPr>
                <w:rFonts w:hint="default"/>
                <w:kern w:val="0"/>
                <w:sz w:val="24"/>
                <w:lang w:val="en-US" w:eastAsia="zh-CN"/>
              </w:rPr>
            </w:pPr>
            <w:r>
              <w:rPr>
                <w:rFonts w:hint="eastAsia"/>
                <w:kern w:val="0"/>
                <w:sz w:val="24"/>
                <w:lang w:val="en-US" w:eastAsia="zh-CN"/>
              </w:rPr>
              <w:t>②植被</w:t>
            </w:r>
          </w:p>
          <w:p>
            <w:pPr>
              <w:spacing w:line="360" w:lineRule="auto"/>
              <w:ind w:firstLine="480" w:firstLineChars="200"/>
              <w:rPr>
                <w:rFonts w:hint="default"/>
                <w:kern w:val="0"/>
                <w:sz w:val="24"/>
                <w:lang w:val="en-US" w:eastAsia="zh-CN"/>
              </w:rPr>
            </w:pPr>
            <w:r>
              <w:rPr>
                <w:rFonts w:hint="eastAsia"/>
                <w:kern w:val="0"/>
                <w:sz w:val="24"/>
                <w:lang w:val="en-US" w:eastAsia="zh-CN"/>
              </w:rPr>
              <w:t>良好的植被覆盖可以截留降水，减轻雨滴击溅，减弱降水对土壤的直接破坏作用。同时，植物的根系还可以固定土壤结构。原有植被破坏，使施工区域内的土壤失去了天然的保护伞，加剧了水土流失。</w:t>
            </w:r>
          </w:p>
          <w:p>
            <w:pPr>
              <w:spacing w:line="360" w:lineRule="auto"/>
              <w:ind w:firstLine="480" w:firstLineChars="200"/>
              <w:rPr>
                <w:rFonts w:hint="default"/>
                <w:kern w:val="0"/>
                <w:sz w:val="24"/>
                <w:lang w:val="en-US" w:eastAsia="zh-CN"/>
              </w:rPr>
            </w:pPr>
            <w:r>
              <w:rPr>
                <w:rFonts w:hint="eastAsia"/>
                <w:kern w:val="0"/>
                <w:sz w:val="24"/>
                <w:lang w:val="en-US" w:eastAsia="zh-CN"/>
              </w:rPr>
              <w:t>③土壤</w:t>
            </w:r>
          </w:p>
          <w:p>
            <w:pPr>
              <w:spacing w:line="360" w:lineRule="auto"/>
              <w:ind w:firstLine="480" w:firstLineChars="200"/>
              <w:rPr>
                <w:rFonts w:hint="default"/>
                <w:kern w:val="0"/>
                <w:sz w:val="24"/>
                <w:lang w:val="en-US" w:eastAsia="zh-CN"/>
              </w:rPr>
            </w:pPr>
            <w:r>
              <w:rPr>
                <w:rFonts w:hint="eastAsia"/>
                <w:kern w:val="0"/>
                <w:sz w:val="24"/>
                <w:lang w:val="en-US" w:eastAsia="zh-CN"/>
              </w:rPr>
              <w:t>土壤是侵蚀的对象，土壤本身固有的理化性质决定了不同土壤抗侵蚀能力的差异。工程施工使地表土壤的结构受到覆盖和破坏，致使土壤结构松散，有机质含量下降，抵抗侵蚀的能力也大大下降。水土流失所造成的危害主要为造成城市下水道以及区域地表水体的淤积。</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黑体" w:cs="Times New Roman"/>
                <w:b w:val="0"/>
                <w:bCs w:val="0"/>
                <w:sz w:val="24"/>
                <w:lang w:val="en-US" w:eastAsia="zh-CN"/>
              </w:rPr>
            </w:pPr>
            <w:r>
              <w:rPr>
                <w:rFonts w:hint="eastAsia" w:eastAsia="黑体" w:cs="Times New Roman"/>
                <w:b w:val="0"/>
                <w:bCs w:val="0"/>
                <w:sz w:val="24"/>
                <w:lang w:val="en-US" w:eastAsia="zh-CN"/>
              </w:rPr>
              <w:t>9、</w:t>
            </w:r>
            <w:r>
              <w:rPr>
                <w:rFonts w:hint="eastAsia" w:ascii="Times New Roman" w:hAnsi="Times New Roman" w:eastAsia="黑体" w:cs="Times New Roman"/>
                <w:b w:val="0"/>
                <w:bCs w:val="0"/>
                <w:sz w:val="24"/>
                <w:lang w:val="en-US" w:eastAsia="zh-CN"/>
              </w:rPr>
              <w:t>生态保护措施</w:t>
            </w:r>
          </w:p>
          <w:p>
            <w:pPr>
              <w:spacing w:line="360" w:lineRule="auto"/>
              <w:ind w:firstLine="480" w:firstLineChars="200"/>
              <w:rPr>
                <w:rFonts w:hint="eastAsia"/>
                <w:kern w:val="0"/>
                <w:sz w:val="24"/>
                <w:lang w:val="en-US" w:eastAsia="zh-CN"/>
              </w:rPr>
            </w:pPr>
            <w:r>
              <w:rPr>
                <w:rFonts w:hint="eastAsia"/>
                <w:kern w:val="0"/>
                <w:sz w:val="24"/>
                <w:lang w:val="en-US" w:eastAsia="zh-CN"/>
              </w:rPr>
              <w:t>为了减小施工过程对生态环境的影响，建议采取以下措施：</w:t>
            </w:r>
          </w:p>
          <w:p>
            <w:pPr>
              <w:spacing w:line="360" w:lineRule="auto"/>
              <w:ind w:firstLine="480" w:firstLineChars="200"/>
              <w:rPr>
                <w:rFonts w:hint="eastAsia"/>
                <w:kern w:val="0"/>
                <w:sz w:val="24"/>
                <w:lang w:val="en-US" w:eastAsia="zh-CN"/>
              </w:rPr>
            </w:pPr>
            <w:r>
              <w:rPr>
                <w:rFonts w:hint="eastAsia"/>
                <w:kern w:val="0"/>
                <w:sz w:val="24"/>
                <w:lang w:val="en-US" w:eastAsia="zh-CN"/>
              </w:rPr>
              <w:t>⑴严格控制工程的占地，限值施工设备、堆料场等临时占地面积，避免对原有植被的破坏；</w:t>
            </w:r>
          </w:p>
          <w:p>
            <w:pPr>
              <w:spacing w:line="360" w:lineRule="auto"/>
              <w:ind w:firstLine="480" w:firstLineChars="200"/>
              <w:rPr>
                <w:rFonts w:hint="eastAsia"/>
                <w:kern w:val="0"/>
                <w:sz w:val="24"/>
                <w:lang w:val="en-US" w:eastAsia="zh-CN"/>
              </w:rPr>
            </w:pPr>
            <w:r>
              <w:rPr>
                <w:rFonts w:hint="eastAsia"/>
                <w:kern w:val="0"/>
                <w:sz w:val="24"/>
                <w:lang w:val="en-US" w:eastAsia="zh-CN"/>
              </w:rPr>
              <w:t>⑵施工后应迅速平整作业场地，填埋土坑，尽快恢复植被；</w:t>
            </w:r>
          </w:p>
          <w:p>
            <w:pPr>
              <w:spacing w:line="360" w:lineRule="auto"/>
              <w:ind w:firstLine="480" w:firstLineChars="200"/>
              <w:rPr>
                <w:rFonts w:hint="eastAsia"/>
                <w:kern w:val="0"/>
                <w:sz w:val="24"/>
                <w:lang w:val="en-US" w:eastAsia="zh-CN"/>
              </w:rPr>
            </w:pPr>
            <w:r>
              <w:rPr>
                <w:rFonts w:hint="eastAsia"/>
                <w:kern w:val="0"/>
                <w:sz w:val="24"/>
                <w:lang w:val="en-US" w:eastAsia="zh-CN"/>
              </w:rPr>
              <w:t>⑶施工弃土全部回填，采用机械碾压及复垦的方式对填埋区域松土进行整实，并对填埋区域采用播撒草籽的方式进行生态恢复。</w:t>
            </w:r>
          </w:p>
          <w:p>
            <w:pPr>
              <w:spacing w:line="360" w:lineRule="auto"/>
              <w:ind w:firstLine="480" w:firstLineChars="200"/>
              <w:rPr>
                <w:rFonts w:hint="eastAsia"/>
                <w:kern w:val="0"/>
                <w:sz w:val="24"/>
                <w:lang w:val="en-US" w:eastAsia="zh-CN"/>
              </w:rPr>
            </w:pPr>
            <w:r>
              <w:rPr>
                <w:rFonts w:hint="eastAsia"/>
                <w:kern w:val="0"/>
                <w:sz w:val="24"/>
                <w:lang w:val="en-US" w:eastAsia="zh-CN"/>
              </w:rPr>
              <w:t>⑷尽可能不在绿地范围内建设施工营地，以减少人类活动对生态环境的扰动影响；</w:t>
            </w:r>
          </w:p>
          <w:p>
            <w:pPr>
              <w:spacing w:line="360" w:lineRule="auto"/>
              <w:ind w:firstLine="480" w:firstLineChars="200"/>
              <w:rPr>
                <w:rFonts w:hint="eastAsia"/>
                <w:kern w:val="0"/>
                <w:sz w:val="24"/>
                <w:lang w:val="en-US" w:eastAsia="zh-CN"/>
              </w:rPr>
            </w:pPr>
            <w:r>
              <w:rPr>
                <w:rFonts w:hint="eastAsia"/>
                <w:kern w:val="0"/>
                <w:sz w:val="24"/>
                <w:lang w:val="en-US" w:eastAsia="zh-CN"/>
              </w:rPr>
              <w:t>⑸施工场地的选择与布置，应尽量少占绿地面积，减少对陆域生态环境的破坏，另外施工开挖、填方，应严格按照批准的施工方案进行，避免任意取土和弃土，未经有关部门批准不得随意砍伐或改变附近区域的植被与绿地性质。</w:t>
            </w:r>
          </w:p>
          <w:p>
            <w:pPr>
              <w:spacing w:line="360" w:lineRule="auto"/>
              <w:ind w:firstLine="480" w:firstLineChars="200"/>
              <w:rPr>
                <w:rFonts w:hint="eastAsia"/>
                <w:kern w:val="0"/>
                <w:sz w:val="24"/>
                <w:lang w:val="en-US" w:eastAsia="zh-CN"/>
              </w:rPr>
            </w:pPr>
            <w:r>
              <w:rPr>
                <w:rFonts w:hint="eastAsia"/>
                <w:kern w:val="0"/>
                <w:sz w:val="24"/>
                <w:lang w:val="en-US" w:eastAsia="zh-CN"/>
              </w:rPr>
              <w:t>⑹施工结束后，及时对临时用地上的建筑物进行拆除，用保存的表层耕植土回填表面复垦或恢复植被；</w:t>
            </w:r>
          </w:p>
          <w:p>
            <w:pPr>
              <w:spacing w:line="360" w:lineRule="auto"/>
              <w:ind w:firstLine="480" w:firstLineChars="200"/>
              <w:rPr>
                <w:rFonts w:hint="eastAsia"/>
                <w:kern w:val="0"/>
                <w:sz w:val="24"/>
                <w:lang w:val="en-US" w:eastAsia="zh-CN"/>
              </w:rPr>
            </w:pPr>
            <w:r>
              <w:rPr>
                <w:rFonts w:hint="eastAsia"/>
                <w:kern w:val="0"/>
                <w:sz w:val="24"/>
                <w:lang w:val="en-US" w:eastAsia="zh-CN"/>
              </w:rPr>
              <w:t>⑺施工物料集中堆放在指定位置，严禁随意堆放。物料堆场采取底部硬化处理、开挖排水沟截留雨水措施，并采取围挡、遮盖等防风措施，防止施工物料通过风吹扬尘、雨水冲刷进入沿线生态系统；</w:t>
            </w:r>
          </w:p>
          <w:p>
            <w:pPr>
              <w:spacing w:line="360" w:lineRule="auto"/>
              <w:ind w:firstLine="480" w:firstLineChars="200"/>
              <w:rPr>
                <w:rFonts w:hint="eastAsia"/>
                <w:kern w:val="0"/>
                <w:sz w:val="24"/>
                <w:lang w:val="en-US" w:eastAsia="zh-CN"/>
              </w:rPr>
            </w:pPr>
            <w:r>
              <w:rPr>
                <w:rFonts w:hint="eastAsia"/>
                <w:kern w:val="0"/>
                <w:sz w:val="24"/>
                <w:lang w:val="en-US" w:eastAsia="zh-CN"/>
              </w:rPr>
              <w:t>⑻施工机械位置和施工人员活动范围要求限定在施工作业范围内，施工机械及其他建筑材料不得乱停乱放，防止破坏区域自然植被。</w:t>
            </w:r>
          </w:p>
          <w:p>
            <w:pPr>
              <w:spacing w:line="360" w:lineRule="auto"/>
              <w:ind w:firstLine="480" w:firstLineChars="200"/>
              <w:rPr>
                <w:rFonts w:hint="eastAsia"/>
                <w:kern w:val="0"/>
                <w:sz w:val="24"/>
                <w:lang w:val="en-US" w:eastAsia="zh-CN"/>
              </w:rPr>
            </w:pPr>
          </w:p>
          <w:p>
            <w:pPr>
              <w:spacing w:line="360" w:lineRule="auto"/>
              <w:ind w:firstLine="480" w:firstLineChars="200"/>
              <w:rPr>
                <w:rFonts w:hint="eastAsia"/>
                <w:kern w:val="0"/>
                <w:sz w:val="24"/>
                <w:lang w:val="en-US" w:eastAsia="zh-CN"/>
              </w:rPr>
            </w:pPr>
          </w:p>
          <w:p>
            <w:pPr>
              <w:adjustRightInd w:val="0"/>
              <w:snapToGrid w:val="0"/>
              <w:spacing w:line="360" w:lineRule="auto"/>
              <w:rPr>
                <w:rFonts w:hint="eastAsia"/>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286" w:type="dxa"/>
            <w:noWrap w:val="0"/>
            <w:vAlign w:val="top"/>
          </w:tcPr>
          <w:p>
            <w:pPr>
              <w:spacing w:line="360" w:lineRule="auto"/>
              <w:rPr>
                <w:b/>
                <w:bCs/>
                <w:sz w:val="28"/>
                <w:szCs w:val="28"/>
              </w:rPr>
            </w:pPr>
            <w:r>
              <w:rPr>
                <w:b/>
                <w:bCs/>
                <w:sz w:val="28"/>
                <w:szCs w:val="28"/>
              </w:rPr>
              <w:t>运营期环境影响分析</w:t>
            </w:r>
            <w:r>
              <w:rPr>
                <w:rFonts w:hint="eastAsia"/>
                <w:b/>
                <w:bCs/>
                <w:sz w:val="28"/>
                <w:szCs w:val="28"/>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黑体" w:cs="Times New Roman"/>
                <w:b w:val="0"/>
                <w:bCs w:val="0"/>
                <w:sz w:val="24"/>
                <w:lang w:val="en-US" w:eastAsia="zh-CN"/>
              </w:rPr>
            </w:pPr>
            <w:r>
              <w:rPr>
                <w:rFonts w:hint="default" w:ascii="Times New Roman" w:hAnsi="Times New Roman" w:eastAsia="黑体" w:cs="Times New Roman"/>
                <w:b w:val="0"/>
                <w:bCs w:val="0"/>
                <w:sz w:val="24"/>
                <w:lang w:val="en-US" w:eastAsia="zh-CN"/>
              </w:rPr>
              <w:t>1、</w:t>
            </w:r>
            <w:r>
              <w:rPr>
                <w:rFonts w:hint="eastAsia" w:ascii="Times New Roman" w:hAnsi="Times New Roman" w:eastAsia="黑体" w:cs="Times New Roman"/>
                <w:b w:val="0"/>
                <w:bCs w:val="0"/>
                <w:sz w:val="24"/>
                <w:lang w:val="en-US" w:eastAsia="zh-CN"/>
              </w:rPr>
              <w:t>生态环境影响分析</w:t>
            </w:r>
          </w:p>
          <w:p>
            <w:pPr>
              <w:adjustRightInd w:val="0"/>
              <w:spacing w:line="360" w:lineRule="auto"/>
              <w:ind w:firstLine="480" w:firstLineChars="200"/>
              <w:rPr>
                <w:rFonts w:hint="default" w:cs="Times New Roman"/>
                <w:snapToGrid w:val="0"/>
                <w:kern w:val="0"/>
                <w:sz w:val="24"/>
                <w:lang w:val="en-US" w:eastAsia="zh-CN"/>
              </w:rPr>
            </w:pPr>
            <w:r>
              <w:rPr>
                <w:rFonts w:hint="eastAsia" w:cs="Times New Roman"/>
                <w:snapToGrid w:val="0"/>
                <w:kern w:val="0"/>
                <w:sz w:val="24"/>
                <w:lang w:val="en-US" w:eastAsia="zh-CN"/>
              </w:rPr>
              <w:t>⑴生态环境现状调查及评价</w:t>
            </w:r>
          </w:p>
          <w:p>
            <w:pPr>
              <w:adjustRightInd w:val="0"/>
              <w:spacing w:line="360" w:lineRule="auto"/>
              <w:ind w:firstLine="480" w:firstLineChars="200"/>
              <w:rPr>
                <w:rFonts w:hint="default" w:cs="Times New Roman"/>
                <w:snapToGrid w:val="0"/>
                <w:kern w:val="0"/>
                <w:sz w:val="24"/>
                <w:lang w:val="en-US" w:eastAsia="zh-CN"/>
              </w:rPr>
            </w:pPr>
            <w:r>
              <w:rPr>
                <w:rFonts w:hint="eastAsia" w:cs="Times New Roman"/>
                <w:snapToGrid w:val="0"/>
                <w:kern w:val="0"/>
                <w:sz w:val="24"/>
                <w:lang w:val="en-US" w:eastAsia="zh-CN"/>
              </w:rPr>
              <w:t>根据对该地区的实地勘察和调查研究。该区域内人口稠密、经济发达，因此评价范围内基本上都是人工生态系统，类型主要有农业生态系统、乡村生态系统和城市生态系统等。各生态系统呈镶嵌性分布，但总体上空间异质性不大。</w:t>
            </w:r>
          </w:p>
          <w:p>
            <w:pPr>
              <w:adjustRightInd w:val="0"/>
              <w:spacing w:line="360" w:lineRule="auto"/>
              <w:ind w:firstLine="480" w:firstLineChars="200"/>
              <w:rPr>
                <w:rFonts w:hint="default" w:ascii="Times New Roman" w:hAnsi="Times New Roman" w:cs="Times New Roman"/>
                <w:snapToGrid w:val="0"/>
                <w:kern w:val="0"/>
                <w:sz w:val="24"/>
                <w:lang w:val="en-US" w:eastAsia="zh-CN"/>
              </w:rPr>
            </w:pPr>
            <w:r>
              <w:rPr>
                <w:rFonts w:hint="eastAsia" w:cs="Times New Roman"/>
                <w:snapToGrid w:val="0"/>
                <w:kern w:val="0"/>
                <w:sz w:val="24"/>
                <w:lang w:val="en-US" w:eastAsia="zh-CN"/>
              </w:rPr>
              <w:t>⑵生态环境影响分析</w:t>
            </w:r>
          </w:p>
          <w:p>
            <w:pPr>
              <w:adjustRightInd w:val="0"/>
              <w:spacing w:line="360" w:lineRule="auto"/>
              <w:ind w:firstLine="480" w:firstLineChars="200"/>
              <w:rPr>
                <w:rFonts w:hint="default" w:ascii="Times New Roman" w:hAnsi="Times New Roman" w:eastAsia="宋体" w:cs="Times New Roman"/>
                <w:snapToGrid w:val="0"/>
                <w:kern w:val="0"/>
                <w:sz w:val="24"/>
                <w:lang w:val="en-US" w:eastAsia="zh-CN"/>
              </w:rPr>
            </w:pPr>
            <w:r>
              <w:rPr>
                <w:rFonts w:hint="eastAsia" w:cs="Times New Roman"/>
                <w:snapToGrid w:val="0"/>
                <w:kern w:val="0"/>
                <w:sz w:val="24"/>
                <w:lang w:val="en-US" w:eastAsia="zh-CN"/>
              </w:rPr>
              <w:t>由于本工程区域为平原地带，属人类长期活动区域，已无珍稀的动植物</w:t>
            </w:r>
            <w:r>
              <w:rPr>
                <w:rFonts w:hint="eastAsia" w:ascii="Times New Roman" w:hAnsi="Times New Roman" w:cs="Times New Roman"/>
                <w:snapToGrid w:val="0"/>
                <w:kern w:val="0"/>
                <w:sz w:val="24"/>
                <w:lang w:eastAsia="zh-CN"/>
              </w:rPr>
              <w:t>。</w:t>
            </w:r>
            <w:r>
              <w:rPr>
                <w:rFonts w:hint="eastAsia" w:cs="Times New Roman"/>
                <w:snapToGrid w:val="0"/>
                <w:kern w:val="0"/>
                <w:sz w:val="24"/>
                <w:lang w:val="en-US" w:eastAsia="zh-CN"/>
              </w:rPr>
              <w:t>所以，工程对动、植物影响较小。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黑体" w:cs="Times New Roman"/>
                <w:b w:val="0"/>
                <w:bCs w:val="0"/>
                <w:sz w:val="24"/>
                <w:lang w:val="en-US" w:eastAsia="zh-CN"/>
              </w:rPr>
            </w:pPr>
            <w:r>
              <w:rPr>
                <w:rFonts w:hint="eastAsia" w:ascii="Times New Roman" w:hAnsi="Times New Roman" w:eastAsia="黑体" w:cs="Times New Roman"/>
                <w:b w:val="0"/>
                <w:bCs w:val="0"/>
                <w:sz w:val="24"/>
                <w:lang w:val="en-US" w:eastAsia="zh-CN"/>
              </w:rPr>
              <w:t>2</w:t>
            </w:r>
            <w:r>
              <w:rPr>
                <w:rFonts w:hint="default" w:ascii="Times New Roman" w:hAnsi="Times New Roman" w:eastAsia="黑体" w:cs="Times New Roman"/>
                <w:b w:val="0"/>
                <w:bCs w:val="0"/>
                <w:sz w:val="24"/>
                <w:lang w:val="en-US" w:eastAsia="zh-CN"/>
              </w:rPr>
              <w:t>、</w:t>
            </w:r>
            <w:r>
              <w:rPr>
                <w:rFonts w:hint="eastAsia" w:ascii="Times New Roman" w:hAnsi="Times New Roman" w:eastAsia="黑体" w:cs="Times New Roman"/>
                <w:b w:val="0"/>
                <w:bCs w:val="0"/>
                <w:sz w:val="24"/>
                <w:lang w:val="en-US" w:eastAsia="zh-CN"/>
              </w:rPr>
              <w:t>景观影响分析</w:t>
            </w:r>
          </w:p>
          <w:p>
            <w:pPr>
              <w:adjustRightInd w:val="0"/>
              <w:spacing w:line="360" w:lineRule="auto"/>
              <w:ind w:firstLine="480" w:firstLineChars="200"/>
              <w:rPr>
                <w:rFonts w:hint="default" w:eastAsia="黑体"/>
                <w:sz w:val="24"/>
                <w:lang w:val="en-US"/>
              </w:rPr>
            </w:pPr>
            <w:r>
              <w:rPr>
                <w:rFonts w:hint="eastAsia" w:cs="Times New Roman"/>
                <w:snapToGrid w:val="0"/>
                <w:kern w:val="0"/>
                <w:sz w:val="24"/>
                <w:lang w:val="en-US" w:eastAsia="zh-CN"/>
              </w:rPr>
              <w:t>工程区域原为废弃矿山，已停止开采。矿山经过多年开采后，形成了高陡的岩质边坡，严重破坏了当地原生植被，影响了周边村镇视觉景观，矿山边坡存在岩体崩坍地质灾害隐患。项目实施后，山体将变得较美观和整洁；绿化得以丰富，景观更加具有层次感。故从景观变化而言，项目的建设正面影响大于负面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黑体" w:cs="Times New Roman"/>
                <w:b w:val="0"/>
                <w:bCs w:val="0"/>
                <w:sz w:val="24"/>
                <w:lang w:val="en-US" w:eastAsia="zh-CN"/>
              </w:rPr>
            </w:pPr>
            <w:r>
              <w:rPr>
                <w:rFonts w:hint="eastAsia" w:ascii="Times New Roman" w:hAnsi="Times New Roman" w:eastAsia="黑体" w:cs="Times New Roman"/>
                <w:b w:val="0"/>
                <w:bCs w:val="0"/>
                <w:sz w:val="24"/>
                <w:lang w:val="en-US" w:eastAsia="zh-CN"/>
              </w:rPr>
              <w:t>3</w:t>
            </w:r>
            <w:r>
              <w:rPr>
                <w:rFonts w:hint="default" w:ascii="Times New Roman" w:hAnsi="Times New Roman" w:eastAsia="黑体" w:cs="Times New Roman"/>
                <w:b w:val="0"/>
                <w:bCs w:val="0"/>
                <w:sz w:val="24"/>
                <w:lang w:val="en-US" w:eastAsia="zh-CN"/>
              </w:rPr>
              <w:t>、</w:t>
            </w:r>
            <w:r>
              <w:rPr>
                <w:rFonts w:hint="eastAsia" w:ascii="Times New Roman" w:hAnsi="Times New Roman" w:eastAsia="黑体" w:cs="Times New Roman"/>
                <w:b w:val="0"/>
                <w:bCs w:val="0"/>
                <w:sz w:val="24"/>
                <w:lang w:val="en-US" w:eastAsia="zh-CN"/>
              </w:rPr>
              <w:t>大气环境影响分析</w:t>
            </w:r>
          </w:p>
          <w:p>
            <w:pPr>
              <w:adjustRightInd w:val="0"/>
              <w:spacing w:line="360" w:lineRule="auto"/>
              <w:ind w:firstLine="480" w:firstLineChars="200"/>
              <w:rPr>
                <w:rFonts w:hint="eastAsia" w:cs="Times New Roman"/>
                <w:snapToGrid w:val="0"/>
                <w:kern w:val="0"/>
                <w:sz w:val="24"/>
                <w:lang w:val="en-US" w:eastAsia="zh-CN"/>
              </w:rPr>
            </w:pPr>
            <w:r>
              <w:rPr>
                <w:rFonts w:hint="eastAsia" w:cs="Times New Roman"/>
                <w:snapToGrid w:val="0"/>
                <w:kern w:val="0"/>
                <w:sz w:val="24"/>
                <w:lang w:val="en-US" w:eastAsia="zh-CN"/>
              </w:rPr>
              <w:t>本项目为对废弃矿山生态环境的综合治理，项目实施后无废气产生，对周围环境空气质量和保护目标基本无影响。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黑体" w:cs="Times New Roman"/>
                <w:b w:val="0"/>
                <w:bCs w:val="0"/>
                <w:sz w:val="24"/>
                <w:lang w:val="en-US" w:eastAsia="zh-CN"/>
              </w:rPr>
            </w:pPr>
            <w:r>
              <w:rPr>
                <w:rFonts w:hint="eastAsia" w:ascii="Times New Roman" w:hAnsi="Times New Roman" w:eastAsia="黑体" w:cs="Times New Roman"/>
                <w:b w:val="0"/>
                <w:bCs w:val="0"/>
                <w:sz w:val="24"/>
                <w:lang w:val="en-US" w:eastAsia="zh-CN"/>
              </w:rPr>
              <w:t>4</w:t>
            </w:r>
            <w:r>
              <w:rPr>
                <w:rFonts w:hint="default" w:ascii="Times New Roman" w:hAnsi="Times New Roman" w:eastAsia="黑体" w:cs="Times New Roman"/>
                <w:b w:val="0"/>
                <w:bCs w:val="0"/>
                <w:sz w:val="24"/>
                <w:lang w:val="en-US" w:eastAsia="zh-CN"/>
              </w:rPr>
              <w:t>、</w:t>
            </w:r>
            <w:r>
              <w:rPr>
                <w:rFonts w:hint="eastAsia" w:ascii="Times New Roman" w:hAnsi="Times New Roman" w:eastAsia="黑体" w:cs="Times New Roman"/>
                <w:b w:val="0"/>
                <w:bCs w:val="0"/>
                <w:sz w:val="24"/>
                <w:lang w:val="en-US" w:eastAsia="zh-CN"/>
              </w:rPr>
              <w:t>水环境影响分析</w:t>
            </w:r>
          </w:p>
          <w:p>
            <w:pPr>
              <w:adjustRightInd w:val="0"/>
              <w:spacing w:line="360" w:lineRule="auto"/>
              <w:ind w:firstLine="480" w:firstLineChars="200"/>
              <w:rPr>
                <w:rFonts w:hint="eastAsia" w:cs="Times New Roman"/>
                <w:snapToGrid w:val="0"/>
                <w:kern w:val="0"/>
                <w:sz w:val="24"/>
                <w:lang w:val="en-US" w:eastAsia="zh-CN"/>
              </w:rPr>
            </w:pPr>
            <w:r>
              <w:rPr>
                <w:rFonts w:hint="eastAsia" w:cs="Times New Roman"/>
                <w:snapToGrid w:val="0"/>
                <w:kern w:val="0"/>
                <w:sz w:val="24"/>
                <w:lang w:val="en-US" w:eastAsia="zh-CN"/>
              </w:rPr>
              <w:t>本项目运营期水环境影响主要是地面径流对水体的影响。</w:t>
            </w:r>
          </w:p>
          <w:p>
            <w:pPr>
              <w:adjustRightInd w:val="0"/>
              <w:spacing w:line="360" w:lineRule="auto"/>
              <w:ind w:firstLine="480" w:firstLineChars="200"/>
              <w:rPr>
                <w:rFonts w:hint="eastAsia" w:cs="Times New Roman"/>
                <w:snapToGrid w:val="0"/>
                <w:kern w:val="0"/>
                <w:sz w:val="24"/>
                <w:lang w:val="en-US" w:eastAsia="zh-CN"/>
              </w:rPr>
            </w:pPr>
            <w:r>
              <w:rPr>
                <w:rFonts w:hint="eastAsia" w:cs="Times New Roman"/>
                <w:snapToGrid w:val="0"/>
                <w:kern w:val="0"/>
                <w:sz w:val="24"/>
                <w:lang w:val="en-US" w:eastAsia="zh-CN"/>
              </w:rPr>
              <w:t>地面径流是运营期产生的非经常性污水，主要为降水径流，其中的污染物主要来自两个途径：</w:t>
            </w:r>
          </w:p>
          <w:p>
            <w:pPr>
              <w:adjustRightInd w:val="0"/>
              <w:spacing w:line="360" w:lineRule="auto"/>
              <w:ind w:firstLine="480" w:firstLineChars="200"/>
              <w:rPr>
                <w:rFonts w:hint="default" w:cs="Times New Roman"/>
                <w:snapToGrid w:val="0"/>
                <w:kern w:val="0"/>
                <w:sz w:val="24"/>
                <w:lang w:val="en-US" w:eastAsia="zh-CN"/>
              </w:rPr>
            </w:pPr>
            <w:r>
              <w:rPr>
                <w:rFonts w:hint="eastAsia" w:cs="Times New Roman"/>
                <w:snapToGrid w:val="0"/>
                <w:kern w:val="0"/>
                <w:sz w:val="24"/>
                <w:lang w:val="en-US" w:eastAsia="zh-CN"/>
              </w:rPr>
              <w:t>⑴降水淋洗空气中的污染物；</w:t>
            </w:r>
          </w:p>
          <w:p>
            <w:pPr>
              <w:adjustRightInd w:val="0"/>
              <w:spacing w:line="360" w:lineRule="auto"/>
              <w:ind w:firstLine="480" w:firstLineChars="200"/>
              <w:rPr>
                <w:rFonts w:hint="default" w:cs="Times New Roman"/>
                <w:snapToGrid w:val="0"/>
                <w:kern w:val="0"/>
                <w:sz w:val="24"/>
                <w:lang w:val="en-US" w:eastAsia="zh-CN"/>
              </w:rPr>
            </w:pPr>
            <w:r>
              <w:rPr>
                <w:rFonts w:hint="eastAsia" w:cs="Times New Roman"/>
                <w:snapToGrid w:val="0"/>
                <w:kern w:val="0"/>
                <w:sz w:val="24"/>
                <w:lang w:val="en-US" w:eastAsia="zh-CN"/>
              </w:rPr>
              <w:t>⑵降水径流冲刷挟带的地表污染物，主要为不透水表面上的碎屑、尘土等。</w:t>
            </w:r>
          </w:p>
          <w:p>
            <w:pPr>
              <w:adjustRightInd w:val="0"/>
              <w:spacing w:line="360" w:lineRule="auto"/>
              <w:ind w:firstLine="480" w:firstLineChars="200"/>
              <w:rPr>
                <w:rFonts w:hint="default" w:cs="Times New Roman"/>
                <w:snapToGrid w:val="0"/>
                <w:kern w:val="0"/>
                <w:sz w:val="24"/>
                <w:lang w:val="en-US" w:eastAsia="zh-CN"/>
              </w:rPr>
            </w:pPr>
            <w:r>
              <w:rPr>
                <w:rFonts w:hint="eastAsia" w:cs="Times New Roman"/>
                <w:snapToGrid w:val="0"/>
                <w:kern w:val="0"/>
                <w:sz w:val="24"/>
                <w:lang w:val="en-US" w:eastAsia="zh-CN"/>
              </w:rPr>
              <w:t>地表径流占整个区域地面径流量的比例是很小的，加之地面径流为分散排放，故对沿线水质基本无影响。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黑体" w:cs="Times New Roman"/>
                <w:b w:val="0"/>
                <w:bCs w:val="0"/>
                <w:sz w:val="24"/>
                <w:lang w:val="en-US" w:eastAsia="zh-CN"/>
              </w:rPr>
            </w:pPr>
            <w:r>
              <w:rPr>
                <w:rFonts w:hint="eastAsia" w:ascii="Times New Roman" w:hAnsi="Times New Roman" w:eastAsia="黑体" w:cs="Times New Roman"/>
                <w:b w:val="0"/>
                <w:bCs w:val="0"/>
                <w:sz w:val="24"/>
                <w:lang w:val="en-US" w:eastAsia="zh-CN"/>
              </w:rPr>
              <w:t>5</w:t>
            </w:r>
            <w:r>
              <w:rPr>
                <w:rFonts w:hint="default" w:ascii="Times New Roman" w:hAnsi="Times New Roman" w:eastAsia="黑体" w:cs="Times New Roman"/>
                <w:b w:val="0"/>
                <w:bCs w:val="0"/>
                <w:sz w:val="24"/>
                <w:lang w:val="en-US" w:eastAsia="zh-CN"/>
              </w:rPr>
              <w:t>、</w:t>
            </w:r>
            <w:r>
              <w:rPr>
                <w:rFonts w:hint="eastAsia" w:ascii="Times New Roman" w:hAnsi="Times New Roman" w:eastAsia="黑体" w:cs="Times New Roman"/>
                <w:b w:val="0"/>
                <w:bCs w:val="0"/>
                <w:sz w:val="24"/>
                <w:lang w:val="en-US" w:eastAsia="zh-CN"/>
              </w:rPr>
              <w:t>声环境影响分析</w:t>
            </w:r>
          </w:p>
          <w:p>
            <w:pPr>
              <w:adjustRightInd w:val="0"/>
              <w:spacing w:line="360" w:lineRule="auto"/>
              <w:ind w:firstLine="480" w:firstLineChars="200"/>
              <w:rPr>
                <w:rFonts w:hint="eastAsia" w:cs="Times New Roman"/>
                <w:snapToGrid w:val="0"/>
                <w:kern w:val="0"/>
                <w:sz w:val="24"/>
                <w:lang w:val="en-US" w:eastAsia="zh-CN"/>
              </w:rPr>
            </w:pPr>
            <w:r>
              <w:rPr>
                <w:rFonts w:hint="eastAsia" w:cs="Times New Roman"/>
                <w:snapToGrid w:val="0"/>
                <w:kern w:val="0"/>
                <w:sz w:val="24"/>
                <w:lang w:val="en-US" w:eastAsia="zh-CN"/>
              </w:rPr>
              <w:t>本项目为废弃矿山生态环境综合治理项目，项目实施后无噪声产生，对周围声环境质量和保护目标基本无影响。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黑体" w:cs="Times New Roman"/>
                <w:b w:val="0"/>
                <w:bCs w:val="0"/>
                <w:sz w:val="24"/>
                <w:lang w:val="en-US" w:eastAsia="zh-CN"/>
              </w:rPr>
            </w:pPr>
            <w:r>
              <w:rPr>
                <w:rFonts w:hint="eastAsia" w:ascii="Times New Roman" w:hAnsi="Times New Roman" w:eastAsia="黑体" w:cs="Times New Roman"/>
                <w:b w:val="0"/>
                <w:bCs w:val="0"/>
                <w:sz w:val="24"/>
                <w:lang w:val="en-US" w:eastAsia="zh-CN"/>
              </w:rPr>
              <w:t>6</w:t>
            </w:r>
            <w:r>
              <w:rPr>
                <w:rFonts w:hint="default" w:ascii="Times New Roman" w:hAnsi="Times New Roman" w:eastAsia="黑体" w:cs="Times New Roman"/>
                <w:b w:val="0"/>
                <w:bCs w:val="0"/>
                <w:sz w:val="24"/>
                <w:lang w:val="en-US" w:eastAsia="zh-CN"/>
              </w:rPr>
              <w:t>、</w:t>
            </w:r>
            <w:r>
              <w:rPr>
                <w:rFonts w:hint="eastAsia" w:ascii="Times New Roman" w:hAnsi="Times New Roman" w:eastAsia="黑体" w:cs="Times New Roman"/>
                <w:b w:val="0"/>
                <w:bCs w:val="0"/>
                <w:sz w:val="24"/>
                <w:lang w:val="en-US" w:eastAsia="zh-CN"/>
              </w:rPr>
              <w:t>社会环境和经济环境影响分析</w:t>
            </w:r>
          </w:p>
          <w:p>
            <w:pPr>
              <w:adjustRightInd w:val="0"/>
              <w:spacing w:line="360" w:lineRule="auto"/>
              <w:ind w:firstLine="480" w:firstLineChars="200"/>
              <w:rPr>
                <w:rFonts w:hint="eastAsia" w:cs="Times New Roman"/>
                <w:snapToGrid w:val="0"/>
                <w:kern w:val="0"/>
                <w:sz w:val="24"/>
                <w:lang w:val="en-US" w:eastAsia="zh-CN"/>
              </w:rPr>
            </w:pPr>
            <w:r>
              <w:rPr>
                <w:rFonts w:hint="eastAsia" w:cs="Times New Roman"/>
                <w:snapToGrid w:val="0"/>
                <w:kern w:val="0"/>
                <w:sz w:val="24"/>
                <w:lang w:val="en-US" w:eastAsia="zh-CN"/>
              </w:rPr>
              <w:t>本项目的建设符合城市总体规划，建成后必将有效完善村镇周边的绿化环境，改善居民的生活。消除了岩体崩坍地质灾害隐患，改善山体生态环境，美化了视觉景观，变废为宝，促进了地方经济发展。</w:t>
            </w:r>
          </w:p>
          <w:p>
            <w:pPr>
              <w:adjustRightInd w:val="0"/>
              <w:spacing w:line="360" w:lineRule="auto"/>
              <w:ind w:firstLine="480" w:firstLineChars="200"/>
              <w:rPr>
                <w:rFonts w:hint="eastAsia" w:cs="Times New Roman"/>
                <w:snapToGrid w:val="0"/>
                <w:kern w:val="0"/>
                <w:sz w:val="24"/>
                <w:lang w:val="en-US" w:eastAsia="zh-CN"/>
              </w:rPr>
            </w:pPr>
          </w:p>
          <w:p>
            <w:pPr>
              <w:adjustRightInd w:val="0"/>
              <w:spacing w:line="360" w:lineRule="auto"/>
              <w:rPr>
                <w:rFonts w:hint="default" w:ascii="Times New Roman" w:hAnsi="Times New Roman" w:eastAsia="宋体" w:cs="Times New Roman"/>
                <w:b/>
                <w:bCs/>
                <w:sz w:val="28"/>
                <w:szCs w:val="28"/>
              </w:rPr>
            </w:pPr>
          </w:p>
          <w:p>
            <w:pPr>
              <w:pStyle w:val="2"/>
              <w:rPr>
                <w:rFonts w:hint="default"/>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default" w:ascii="Times New Roman" w:hAnsi="Times New Roman" w:eastAsia="宋体" w:cs="Times New Roman"/>
                <w:b/>
                <w:bCs/>
                <w:sz w:val="28"/>
                <w:szCs w:val="28"/>
              </w:rPr>
            </w:pPr>
          </w:p>
          <w:p>
            <w:pPr>
              <w:adjustRightInd w:val="0"/>
              <w:spacing w:line="360" w:lineRule="auto"/>
              <w:rPr>
                <w:rFonts w:hint="eastAsia"/>
                <w:sz w:val="24"/>
              </w:rPr>
            </w:pPr>
          </w:p>
        </w:tc>
      </w:tr>
    </w:tbl>
    <w:p>
      <w:pPr>
        <w:pStyle w:val="15"/>
        <w:spacing w:line="240" w:lineRule="auto"/>
        <w:jc w:val="both"/>
        <w:outlineLvl w:val="0"/>
        <w:rPr>
          <w:rFonts w:ascii="黑体" w:hAnsi="黑体" w:eastAsia="黑体"/>
          <w:sz w:val="30"/>
          <w:szCs w:val="30"/>
        </w:rPr>
      </w:pPr>
      <w:r>
        <w:rPr>
          <w:rFonts w:hint="eastAsia" w:ascii="Times New Roman" w:hAnsi="Times New Roman" w:eastAsia="宋体" w:cs="Times New Roman"/>
          <w:b/>
          <w:bCs/>
          <w:sz w:val="30"/>
          <w:szCs w:val="30"/>
          <w:lang w:eastAsia="zh-CN"/>
        </w:rPr>
        <w:t>八、</w:t>
      </w:r>
      <w:r>
        <w:rPr>
          <w:rFonts w:hint="default" w:ascii="Times New Roman" w:hAnsi="Times New Roman" w:eastAsia="宋体" w:cs="Times New Roman"/>
          <w:b/>
          <w:bCs/>
          <w:sz w:val="30"/>
          <w:szCs w:val="30"/>
        </w:rPr>
        <w:t>建设项目拟采取的防治措施及预期治理效果</w:t>
      </w:r>
    </w:p>
    <w:tbl>
      <w:tblPr>
        <w:tblStyle w:val="19"/>
        <w:tblW w:w="910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30"/>
        <w:gridCol w:w="1125"/>
        <w:gridCol w:w="1245"/>
        <w:gridCol w:w="3500"/>
        <w:gridCol w:w="210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6" w:hRule="atLeast"/>
          <w:jc w:val="center"/>
        </w:trPr>
        <w:tc>
          <w:tcPr>
            <w:tcW w:w="1130" w:type="dxa"/>
            <w:tcBorders>
              <w:top w:val="single" w:color="000000" w:sz="12" w:space="0"/>
              <w:bottom w:val="single" w:color="000000" w:sz="6" w:space="0"/>
              <w:tl2br w:val="single" w:color="000000" w:sz="4" w:space="0"/>
            </w:tcBorders>
            <w:noWrap w:val="0"/>
            <w:vAlign w:val="center"/>
          </w:tcPr>
          <w:p>
            <w:pPr>
              <w:adjustRightInd w:val="0"/>
              <w:spacing w:line="240" w:lineRule="auto"/>
              <w:jc w:val="center"/>
              <w:rPr>
                <w:b/>
                <w:sz w:val="24"/>
                <w:szCs w:val="24"/>
              </w:rPr>
            </w:pPr>
            <w:r>
              <w:rPr>
                <w:rFonts w:hint="eastAsia"/>
                <w:b/>
                <w:sz w:val="24"/>
                <w:szCs w:val="24"/>
                <w:lang w:val="en-US" w:eastAsia="zh-CN"/>
              </w:rPr>
              <w:t xml:space="preserve"> </w:t>
            </w:r>
            <w:r>
              <w:rPr>
                <w:b/>
                <w:sz w:val="24"/>
                <w:szCs w:val="24"/>
              </w:rPr>
              <w:t>内容</w:t>
            </w:r>
          </w:p>
          <w:p>
            <w:pPr>
              <w:adjustRightInd w:val="0"/>
              <w:spacing w:line="240" w:lineRule="auto"/>
              <w:jc w:val="both"/>
              <w:rPr>
                <w:b/>
                <w:sz w:val="24"/>
                <w:szCs w:val="24"/>
              </w:rPr>
            </w:pPr>
            <w:r>
              <w:rPr>
                <w:b/>
                <w:sz w:val="24"/>
                <w:szCs w:val="24"/>
              </w:rPr>
              <w:t>类型</w:t>
            </w:r>
          </w:p>
        </w:tc>
        <w:tc>
          <w:tcPr>
            <w:tcW w:w="1125" w:type="dxa"/>
            <w:tcBorders>
              <w:top w:val="single" w:color="000000" w:sz="12" w:space="0"/>
              <w:bottom w:val="single" w:color="000000" w:sz="6" w:space="0"/>
            </w:tcBorders>
            <w:noWrap w:val="0"/>
            <w:vAlign w:val="center"/>
          </w:tcPr>
          <w:p>
            <w:pPr>
              <w:adjustRightInd w:val="0"/>
              <w:spacing w:line="240" w:lineRule="auto"/>
              <w:jc w:val="center"/>
              <w:rPr>
                <w:b/>
                <w:sz w:val="24"/>
                <w:szCs w:val="24"/>
              </w:rPr>
            </w:pPr>
            <w:r>
              <w:rPr>
                <w:b/>
                <w:sz w:val="24"/>
                <w:szCs w:val="24"/>
              </w:rPr>
              <w:t>排放源</w:t>
            </w:r>
          </w:p>
        </w:tc>
        <w:tc>
          <w:tcPr>
            <w:tcW w:w="1245" w:type="dxa"/>
            <w:tcBorders>
              <w:top w:val="single" w:color="000000" w:sz="12" w:space="0"/>
              <w:bottom w:val="single" w:color="000000" w:sz="6" w:space="0"/>
            </w:tcBorders>
            <w:noWrap w:val="0"/>
            <w:vAlign w:val="center"/>
          </w:tcPr>
          <w:p>
            <w:pPr>
              <w:adjustRightInd w:val="0"/>
              <w:spacing w:line="240" w:lineRule="auto"/>
              <w:jc w:val="center"/>
              <w:rPr>
                <w:b/>
                <w:sz w:val="24"/>
                <w:szCs w:val="24"/>
              </w:rPr>
            </w:pPr>
            <w:r>
              <w:rPr>
                <w:b/>
                <w:sz w:val="24"/>
                <w:szCs w:val="24"/>
              </w:rPr>
              <w:t>污染物名称</w:t>
            </w:r>
          </w:p>
        </w:tc>
        <w:tc>
          <w:tcPr>
            <w:tcW w:w="3500" w:type="dxa"/>
            <w:tcBorders>
              <w:top w:val="single" w:color="000000" w:sz="12" w:space="0"/>
              <w:bottom w:val="single" w:color="000000" w:sz="6" w:space="0"/>
            </w:tcBorders>
            <w:noWrap w:val="0"/>
            <w:vAlign w:val="center"/>
          </w:tcPr>
          <w:p>
            <w:pPr>
              <w:spacing w:line="240" w:lineRule="auto"/>
              <w:jc w:val="center"/>
              <w:rPr>
                <w:b/>
                <w:sz w:val="24"/>
                <w:szCs w:val="24"/>
              </w:rPr>
            </w:pPr>
            <w:r>
              <w:rPr>
                <w:b/>
                <w:sz w:val="24"/>
                <w:szCs w:val="24"/>
              </w:rPr>
              <w:t>防治措施</w:t>
            </w:r>
          </w:p>
        </w:tc>
        <w:tc>
          <w:tcPr>
            <w:tcW w:w="2100" w:type="dxa"/>
            <w:tcBorders>
              <w:top w:val="single" w:color="000000" w:sz="12" w:space="0"/>
              <w:bottom w:val="single" w:color="000000" w:sz="6" w:space="0"/>
            </w:tcBorders>
            <w:noWrap w:val="0"/>
            <w:vAlign w:val="center"/>
          </w:tcPr>
          <w:p>
            <w:pPr>
              <w:spacing w:line="240" w:lineRule="auto"/>
              <w:jc w:val="center"/>
              <w:rPr>
                <w:b/>
                <w:sz w:val="24"/>
                <w:szCs w:val="24"/>
              </w:rPr>
            </w:pPr>
            <w:r>
              <w:rPr>
                <w:b/>
                <w:sz w:val="24"/>
                <w:szCs w:val="24"/>
              </w:rPr>
              <w:t>预期治理效果</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30" w:type="dxa"/>
            <w:vMerge w:val="restart"/>
            <w:noWrap w:val="0"/>
            <w:vAlign w:val="center"/>
          </w:tcPr>
          <w:p>
            <w:pPr>
              <w:adjustRightInd w:val="0"/>
              <w:spacing w:line="240" w:lineRule="auto"/>
              <w:jc w:val="center"/>
              <w:textAlignment w:val="baseline"/>
              <w:rPr>
                <w:rFonts w:hint="default" w:eastAsia="宋体"/>
                <w:sz w:val="24"/>
                <w:szCs w:val="24"/>
                <w:lang w:val="en-US" w:eastAsia="zh-CN"/>
              </w:rPr>
            </w:pPr>
            <w:r>
              <w:rPr>
                <w:rFonts w:hint="eastAsia"/>
                <w:sz w:val="24"/>
                <w:szCs w:val="24"/>
                <w:lang w:val="en-US" w:eastAsia="zh-CN"/>
              </w:rPr>
              <w:t>废气污染物</w:t>
            </w:r>
          </w:p>
        </w:tc>
        <w:tc>
          <w:tcPr>
            <w:tcW w:w="1125" w:type="dxa"/>
            <w:vMerge w:val="restart"/>
            <w:tcBorders>
              <w:top w:val="single" w:color="000000" w:sz="6" w:space="0"/>
            </w:tcBorders>
            <w:noWrap w:val="0"/>
            <w:vAlign w:val="center"/>
          </w:tcPr>
          <w:p>
            <w:pPr>
              <w:jc w:val="center"/>
              <w:rPr>
                <w:rFonts w:hint="eastAsia"/>
                <w:color w:val="000000"/>
                <w:kern w:val="0"/>
                <w:sz w:val="24"/>
                <w:lang w:eastAsia="zh-CN"/>
              </w:rPr>
            </w:pPr>
            <w:r>
              <w:rPr>
                <w:rFonts w:hint="eastAsia"/>
                <w:color w:val="000000"/>
                <w:kern w:val="0"/>
                <w:sz w:val="24"/>
                <w:lang w:val="en-US" w:eastAsia="zh-CN"/>
              </w:rPr>
              <w:t>施工场地</w:t>
            </w:r>
          </w:p>
        </w:tc>
        <w:tc>
          <w:tcPr>
            <w:tcW w:w="1245" w:type="dxa"/>
            <w:tcBorders>
              <w:top w:val="single" w:color="000000" w:sz="6" w:space="0"/>
              <w:bottom w:val="single" w:color="000000" w:sz="6" w:space="0"/>
            </w:tcBorders>
            <w:noWrap w:val="0"/>
            <w:vAlign w:val="center"/>
          </w:tcPr>
          <w:p>
            <w:pPr>
              <w:jc w:val="center"/>
              <w:rPr>
                <w:rFonts w:hint="eastAsia"/>
                <w:color w:val="000000"/>
                <w:kern w:val="0"/>
                <w:sz w:val="24"/>
                <w:lang w:eastAsia="zh-CN"/>
              </w:rPr>
            </w:pPr>
            <w:r>
              <w:rPr>
                <w:rFonts w:hint="eastAsia"/>
                <w:color w:val="000000"/>
                <w:kern w:val="0"/>
                <w:sz w:val="24"/>
              </w:rPr>
              <w:t>扬尘</w:t>
            </w:r>
          </w:p>
        </w:tc>
        <w:tc>
          <w:tcPr>
            <w:tcW w:w="3500" w:type="dxa"/>
            <w:tcBorders>
              <w:top w:val="single" w:color="000000" w:sz="6" w:space="0"/>
              <w:bottom w:val="single" w:color="000000" w:sz="6" w:space="0"/>
            </w:tcBorders>
            <w:noWrap w:val="0"/>
            <w:vAlign w:val="center"/>
          </w:tcPr>
          <w:p>
            <w:pPr>
              <w:jc w:val="center"/>
              <w:rPr>
                <w:rFonts w:hint="eastAsia"/>
                <w:color w:val="000000"/>
                <w:kern w:val="0"/>
                <w:sz w:val="24"/>
              </w:rPr>
            </w:pPr>
            <w:r>
              <w:rPr>
                <w:rFonts w:hint="eastAsia"/>
                <w:color w:val="000000"/>
                <w:kern w:val="0"/>
                <w:sz w:val="24"/>
              </w:rPr>
              <w:t>材料采用封闭式运输，设置围挡，禁止大风天气进行开挖、拌合、材料装卸工作</w:t>
            </w:r>
          </w:p>
        </w:tc>
        <w:tc>
          <w:tcPr>
            <w:tcW w:w="2100" w:type="dxa"/>
            <w:tcBorders>
              <w:top w:val="single" w:color="000000" w:sz="6" w:space="0"/>
            </w:tcBorders>
            <w:noWrap w:val="0"/>
            <w:vAlign w:val="center"/>
          </w:tcPr>
          <w:p>
            <w:pPr>
              <w:widowControl/>
              <w:spacing w:line="240" w:lineRule="auto"/>
              <w:jc w:val="center"/>
              <w:rPr>
                <w:sz w:val="24"/>
                <w:szCs w:val="24"/>
              </w:rPr>
            </w:pPr>
            <w:r>
              <w:rPr>
                <w:rFonts w:hint="eastAsia"/>
                <w:sz w:val="24"/>
                <w:szCs w:val="24"/>
                <w:lang w:val="en-US" w:eastAsia="zh-CN"/>
              </w:rPr>
              <w:t>满足</w:t>
            </w:r>
            <w:r>
              <w:rPr>
                <w:rFonts w:hint="eastAsia"/>
                <w:sz w:val="24"/>
                <w:szCs w:val="24"/>
              </w:rPr>
              <w:t>《大气污染物综合排放标准》（GB16297-1996）中颗粒物的无组织排放监控浓度限值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30" w:type="dxa"/>
            <w:vMerge w:val="continue"/>
            <w:noWrap w:val="0"/>
            <w:vAlign w:val="center"/>
          </w:tcPr>
          <w:p>
            <w:pPr>
              <w:adjustRightInd w:val="0"/>
              <w:spacing w:line="240" w:lineRule="auto"/>
              <w:jc w:val="center"/>
              <w:textAlignment w:val="baseline"/>
              <w:rPr>
                <w:rFonts w:hint="eastAsia"/>
                <w:sz w:val="24"/>
                <w:szCs w:val="24"/>
                <w:lang w:val="en-US" w:eastAsia="zh-CN"/>
              </w:rPr>
            </w:pPr>
          </w:p>
        </w:tc>
        <w:tc>
          <w:tcPr>
            <w:tcW w:w="1125" w:type="dxa"/>
            <w:vMerge w:val="continue"/>
            <w:tcBorders>
              <w:top w:val="single" w:color="000000" w:sz="6" w:space="0"/>
            </w:tcBorders>
            <w:noWrap w:val="0"/>
            <w:vAlign w:val="center"/>
          </w:tcPr>
          <w:p>
            <w:pPr>
              <w:jc w:val="center"/>
              <w:rPr>
                <w:rFonts w:hint="eastAsia"/>
                <w:color w:val="000000"/>
                <w:kern w:val="0"/>
                <w:sz w:val="24"/>
                <w:lang w:val="en-US" w:eastAsia="zh-CN"/>
              </w:rPr>
            </w:pPr>
          </w:p>
        </w:tc>
        <w:tc>
          <w:tcPr>
            <w:tcW w:w="1245" w:type="dxa"/>
            <w:tcBorders>
              <w:top w:val="single" w:color="000000" w:sz="6" w:space="0"/>
              <w:bottom w:val="single" w:color="000000" w:sz="6" w:space="0"/>
            </w:tcBorders>
            <w:noWrap w:val="0"/>
            <w:vAlign w:val="center"/>
          </w:tcPr>
          <w:p>
            <w:pPr>
              <w:jc w:val="center"/>
              <w:rPr>
                <w:rFonts w:hint="eastAsia"/>
                <w:color w:val="000000"/>
                <w:kern w:val="0"/>
                <w:sz w:val="24"/>
                <w:lang w:val="en-US" w:eastAsia="zh-CN"/>
              </w:rPr>
            </w:pPr>
            <w:r>
              <w:rPr>
                <w:rFonts w:hint="eastAsia"/>
                <w:color w:val="000000"/>
                <w:kern w:val="0"/>
                <w:sz w:val="24"/>
              </w:rPr>
              <w:t>机械尾气</w:t>
            </w:r>
          </w:p>
        </w:tc>
        <w:tc>
          <w:tcPr>
            <w:tcW w:w="3500" w:type="dxa"/>
            <w:tcBorders>
              <w:top w:val="single" w:color="000000" w:sz="6" w:space="0"/>
              <w:bottom w:val="single" w:color="000000" w:sz="6" w:space="0"/>
            </w:tcBorders>
            <w:noWrap w:val="0"/>
            <w:vAlign w:val="center"/>
          </w:tcPr>
          <w:p>
            <w:pPr>
              <w:jc w:val="center"/>
              <w:rPr>
                <w:rFonts w:hint="eastAsia"/>
                <w:color w:val="000000"/>
                <w:kern w:val="0"/>
                <w:sz w:val="24"/>
                <w:lang w:val="en-US" w:eastAsia="zh-CN"/>
              </w:rPr>
            </w:pPr>
            <w:r>
              <w:rPr>
                <w:rFonts w:hint="eastAsia"/>
                <w:color w:val="000000"/>
                <w:kern w:val="0"/>
                <w:sz w:val="24"/>
              </w:rPr>
              <w:t>选用符合国家有关标准的施工机械和运输工具，加强机械保养维修，选用较高质量的油品</w:t>
            </w:r>
          </w:p>
        </w:tc>
        <w:tc>
          <w:tcPr>
            <w:tcW w:w="2100" w:type="dxa"/>
            <w:noWrap w:val="0"/>
            <w:vAlign w:val="center"/>
          </w:tcPr>
          <w:p>
            <w:pPr>
              <w:widowControl/>
              <w:spacing w:line="240" w:lineRule="auto"/>
              <w:jc w:val="center"/>
              <w:rPr>
                <w:rFonts w:hint="eastAsia" w:ascii="Times New Roman" w:hAnsi="Times New Roman" w:eastAsia="宋体" w:cs="宋体"/>
                <w:kern w:val="0"/>
                <w:sz w:val="24"/>
                <w:szCs w:val="24"/>
              </w:rPr>
            </w:pPr>
            <w:r>
              <w:rPr>
                <w:rFonts w:hint="eastAsia" w:ascii="Times New Roman" w:hAnsi="Times New Roman" w:eastAsia="宋体" w:cs="宋体"/>
                <w:kern w:val="0"/>
                <w:sz w:val="24"/>
                <w:szCs w:val="24"/>
              </w:rPr>
              <w:t>对大气环境影响</w:t>
            </w:r>
          </w:p>
          <w:p>
            <w:pPr>
              <w:widowControl/>
              <w:spacing w:line="240" w:lineRule="auto"/>
              <w:jc w:val="center"/>
              <w:rPr>
                <w:rFonts w:hint="eastAsia" w:ascii="Times New Roman" w:hAnsi="Times New Roman" w:eastAsia="宋体" w:cs="宋体"/>
                <w:kern w:val="0"/>
                <w:sz w:val="24"/>
                <w:szCs w:val="24"/>
              </w:rPr>
            </w:pPr>
            <w:r>
              <w:rPr>
                <w:rFonts w:hint="eastAsia" w:ascii="Times New Roman" w:hAnsi="Times New Roman" w:eastAsia="宋体" w:cs="宋体"/>
                <w:kern w:val="0"/>
                <w:sz w:val="24"/>
                <w:szCs w:val="24"/>
              </w:rPr>
              <w:t>较小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30" w:type="dxa"/>
            <w:vMerge w:val="restart"/>
            <w:noWrap w:val="0"/>
            <w:vAlign w:val="center"/>
          </w:tcPr>
          <w:p>
            <w:pPr>
              <w:adjustRightInd w:val="0"/>
              <w:spacing w:line="240" w:lineRule="auto"/>
              <w:jc w:val="center"/>
              <w:textAlignment w:val="baseline"/>
              <w:rPr>
                <w:rFonts w:hint="default"/>
                <w:sz w:val="24"/>
                <w:szCs w:val="24"/>
                <w:lang w:val="en-US" w:eastAsia="zh-CN"/>
              </w:rPr>
            </w:pPr>
            <w:r>
              <w:rPr>
                <w:rFonts w:hint="eastAsia"/>
                <w:sz w:val="24"/>
                <w:szCs w:val="24"/>
                <w:lang w:val="en-US" w:eastAsia="zh-CN"/>
              </w:rPr>
              <w:t>水污染物</w:t>
            </w:r>
          </w:p>
        </w:tc>
        <w:tc>
          <w:tcPr>
            <w:tcW w:w="2370" w:type="dxa"/>
            <w:gridSpan w:val="2"/>
            <w:tcBorders>
              <w:top w:val="single" w:color="000000" w:sz="6" w:space="0"/>
            </w:tcBorders>
            <w:noWrap w:val="0"/>
            <w:vAlign w:val="center"/>
          </w:tcPr>
          <w:p>
            <w:pPr>
              <w:adjustRightInd w:val="0"/>
              <w:snapToGrid w:val="0"/>
              <w:jc w:val="center"/>
              <w:rPr>
                <w:rFonts w:hint="eastAsia" w:ascii="Times New Roman" w:hAnsi="Times New Roman" w:eastAsia="宋体" w:cs="Times New Roman"/>
                <w:snapToGrid w:val="0"/>
                <w:color w:val="000000"/>
                <w:kern w:val="0"/>
                <w:sz w:val="24"/>
                <w:szCs w:val="24"/>
                <w:highlight w:val="none"/>
                <w:lang w:val="en-US" w:eastAsia="zh-CN"/>
              </w:rPr>
            </w:pPr>
            <w:r>
              <w:rPr>
                <w:rFonts w:hint="eastAsia" w:ascii="Times New Roman" w:hAnsi="Times New Roman" w:eastAsia="宋体" w:cs="Times New Roman"/>
                <w:snapToGrid w:val="0"/>
                <w:color w:val="000000"/>
                <w:kern w:val="0"/>
                <w:sz w:val="24"/>
                <w:szCs w:val="24"/>
                <w:highlight w:val="none"/>
                <w:lang w:val="en-US" w:eastAsia="zh-CN"/>
              </w:rPr>
              <w:t>生活污水</w:t>
            </w:r>
          </w:p>
        </w:tc>
        <w:tc>
          <w:tcPr>
            <w:tcW w:w="3500" w:type="dxa"/>
            <w:tcBorders>
              <w:bottom w:val="single" w:color="000000" w:sz="6" w:space="0"/>
            </w:tcBorders>
            <w:noWrap w:val="0"/>
            <w:vAlign w:val="center"/>
          </w:tcPr>
          <w:p>
            <w:pPr>
              <w:adjustRightInd w:val="0"/>
              <w:snapToGrid w:val="0"/>
              <w:jc w:val="center"/>
              <w:rPr>
                <w:rFonts w:hint="eastAsia" w:ascii="Times New Roman" w:hAnsi="Times New Roman" w:eastAsia="宋体" w:cs="Times New Roman"/>
                <w:snapToGrid w:val="0"/>
                <w:color w:val="000000"/>
                <w:kern w:val="0"/>
                <w:sz w:val="24"/>
                <w:szCs w:val="24"/>
                <w:highlight w:val="none"/>
                <w:lang w:val="en-US" w:eastAsia="zh-CN"/>
              </w:rPr>
            </w:pPr>
            <w:r>
              <w:rPr>
                <w:rFonts w:hint="eastAsia" w:ascii="Times New Roman" w:hAnsi="Times New Roman" w:eastAsia="宋体" w:cs="Times New Roman"/>
                <w:snapToGrid w:val="0"/>
                <w:color w:val="000000"/>
                <w:kern w:val="0"/>
                <w:sz w:val="24"/>
                <w:szCs w:val="24"/>
                <w:highlight w:val="none"/>
                <w:lang w:val="en-US" w:eastAsia="zh-CN"/>
              </w:rPr>
              <w:t>旱厕定期清掏、污水泼洒抑尘</w:t>
            </w:r>
          </w:p>
        </w:tc>
        <w:tc>
          <w:tcPr>
            <w:tcW w:w="2100" w:type="dxa"/>
            <w:noWrap w:val="0"/>
            <w:vAlign w:val="center"/>
          </w:tcPr>
          <w:p>
            <w:pPr>
              <w:jc w:val="center"/>
              <w:rPr>
                <w:rFonts w:hint="eastAsia"/>
                <w:color w:val="000000"/>
                <w:kern w:val="0"/>
                <w:sz w:val="24"/>
              </w:rPr>
            </w:pPr>
            <w:r>
              <w:rPr>
                <w:rFonts w:hint="eastAsia"/>
                <w:color w:val="000000"/>
                <w:kern w:val="0"/>
                <w:sz w:val="24"/>
              </w:rPr>
              <w:t>不外排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30" w:type="dxa"/>
            <w:vMerge w:val="continue"/>
            <w:noWrap w:val="0"/>
            <w:vAlign w:val="center"/>
          </w:tcPr>
          <w:p>
            <w:pPr>
              <w:adjustRightInd w:val="0"/>
              <w:spacing w:line="240" w:lineRule="auto"/>
              <w:jc w:val="center"/>
              <w:textAlignment w:val="baseline"/>
              <w:rPr>
                <w:rFonts w:hint="eastAsia"/>
                <w:sz w:val="24"/>
                <w:szCs w:val="24"/>
                <w:lang w:val="en-US" w:eastAsia="zh-CN"/>
              </w:rPr>
            </w:pPr>
          </w:p>
        </w:tc>
        <w:tc>
          <w:tcPr>
            <w:tcW w:w="2370" w:type="dxa"/>
            <w:gridSpan w:val="2"/>
            <w:tcBorders>
              <w:top w:val="single" w:color="000000" w:sz="6" w:space="0"/>
            </w:tcBorders>
            <w:noWrap w:val="0"/>
            <w:vAlign w:val="center"/>
          </w:tcPr>
          <w:p>
            <w:pPr>
              <w:adjustRightInd w:val="0"/>
              <w:snapToGrid w:val="0"/>
              <w:jc w:val="center"/>
              <w:rPr>
                <w:rFonts w:hint="eastAsia" w:ascii="Times New Roman" w:hAnsi="Times New Roman" w:eastAsia="宋体" w:cs="Times New Roman"/>
                <w:snapToGrid w:val="0"/>
                <w:color w:val="000000"/>
                <w:kern w:val="0"/>
                <w:sz w:val="24"/>
                <w:szCs w:val="24"/>
                <w:highlight w:val="none"/>
                <w:lang w:val="en-US" w:eastAsia="zh-CN"/>
              </w:rPr>
            </w:pPr>
            <w:r>
              <w:rPr>
                <w:rFonts w:hint="eastAsia" w:cs="Times New Roman"/>
                <w:snapToGrid w:val="0"/>
                <w:color w:val="000000"/>
                <w:kern w:val="0"/>
                <w:sz w:val="24"/>
                <w:szCs w:val="24"/>
                <w:highlight w:val="none"/>
                <w:lang w:val="en-US" w:eastAsia="zh-CN"/>
              </w:rPr>
              <w:t>施工废水</w:t>
            </w:r>
          </w:p>
        </w:tc>
        <w:tc>
          <w:tcPr>
            <w:tcW w:w="3500" w:type="dxa"/>
            <w:tcBorders>
              <w:bottom w:val="single" w:color="000000" w:sz="6" w:space="0"/>
            </w:tcBorders>
            <w:noWrap w:val="0"/>
            <w:vAlign w:val="center"/>
          </w:tcPr>
          <w:p>
            <w:pPr>
              <w:adjustRightInd w:val="0"/>
              <w:snapToGrid w:val="0"/>
              <w:jc w:val="center"/>
              <w:rPr>
                <w:rFonts w:hint="eastAsia" w:ascii="Times New Roman" w:hAnsi="Times New Roman" w:eastAsia="宋体" w:cs="Times New Roman"/>
                <w:snapToGrid w:val="0"/>
                <w:color w:val="000000"/>
                <w:kern w:val="0"/>
                <w:sz w:val="24"/>
                <w:szCs w:val="24"/>
                <w:highlight w:val="none"/>
                <w:lang w:val="en-US" w:eastAsia="zh-CN"/>
              </w:rPr>
            </w:pPr>
            <w:r>
              <w:rPr>
                <w:rFonts w:hint="eastAsia" w:ascii="Times New Roman" w:hAnsi="Times New Roman" w:cs="Times New Roman"/>
                <w:bCs/>
                <w:sz w:val="24"/>
                <w:highlight w:val="none"/>
                <w:lang w:val="en-US" w:eastAsia="zh-CN"/>
              </w:rPr>
              <w:t>集中收集经沉淀后用于泼洒抑尘</w:t>
            </w:r>
          </w:p>
        </w:tc>
        <w:tc>
          <w:tcPr>
            <w:tcW w:w="2100" w:type="dxa"/>
            <w:noWrap w:val="0"/>
            <w:vAlign w:val="center"/>
          </w:tcPr>
          <w:p>
            <w:pPr>
              <w:jc w:val="center"/>
              <w:rPr>
                <w:rFonts w:hint="eastAsia"/>
                <w:color w:val="000000"/>
                <w:kern w:val="0"/>
                <w:sz w:val="24"/>
              </w:rPr>
            </w:pPr>
            <w:r>
              <w:rPr>
                <w:rFonts w:hint="eastAsia" w:ascii="Times New Roman" w:hAnsi="Times New Roman" w:cs="Times New Roman"/>
                <w:bCs/>
                <w:sz w:val="24"/>
                <w:highlight w:val="none"/>
                <w:lang w:val="en-US" w:eastAsia="zh-CN"/>
              </w:rPr>
              <w:t>不外排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30" w:type="dxa"/>
            <w:vMerge w:val="restart"/>
            <w:noWrap w:val="0"/>
            <w:vAlign w:val="center"/>
          </w:tcPr>
          <w:p>
            <w:pPr>
              <w:adjustRightInd w:val="0"/>
              <w:spacing w:line="240" w:lineRule="auto"/>
              <w:jc w:val="center"/>
              <w:textAlignment w:val="baseline"/>
              <w:rPr>
                <w:rFonts w:hint="default"/>
                <w:sz w:val="24"/>
                <w:szCs w:val="24"/>
                <w:lang w:val="en-US" w:eastAsia="zh-CN"/>
              </w:rPr>
            </w:pPr>
            <w:r>
              <w:rPr>
                <w:rFonts w:hint="eastAsia"/>
                <w:sz w:val="24"/>
                <w:szCs w:val="24"/>
                <w:lang w:val="en-US" w:eastAsia="zh-CN"/>
              </w:rPr>
              <w:t>固体废物</w:t>
            </w:r>
          </w:p>
        </w:tc>
        <w:tc>
          <w:tcPr>
            <w:tcW w:w="1125" w:type="dxa"/>
            <w:vMerge w:val="restart"/>
            <w:tcBorders>
              <w:top w:val="single" w:color="000000" w:sz="6" w:space="0"/>
            </w:tcBorders>
            <w:noWrap w:val="0"/>
            <w:vAlign w:val="center"/>
          </w:tcPr>
          <w:p>
            <w:pPr>
              <w:adjustRightInd w:val="0"/>
              <w:snapToGrid w:val="0"/>
              <w:jc w:val="center"/>
              <w:rPr>
                <w:rFonts w:hint="eastAsia" w:ascii="Times New Roman" w:hAnsi="Times New Roman" w:eastAsia="宋体" w:cs="Times New Roman"/>
                <w:snapToGrid w:val="0"/>
                <w:color w:val="000000"/>
                <w:kern w:val="0"/>
                <w:sz w:val="24"/>
                <w:szCs w:val="24"/>
                <w:highlight w:val="none"/>
                <w:lang w:val="en-US" w:eastAsia="zh-CN"/>
              </w:rPr>
            </w:pPr>
            <w:r>
              <w:rPr>
                <w:rFonts w:hint="eastAsia" w:ascii="Times New Roman" w:hAnsi="Times New Roman" w:eastAsia="宋体" w:cs="Times New Roman"/>
                <w:snapToGrid w:val="0"/>
                <w:color w:val="000000"/>
                <w:kern w:val="0"/>
                <w:sz w:val="24"/>
                <w:szCs w:val="24"/>
                <w:highlight w:val="none"/>
                <w:lang w:val="en-US" w:eastAsia="zh-CN"/>
              </w:rPr>
              <w:t>施工场地</w:t>
            </w:r>
          </w:p>
        </w:tc>
        <w:tc>
          <w:tcPr>
            <w:tcW w:w="1245" w:type="dxa"/>
            <w:tcBorders>
              <w:top w:val="single" w:color="000000" w:sz="6" w:space="0"/>
              <w:bottom w:val="single" w:color="000000" w:sz="6" w:space="0"/>
            </w:tcBorders>
            <w:noWrap w:val="0"/>
            <w:vAlign w:val="center"/>
          </w:tcPr>
          <w:p>
            <w:pPr>
              <w:adjustRightInd w:val="0"/>
              <w:snapToGrid w:val="0"/>
              <w:jc w:val="center"/>
              <w:rPr>
                <w:rFonts w:hint="eastAsia" w:ascii="Times New Roman" w:hAnsi="Times New Roman" w:eastAsia="宋体" w:cs="Times New Roman"/>
                <w:snapToGrid w:val="0"/>
                <w:color w:val="000000"/>
                <w:kern w:val="0"/>
                <w:sz w:val="24"/>
                <w:szCs w:val="24"/>
                <w:highlight w:val="none"/>
                <w:lang w:val="en-US" w:eastAsia="zh-CN"/>
              </w:rPr>
            </w:pPr>
            <w:r>
              <w:rPr>
                <w:rFonts w:hint="eastAsia" w:ascii="Times New Roman" w:hAnsi="Times New Roman" w:eastAsia="宋体" w:cs="Times New Roman"/>
                <w:snapToGrid w:val="0"/>
                <w:color w:val="000000"/>
                <w:kern w:val="0"/>
                <w:sz w:val="24"/>
                <w:szCs w:val="24"/>
                <w:highlight w:val="none"/>
                <w:lang w:val="en-US" w:eastAsia="zh-CN"/>
              </w:rPr>
              <w:t>生活垃圾</w:t>
            </w:r>
          </w:p>
        </w:tc>
        <w:tc>
          <w:tcPr>
            <w:tcW w:w="3500" w:type="dxa"/>
            <w:tcBorders>
              <w:bottom w:val="single" w:color="000000" w:sz="6" w:space="0"/>
            </w:tcBorders>
            <w:noWrap w:val="0"/>
            <w:vAlign w:val="center"/>
          </w:tcPr>
          <w:p>
            <w:pPr>
              <w:adjustRightInd w:val="0"/>
              <w:snapToGrid w:val="0"/>
              <w:jc w:val="center"/>
              <w:rPr>
                <w:rFonts w:hint="default" w:ascii="Times New Roman" w:hAnsi="Times New Roman" w:eastAsia="宋体" w:cs="Times New Roman"/>
                <w:snapToGrid w:val="0"/>
                <w:color w:val="000000"/>
                <w:kern w:val="0"/>
                <w:sz w:val="24"/>
                <w:szCs w:val="24"/>
                <w:highlight w:val="none"/>
                <w:lang w:val="en-US" w:eastAsia="zh-CN"/>
              </w:rPr>
            </w:pPr>
            <w:r>
              <w:rPr>
                <w:rFonts w:hint="eastAsia" w:ascii="Times New Roman" w:hAnsi="Times New Roman" w:eastAsia="宋体" w:cs="Times New Roman"/>
                <w:snapToGrid w:val="0"/>
                <w:color w:val="000000"/>
                <w:kern w:val="0"/>
                <w:sz w:val="24"/>
                <w:szCs w:val="24"/>
                <w:highlight w:val="none"/>
                <w:lang w:val="en-US" w:eastAsia="zh-CN"/>
              </w:rPr>
              <w:t>集中收集后交环卫部门统一处理</w:t>
            </w:r>
          </w:p>
        </w:tc>
        <w:tc>
          <w:tcPr>
            <w:tcW w:w="2100" w:type="dxa"/>
            <w:vMerge w:val="restart"/>
            <w:noWrap w:val="0"/>
            <w:vAlign w:val="center"/>
          </w:tcPr>
          <w:p>
            <w:pPr>
              <w:jc w:val="center"/>
              <w:rPr>
                <w:rFonts w:hint="default"/>
                <w:color w:val="000000"/>
                <w:kern w:val="0"/>
                <w:sz w:val="24"/>
              </w:rPr>
            </w:pPr>
            <w:r>
              <w:rPr>
                <w:rFonts w:hint="eastAsia"/>
                <w:color w:val="000000"/>
                <w:kern w:val="0"/>
                <w:sz w:val="24"/>
              </w:rPr>
              <w:t>妥善处理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30" w:type="dxa"/>
            <w:vMerge w:val="continue"/>
            <w:noWrap w:val="0"/>
            <w:vAlign w:val="center"/>
          </w:tcPr>
          <w:p>
            <w:pPr>
              <w:adjustRightInd w:val="0"/>
              <w:spacing w:line="240" w:lineRule="auto"/>
              <w:jc w:val="center"/>
              <w:textAlignment w:val="baseline"/>
              <w:rPr>
                <w:rFonts w:hint="eastAsia"/>
                <w:sz w:val="24"/>
                <w:szCs w:val="24"/>
                <w:lang w:val="en-US" w:eastAsia="zh-CN"/>
              </w:rPr>
            </w:pPr>
          </w:p>
        </w:tc>
        <w:tc>
          <w:tcPr>
            <w:tcW w:w="1125" w:type="dxa"/>
            <w:vMerge w:val="continue"/>
            <w:tcBorders>
              <w:top w:val="single" w:color="000000" w:sz="6" w:space="0"/>
            </w:tcBorders>
            <w:noWrap w:val="0"/>
            <w:vAlign w:val="center"/>
          </w:tcPr>
          <w:p>
            <w:pPr>
              <w:adjustRightInd w:val="0"/>
              <w:snapToGrid w:val="0"/>
              <w:jc w:val="center"/>
              <w:rPr>
                <w:rFonts w:hint="eastAsia" w:ascii="Times New Roman" w:hAnsi="Times New Roman" w:eastAsia="宋体" w:cs="Times New Roman"/>
                <w:snapToGrid w:val="0"/>
                <w:color w:val="000000"/>
                <w:kern w:val="0"/>
                <w:sz w:val="24"/>
                <w:szCs w:val="24"/>
                <w:highlight w:val="none"/>
                <w:lang w:val="en-US" w:eastAsia="zh-CN"/>
              </w:rPr>
            </w:pPr>
          </w:p>
        </w:tc>
        <w:tc>
          <w:tcPr>
            <w:tcW w:w="1245" w:type="dxa"/>
            <w:tcBorders>
              <w:top w:val="single" w:color="000000" w:sz="6" w:space="0"/>
              <w:bottom w:val="single" w:color="000000" w:sz="6" w:space="0"/>
            </w:tcBorders>
            <w:noWrap w:val="0"/>
            <w:vAlign w:val="center"/>
          </w:tcPr>
          <w:p>
            <w:pPr>
              <w:adjustRightInd w:val="0"/>
              <w:snapToGrid w:val="0"/>
              <w:jc w:val="center"/>
              <w:rPr>
                <w:rFonts w:hint="eastAsia" w:ascii="Times New Roman" w:hAnsi="Times New Roman" w:eastAsia="宋体" w:cs="Times New Roman"/>
                <w:snapToGrid w:val="0"/>
                <w:color w:val="000000"/>
                <w:kern w:val="0"/>
                <w:sz w:val="24"/>
                <w:szCs w:val="24"/>
                <w:highlight w:val="none"/>
                <w:lang w:val="en-US" w:eastAsia="zh-CN"/>
              </w:rPr>
            </w:pPr>
            <w:r>
              <w:rPr>
                <w:rFonts w:hint="eastAsia" w:cs="Times New Roman"/>
                <w:snapToGrid w:val="0"/>
                <w:color w:val="000000"/>
                <w:kern w:val="0"/>
                <w:sz w:val="24"/>
                <w:szCs w:val="24"/>
                <w:highlight w:val="none"/>
                <w:lang w:val="en-US" w:eastAsia="zh-CN"/>
              </w:rPr>
              <w:t>废弃土石方</w:t>
            </w:r>
          </w:p>
        </w:tc>
        <w:tc>
          <w:tcPr>
            <w:tcW w:w="3500" w:type="dxa"/>
            <w:tcBorders>
              <w:bottom w:val="single" w:color="000000" w:sz="6" w:space="0"/>
            </w:tcBorders>
            <w:noWrap w:val="0"/>
            <w:vAlign w:val="center"/>
          </w:tcPr>
          <w:p>
            <w:pPr>
              <w:adjustRightInd w:val="0"/>
              <w:snapToGrid w:val="0"/>
              <w:jc w:val="center"/>
              <w:rPr>
                <w:rFonts w:hint="default" w:ascii="Times New Roman" w:hAnsi="Times New Roman" w:eastAsia="宋体" w:cs="Times New Roman"/>
                <w:snapToGrid w:val="0"/>
                <w:color w:val="000000"/>
                <w:kern w:val="0"/>
                <w:sz w:val="24"/>
                <w:szCs w:val="24"/>
                <w:highlight w:val="none"/>
                <w:lang w:val="en-US" w:eastAsia="zh-CN"/>
              </w:rPr>
            </w:pPr>
            <w:r>
              <w:rPr>
                <w:rFonts w:hint="eastAsia"/>
                <w:sz w:val="24"/>
                <w:highlight w:val="none"/>
                <w:lang w:val="en-US" w:eastAsia="zh-CN"/>
              </w:rPr>
              <w:t>用于场地平整回填，不得外运</w:t>
            </w:r>
          </w:p>
        </w:tc>
        <w:tc>
          <w:tcPr>
            <w:tcW w:w="2100" w:type="dxa"/>
            <w:vMerge w:val="continue"/>
            <w:noWrap w:val="0"/>
            <w:vAlign w:val="center"/>
          </w:tcPr>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30" w:type="dxa"/>
            <w:tcBorders>
              <w:top w:val="single" w:color="000000" w:sz="6" w:space="0"/>
            </w:tcBorders>
            <w:noWrap w:val="0"/>
            <w:vAlign w:val="center"/>
          </w:tcPr>
          <w:p>
            <w:pPr>
              <w:adjustRightInd w:val="0"/>
              <w:spacing w:line="240" w:lineRule="auto"/>
              <w:jc w:val="center"/>
              <w:rPr>
                <w:sz w:val="24"/>
                <w:szCs w:val="24"/>
              </w:rPr>
            </w:pPr>
            <w:r>
              <w:rPr>
                <w:rFonts w:hint="eastAsia"/>
                <w:sz w:val="24"/>
                <w:szCs w:val="24"/>
              </w:rPr>
              <w:t>噪声</w:t>
            </w:r>
          </w:p>
        </w:tc>
        <w:tc>
          <w:tcPr>
            <w:tcW w:w="1125" w:type="dxa"/>
            <w:tcBorders>
              <w:top w:val="single" w:color="000000" w:sz="6" w:space="0"/>
              <w:bottom w:val="single" w:color="000000" w:sz="6" w:space="0"/>
            </w:tcBorders>
            <w:noWrap w:val="0"/>
            <w:vAlign w:val="center"/>
          </w:tcPr>
          <w:p>
            <w:pPr>
              <w:adjustRightInd w:val="0"/>
              <w:snapToGrid w:val="0"/>
              <w:jc w:val="center"/>
              <w:rPr>
                <w:rFonts w:hint="eastAsia" w:ascii="Times New Roman" w:hAnsi="Times New Roman" w:eastAsia="宋体" w:cs="Times New Roman"/>
                <w:snapToGrid w:val="0"/>
                <w:color w:val="000000"/>
                <w:kern w:val="0"/>
                <w:sz w:val="24"/>
                <w:szCs w:val="24"/>
                <w:highlight w:val="none"/>
                <w:lang w:val="en-US" w:eastAsia="zh-CN"/>
              </w:rPr>
            </w:pPr>
            <w:r>
              <w:rPr>
                <w:rFonts w:hint="eastAsia" w:ascii="Times New Roman" w:hAnsi="Times New Roman" w:eastAsia="宋体" w:cs="Times New Roman"/>
                <w:snapToGrid w:val="0"/>
                <w:color w:val="000000"/>
                <w:kern w:val="0"/>
                <w:sz w:val="24"/>
                <w:szCs w:val="24"/>
                <w:highlight w:val="none"/>
                <w:lang w:val="en-US" w:eastAsia="zh-CN"/>
              </w:rPr>
              <w:t>施工场地</w:t>
            </w:r>
          </w:p>
        </w:tc>
        <w:tc>
          <w:tcPr>
            <w:tcW w:w="1245" w:type="dxa"/>
            <w:tcBorders>
              <w:top w:val="single" w:color="000000" w:sz="6" w:space="0"/>
              <w:bottom w:val="single" w:color="000000" w:sz="6" w:space="0"/>
            </w:tcBorders>
            <w:noWrap w:val="0"/>
            <w:vAlign w:val="center"/>
          </w:tcPr>
          <w:p>
            <w:pPr>
              <w:adjustRightInd w:val="0"/>
              <w:snapToGrid w:val="0"/>
              <w:jc w:val="center"/>
              <w:rPr>
                <w:rFonts w:hint="eastAsia" w:ascii="Times New Roman" w:hAnsi="Times New Roman" w:eastAsia="宋体" w:cs="Times New Roman"/>
                <w:snapToGrid w:val="0"/>
                <w:color w:val="000000"/>
                <w:kern w:val="0"/>
                <w:sz w:val="24"/>
                <w:szCs w:val="24"/>
                <w:highlight w:val="none"/>
                <w:lang w:val="en-US" w:eastAsia="zh-CN"/>
              </w:rPr>
            </w:pPr>
            <w:r>
              <w:rPr>
                <w:rFonts w:hint="eastAsia" w:ascii="Times New Roman" w:hAnsi="Times New Roman" w:eastAsia="宋体" w:cs="Times New Roman"/>
                <w:snapToGrid w:val="0"/>
                <w:color w:val="000000"/>
                <w:kern w:val="0"/>
                <w:sz w:val="24"/>
                <w:szCs w:val="24"/>
                <w:highlight w:val="none"/>
                <w:lang w:val="en-US" w:eastAsia="zh-CN"/>
              </w:rPr>
              <w:t>机械噪声</w:t>
            </w:r>
          </w:p>
        </w:tc>
        <w:tc>
          <w:tcPr>
            <w:tcW w:w="3500" w:type="dxa"/>
            <w:tcBorders>
              <w:top w:val="single" w:color="000000" w:sz="6" w:space="0"/>
              <w:bottom w:val="single" w:color="000000" w:sz="6" w:space="0"/>
            </w:tcBorders>
            <w:noWrap w:val="0"/>
            <w:vAlign w:val="center"/>
          </w:tcPr>
          <w:p>
            <w:pPr>
              <w:adjustRightInd w:val="0"/>
              <w:snapToGrid w:val="0"/>
              <w:jc w:val="center"/>
              <w:rPr>
                <w:rFonts w:hint="eastAsia" w:ascii="Times New Roman" w:hAnsi="Times New Roman" w:eastAsia="宋体" w:cs="Times New Roman"/>
                <w:snapToGrid w:val="0"/>
                <w:color w:val="000000"/>
                <w:kern w:val="0"/>
                <w:sz w:val="24"/>
                <w:szCs w:val="24"/>
                <w:highlight w:val="none"/>
                <w:lang w:val="en-US" w:eastAsia="zh-CN"/>
              </w:rPr>
            </w:pPr>
            <w:r>
              <w:rPr>
                <w:rFonts w:hint="eastAsia" w:ascii="Times New Roman" w:hAnsi="Times New Roman" w:eastAsia="宋体" w:cs="Times New Roman"/>
                <w:snapToGrid w:val="0"/>
                <w:color w:val="000000"/>
                <w:kern w:val="0"/>
                <w:sz w:val="24"/>
                <w:szCs w:val="24"/>
                <w:highlight w:val="none"/>
                <w:lang w:val="en-US" w:eastAsia="zh-CN"/>
              </w:rPr>
              <w:t>采用低噪声设备</w:t>
            </w:r>
          </w:p>
        </w:tc>
        <w:tc>
          <w:tcPr>
            <w:tcW w:w="2100" w:type="dxa"/>
            <w:tcBorders>
              <w:top w:val="single" w:color="000000" w:sz="6" w:space="0"/>
              <w:bottom w:val="single" w:color="000000" w:sz="6" w:space="0"/>
            </w:tcBorders>
            <w:noWrap w:val="0"/>
            <w:vAlign w:val="center"/>
          </w:tcPr>
          <w:p>
            <w:pPr>
              <w:adjustRightInd w:val="0"/>
              <w:snapToGrid w:val="0"/>
              <w:jc w:val="center"/>
              <w:rPr>
                <w:rFonts w:hint="eastAsia" w:ascii="Times New Roman" w:hAnsi="Times New Roman" w:eastAsia="宋体" w:cs="Times New Roman"/>
                <w:snapToGrid w:val="0"/>
                <w:color w:val="000000"/>
                <w:kern w:val="0"/>
                <w:sz w:val="24"/>
                <w:szCs w:val="24"/>
                <w:highlight w:val="none"/>
                <w:lang w:val="en-US" w:eastAsia="zh-CN"/>
              </w:rPr>
            </w:pPr>
            <w:r>
              <w:rPr>
                <w:rFonts w:hint="eastAsia" w:ascii="Times New Roman" w:hAnsi="Times New Roman" w:eastAsia="宋体" w:cs="Times New Roman"/>
                <w:snapToGrid w:val="0"/>
                <w:color w:val="000000"/>
                <w:kern w:val="0"/>
                <w:sz w:val="24"/>
                <w:szCs w:val="24"/>
                <w:highlight w:val="none"/>
                <w:lang w:val="en-US" w:eastAsia="zh-CN"/>
              </w:rPr>
              <w:t>厂界达标排放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100" w:type="dxa"/>
            <w:gridSpan w:val="5"/>
            <w:tcBorders>
              <w:top w:val="single" w:color="000000" w:sz="6" w:space="0"/>
              <w:bottom w:val="single" w:color="000000" w:sz="12" w:space="0"/>
            </w:tcBorders>
            <w:noWrap w:val="0"/>
            <w:vAlign w:val="center"/>
          </w:tcPr>
          <w:p>
            <w:pPr>
              <w:spacing w:line="360" w:lineRule="auto"/>
              <w:jc w:val="both"/>
              <w:rPr>
                <w:b/>
                <w:sz w:val="24"/>
                <w:szCs w:val="24"/>
              </w:rPr>
            </w:pPr>
            <w:r>
              <w:rPr>
                <w:rFonts w:hint="eastAsia"/>
                <w:b/>
                <w:sz w:val="24"/>
                <w:szCs w:val="24"/>
              </w:rPr>
              <w:t>生态保护措施及预期效果</w:t>
            </w:r>
            <w:r>
              <w:rPr>
                <w:b/>
                <w:sz w:val="24"/>
                <w:szCs w:val="24"/>
              </w:rPr>
              <w:t>：</w:t>
            </w:r>
          </w:p>
          <w:p>
            <w:pPr>
              <w:adjustRightInd w:val="0"/>
              <w:snapToGrid w:val="0"/>
              <w:spacing w:line="360" w:lineRule="auto"/>
              <w:ind w:firstLine="480" w:firstLineChars="200"/>
              <w:jc w:val="left"/>
              <w:rPr>
                <w:rFonts w:hint="default" w:hAnsi="宋体"/>
                <w:color w:val="000000"/>
                <w:kern w:val="0"/>
                <w:sz w:val="24"/>
                <w:lang w:val="en-US" w:eastAsia="zh-CN"/>
              </w:rPr>
            </w:pPr>
            <w:r>
              <w:rPr>
                <w:rFonts w:hint="eastAsia" w:hAnsi="宋体"/>
                <w:color w:val="000000"/>
                <w:kern w:val="0"/>
                <w:sz w:val="24"/>
                <w:lang w:eastAsia="zh-CN"/>
              </w:rPr>
              <w:t>⑴</w:t>
            </w:r>
            <w:r>
              <w:rPr>
                <w:rFonts w:hint="eastAsia" w:hAnsi="宋体"/>
                <w:color w:val="000000"/>
                <w:kern w:val="0"/>
                <w:sz w:val="24"/>
                <w:lang w:val="en-US" w:eastAsia="zh-CN"/>
              </w:rPr>
              <w:t>施工过程中的水土保持工作宜采取分区、分期的防治模式。工程建设前期采取综合措施，因地制宜、快速有效地遏制水土流失；工程建设后期以生态恢复措施为主，防止水土流失，改善生态环境。</w:t>
            </w:r>
          </w:p>
          <w:p>
            <w:pPr>
              <w:adjustRightInd w:val="0"/>
              <w:snapToGrid w:val="0"/>
              <w:spacing w:line="360" w:lineRule="auto"/>
              <w:ind w:firstLine="480" w:firstLineChars="200"/>
              <w:jc w:val="left"/>
              <w:rPr>
                <w:rFonts w:hint="default" w:hAnsi="宋体"/>
                <w:color w:val="000000"/>
                <w:kern w:val="0"/>
                <w:sz w:val="24"/>
                <w:lang w:val="en-US" w:eastAsia="zh-CN"/>
              </w:rPr>
            </w:pPr>
            <w:r>
              <w:rPr>
                <w:rFonts w:hint="eastAsia" w:hAnsi="宋体"/>
                <w:color w:val="000000"/>
                <w:kern w:val="0"/>
                <w:sz w:val="24"/>
                <w:lang w:eastAsia="zh-CN"/>
              </w:rPr>
              <w:t>⑵</w:t>
            </w:r>
            <w:r>
              <w:rPr>
                <w:rFonts w:hint="eastAsia" w:hAnsi="宋体"/>
                <w:color w:val="000000"/>
                <w:kern w:val="0"/>
                <w:sz w:val="24"/>
                <w:lang w:val="en-US" w:eastAsia="zh-CN"/>
              </w:rPr>
              <w:t>项目建设管理部门应充分认识到生物多样性保护的重要性，施工前加强施工人员的环境保护、生物多样性保护宣传教育工作，严禁施工人员利用作业之便捕杀如野生生物。</w:t>
            </w:r>
          </w:p>
          <w:p>
            <w:pPr>
              <w:adjustRightInd w:val="0"/>
              <w:snapToGrid w:val="0"/>
              <w:spacing w:line="360" w:lineRule="auto"/>
              <w:ind w:firstLine="480" w:firstLineChars="200"/>
              <w:jc w:val="left"/>
              <w:rPr>
                <w:rFonts w:hint="default" w:hAnsi="宋体"/>
                <w:color w:val="000000"/>
                <w:kern w:val="0"/>
                <w:sz w:val="24"/>
                <w:lang w:val="en-US" w:eastAsia="zh-CN"/>
              </w:rPr>
            </w:pPr>
            <w:r>
              <w:rPr>
                <w:rFonts w:hint="eastAsia" w:hAnsi="宋体"/>
                <w:color w:val="000000"/>
                <w:kern w:val="0"/>
                <w:sz w:val="24"/>
                <w:lang w:eastAsia="zh-CN"/>
              </w:rPr>
              <w:t>⑶</w:t>
            </w:r>
            <w:r>
              <w:rPr>
                <w:rFonts w:hint="eastAsia" w:hAnsi="宋体"/>
                <w:color w:val="000000"/>
                <w:kern w:val="0"/>
                <w:sz w:val="24"/>
                <w:lang w:val="en-US" w:eastAsia="zh-CN"/>
              </w:rPr>
              <w:t>监理单位要将生态保护和水土保持工作的相关内容纳入施工监理工作之中。根据监理工作要求，制订项目环境监理实施方案，加强对施工过程中生态保护与水土保持工作的动态监控。</w:t>
            </w:r>
          </w:p>
          <w:p>
            <w:pPr>
              <w:adjustRightInd w:val="0"/>
              <w:snapToGrid w:val="0"/>
              <w:spacing w:line="360" w:lineRule="auto"/>
              <w:ind w:firstLine="480" w:firstLineChars="200"/>
              <w:jc w:val="left"/>
              <w:rPr>
                <w:rFonts w:hint="default" w:hAnsi="宋体"/>
                <w:color w:val="000000"/>
                <w:kern w:val="0"/>
                <w:sz w:val="24"/>
                <w:lang w:val="en-US" w:eastAsia="zh-CN"/>
              </w:rPr>
            </w:pPr>
            <w:r>
              <w:rPr>
                <w:rFonts w:hint="eastAsia" w:hAnsi="宋体"/>
                <w:color w:val="000000"/>
                <w:kern w:val="0"/>
                <w:sz w:val="24"/>
                <w:lang w:eastAsia="zh-CN"/>
              </w:rPr>
              <w:t>⑷</w:t>
            </w:r>
            <w:r>
              <w:rPr>
                <w:rFonts w:hint="eastAsia" w:hAnsi="宋体"/>
                <w:color w:val="000000"/>
                <w:kern w:val="0"/>
                <w:sz w:val="24"/>
                <w:lang w:val="en-US" w:eastAsia="zh-CN"/>
              </w:rPr>
              <w:t>施工单位要严格按照国家有关法规和合同要求，做好施工过程中的生态保护和水土保持工作。施工中要尽可能减少对原地面的扰动。雨季时应随挖、随运、随填、随压，临时用地在工程完成后要及时恢复原状。</w:t>
            </w:r>
          </w:p>
          <w:p>
            <w:pPr>
              <w:adjustRightInd w:val="0"/>
              <w:snapToGrid w:val="0"/>
              <w:spacing w:line="360" w:lineRule="auto"/>
              <w:ind w:firstLine="480" w:firstLineChars="200"/>
              <w:jc w:val="left"/>
              <w:rPr>
                <w:rFonts w:hint="default" w:hAnsi="宋体"/>
                <w:color w:val="000000"/>
                <w:kern w:val="0"/>
                <w:sz w:val="24"/>
                <w:lang w:val="en-US" w:eastAsia="zh-CN"/>
              </w:rPr>
            </w:pPr>
            <w:r>
              <w:rPr>
                <w:rFonts w:hint="eastAsia" w:hAnsi="宋体"/>
                <w:color w:val="000000"/>
                <w:kern w:val="0"/>
                <w:sz w:val="24"/>
                <w:lang w:eastAsia="zh-CN"/>
              </w:rPr>
              <w:t>⑸</w:t>
            </w:r>
            <w:r>
              <w:rPr>
                <w:rFonts w:hint="eastAsia" w:hAnsi="宋体"/>
                <w:color w:val="000000"/>
                <w:kern w:val="0"/>
                <w:sz w:val="24"/>
                <w:lang w:val="en-US" w:eastAsia="zh-CN"/>
              </w:rPr>
              <w:t>加强对施工人员环保意识教育，遵守国家和地方的法律法规，保护自然资源，不伤害野生动物，不乱砍伐树木，自觉保护沿线动植物和自然景观。</w:t>
            </w:r>
          </w:p>
          <w:p>
            <w:pPr>
              <w:adjustRightInd w:val="0"/>
              <w:snapToGrid w:val="0"/>
              <w:spacing w:line="360" w:lineRule="auto"/>
              <w:ind w:firstLine="480" w:firstLineChars="200"/>
              <w:jc w:val="left"/>
              <w:rPr>
                <w:rFonts w:hint="default" w:hAnsi="宋体"/>
                <w:color w:val="000000"/>
                <w:kern w:val="0"/>
                <w:sz w:val="24"/>
                <w:lang w:val="en-US" w:eastAsia="zh-CN"/>
              </w:rPr>
            </w:pPr>
            <w:r>
              <w:rPr>
                <w:rFonts w:hint="eastAsia" w:hAnsi="宋体"/>
                <w:color w:val="000000"/>
                <w:kern w:val="0"/>
                <w:sz w:val="24"/>
                <w:lang w:eastAsia="zh-CN"/>
              </w:rPr>
              <w:t>⑹</w:t>
            </w:r>
            <w:r>
              <w:rPr>
                <w:rFonts w:hint="eastAsia" w:hAnsi="宋体"/>
                <w:color w:val="000000"/>
                <w:kern w:val="0"/>
                <w:sz w:val="24"/>
                <w:lang w:val="en-US" w:eastAsia="zh-CN"/>
              </w:rPr>
              <w:t>各种防护措施与主体工程同步实施，以预防雨季路面径流直接冲刷坡面而造成水土流失。</w:t>
            </w:r>
          </w:p>
          <w:p>
            <w:pPr>
              <w:adjustRightInd w:val="0"/>
              <w:snapToGrid w:val="0"/>
              <w:spacing w:line="360" w:lineRule="auto"/>
              <w:ind w:firstLine="480" w:firstLineChars="200"/>
              <w:jc w:val="left"/>
              <w:rPr>
                <w:rFonts w:hint="eastAsia" w:hAnsi="宋体"/>
                <w:color w:val="000000"/>
                <w:kern w:val="0"/>
                <w:sz w:val="24"/>
                <w:lang w:val="en-US" w:eastAsia="zh-CN"/>
              </w:rPr>
            </w:pPr>
            <w:r>
              <w:rPr>
                <w:rFonts w:hint="eastAsia" w:hAnsi="宋体"/>
                <w:color w:val="000000"/>
                <w:kern w:val="0"/>
                <w:sz w:val="24"/>
                <w:lang w:eastAsia="zh-CN"/>
              </w:rPr>
              <w:t>⑺</w:t>
            </w:r>
            <w:r>
              <w:rPr>
                <w:rFonts w:hint="eastAsia" w:hAnsi="宋体"/>
                <w:color w:val="000000"/>
                <w:kern w:val="0"/>
                <w:sz w:val="24"/>
                <w:lang w:val="en-US" w:eastAsia="zh-CN"/>
              </w:rPr>
              <w:t>加强施工范围内的绿化和水土流失的防治工作，减少土地侵蚀量，对在施工过程中形成的人工切坡、余土、施工垃圾等，要及时处置，形成的裸地要进行植草复绿，避免水土流失。</w:t>
            </w: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pStyle w:val="2"/>
              <w:rPr>
                <w:rFonts w:hint="eastAsia" w:hAnsi="宋体"/>
                <w:color w:val="000000"/>
                <w:kern w:val="0"/>
                <w:sz w:val="24"/>
                <w:lang w:val="en-US" w:eastAsia="zh-CN"/>
              </w:rPr>
            </w:pPr>
          </w:p>
          <w:p>
            <w:pPr>
              <w:pStyle w:val="2"/>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adjustRightInd w:val="0"/>
              <w:snapToGrid w:val="0"/>
              <w:spacing w:line="360" w:lineRule="auto"/>
              <w:ind w:firstLine="480" w:firstLineChars="200"/>
              <w:jc w:val="left"/>
              <w:rPr>
                <w:rFonts w:hint="eastAsia" w:hAnsi="宋体"/>
                <w:color w:val="000000"/>
                <w:kern w:val="0"/>
                <w:sz w:val="24"/>
                <w:lang w:val="en-US" w:eastAsia="zh-CN"/>
              </w:rPr>
            </w:pPr>
          </w:p>
          <w:p>
            <w:pPr>
              <w:spacing w:line="240" w:lineRule="auto"/>
              <w:jc w:val="center"/>
              <w:rPr>
                <w:sz w:val="24"/>
                <w:szCs w:val="24"/>
              </w:rPr>
            </w:pPr>
          </w:p>
          <w:p>
            <w:pPr>
              <w:pStyle w:val="2"/>
              <w:rPr>
                <w:sz w:val="24"/>
                <w:szCs w:val="24"/>
              </w:rPr>
            </w:pPr>
          </w:p>
          <w:p>
            <w:pPr>
              <w:pStyle w:val="2"/>
              <w:rPr>
                <w:sz w:val="24"/>
                <w:szCs w:val="24"/>
              </w:rPr>
            </w:pPr>
          </w:p>
          <w:p>
            <w:pPr>
              <w:spacing w:line="240" w:lineRule="auto"/>
              <w:jc w:val="center"/>
              <w:rPr>
                <w:sz w:val="24"/>
                <w:szCs w:val="24"/>
              </w:rPr>
            </w:pPr>
          </w:p>
          <w:p>
            <w:pPr>
              <w:spacing w:line="240" w:lineRule="auto"/>
              <w:jc w:val="center"/>
              <w:rPr>
                <w:rFonts w:hint="eastAsia"/>
                <w:sz w:val="24"/>
                <w:szCs w:val="24"/>
              </w:rPr>
            </w:pPr>
          </w:p>
          <w:p>
            <w:pPr>
              <w:spacing w:line="240" w:lineRule="auto"/>
              <w:jc w:val="center"/>
              <w:rPr>
                <w:rFonts w:hint="eastAsia"/>
                <w:sz w:val="24"/>
                <w:szCs w:val="24"/>
              </w:rPr>
            </w:pPr>
          </w:p>
          <w:p>
            <w:pPr>
              <w:spacing w:line="240" w:lineRule="auto"/>
              <w:jc w:val="center"/>
              <w:rPr>
                <w:rFonts w:hint="eastAsia"/>
                <w:sz w:val="24"/>
                <w:szCs w:val="24"/>
              </w:rPr>
            </w:pPr>
          </w:p>
          <w:p>
            <w:pPr>
              <w:spacing w:line="240" w:lineRule="auto"/>
              <w:jc w:val="center"/>
              <w:rPr>
                <w:rFonts w:hint="eastAsia"/>
                <w:sz w:val="24"/>
                <w:szCs w:val="24"/>
              </w:rPr>
            </w:pPr>
          </w:p>
          <w:p>
            <w:pPr>
              <w:spacing w:line="240" w:lineRule="auto"/>
              <w:jc w:val="center"/>
              <w:rPr>
                <w:rFonts w:hint="eastAsia"/>
                <w:sz w:val="24"/>
                <w:szCs w:val="24"/>
              </w:rPr>
            </w:pPr>
          </w:p>
        </w:tc>
      </w:tr>
    </w:tbl>
    <w:p>
      <w:pPr>
        <w:pStyle w:val="15"/>
        <w:spacing w:line="240" w:lineRule="auto"/>
        <w:jc w:val="both"/>
        <w:outlineLvl w:val="0"/>
        <w:rPr>
          <w:rFonts w:hint="default" w:ascii="Times New Roman" w:hAnsi="Times New Roman" w:eastAsia="宋体" w:cs="Times New Roman"/>
          <w:b/>
          <w:bCs/>
          <w:sz w:val="30"/>
          <w:szCs w:val="30"/>
        </w:rPr>
      </w:pPr>
      <w:r>
        <w:rPr>
          <w:rFonts w:hint="eastAsia" w:ascii="Times New Roman" w:hAnsi="Times New Roman" w:cs="Times New Roman"/>
          <w:b/>
          <w:bCs/>
          <w:sz w:val="30"/>
          <w:szCs w:val="30"/>
          <w:lang w:eastAsia="zh-CN"/>
        </w:rPr>
        <w:t>九、</w:t>
      </w:r>
      <w:r>
        <w:rPr>
          <w:rFonts w:hint="default" w:ascii="Times New Roman" w:hAnsi="Times New Roman" w:eastAsia="宋体" w:cs="Times New Roman"/>
          <w:b/>
          <w:bCs/>
          <w:sz w:val="30"/>
          <w:szCs w:val="30"/>
        </w:rPr>
        <w:t>环境管理与监测计划</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9286" w:type="dxa"/>
            <w:tcBorders>
              <w:tl2br w:val="nil"/>
              <w:tr2bl w:val="nil"/>
            </w:tcBorders>
            <w:vAlign w:val="center"/>
          </w:tcPr>
          <w:p>
            <w:pPr>
              <w:adjustRightInd w:val="0"/>
              <w:spacing w:line="360" w:lineRule="auto"/>
              <w:rPr>
                <w:rFonts w:hint="default" w:ascii="Times New Roman" w:hAnsi="Times New Roman" w:eastAsia="黑体" w:cs="Times New Roman"/>
                <w:kern w:val="0"/>
                <w:sz w:val="24"/>
                <w:lang w:val="en-US" w:eastAsia="zh-CN"/>
              </w:rPr>
            </w:pPr>
            <w:r>
              <w:rPr>
                <w:rFonts w:hint="eastAsia" w:ascii="Times New Roman" w:hAnsi="Times New Roman" w:eastAsia="黑体" w:cs="Times New Roman"/>
                <w:kern w:val="0"/>
                <w:sz w:val="24"/>
                <w:lang w:val="en-US" w:eastAsia="zh-CN"/>
              </w:rPr>
              <w:t>1、环境管理计划</w:t>
            </w:r>
          </w:p>
          <w:p>
            <w:pPr>
              <w:adjustRightInd w:val="0"/>
              <w:spacing w:line="360" w:lineRule="auto"/>
              <w:ind w:firstLine="480" w:firstLineChars="200"/>
              <w:rPr>
                <w:rFonts w:hint="eastAsia"/>
                <w:bCs/>
                <w:sz w:val="24"/>
              </w:rPr>
            </w:pPr>
            <w:r>
              <w:rPr>
                <w:rFonts w:hint="eastAsia"/>
                <w:bCs/>
                <w:sz w:val="24"/>
                <w:lang w:eastAsia="zh-CN"/>
              </w:rPr>
              <w:t>⑴</w:t>
            </w:r>
            <w:r>
              <w:rPr>
                <w:rFonts w:hint="eastAsia"/>
                <w:bCs/>
                <w:sz w:val="24"/>
              </w:rPr>
              <w:t>建设单位与施工单位签订项目承包合同中，应包括有关项目施工期间环境保护条款，包括项目施工中生态环境保护、施工期间环境污染控制、污染物排放管理、施工人员环保教育及相关奖惩条款。</w:t>
            </w:r>
          </w:p>
          <w:p>
            <w:pPr>
              <w:adjustRightInd w:val="0"/>
              <w:spacing w:line="360" w:lineRule="auto"/>
              <w:ind w:firstLine="480" w:firstLineChars="200"/>
              <w:rPr>
                <w:rFonts w:hint="eastAsia"/>
                <w:bCs/>
                <w:sz w:val="24"/>
              </w:rPr>
            </w:pPr>
            <w:r>
              <w:rPr>
                <w:rFonts w:hint="eastAsia"/>
                <w:bCs/>
                <w:sz w:val="24"/>
                <w:lang w:eastAsia="zh-CN"/>
              </w:rPr>
              <w:t>⑵</w:t>
            </w:r>
            <w:r>
              <w:rPr>
                <w:rFonts w:hint="eastAsia"/>
                <w:bCs/>
                <w:sz w:val="24"/>
              </w:rPr>
              <w:t>施工单位应提高环保意识，加强驻地和施工现场的环境管理，合理安排施工计划，切实做到组织计划严谨，文明施工。</w:t>
            </w:r>
          </w:p>
          <w:p>
            <w:pPr>
              <w:adjustRightInd w:val="0"/>
              <w:spacing w:line="360" w:lineRule="auto"/>
              <w:ind w:firstLine="480" w:firstLineChars="200"/>
              <w:rPr>
                <w:rFonts w:hint="eastAsia"/>
                <w:bCs/>
                <w:sz w:val="24"/>
              </w:rPr>
            </w:pPr>
            <w:r>
              <w:rPr>
                <w:rFonts w:hint="eastAsia"/>
                <w:bCs/>
                <w:sz w:val="24"/>
                <w:lang w:eastAsia="zh-CN"/>
              </w:rPr>
              <w:t>⑶</w:t>
            </w:r>
            <w:r>
              <w:rPr>
                <w:rFonts w:hint="eastAsia"/>
                <w:bCs/>
                <w:sz w:val="24"/>
              </w:rPr>
              <w:t>施工单位应特别注意项目施工水土保持，尽可能保护好沟渠、沟道沿线土壤植被。</w:t>
            </w:r>
          </w:p>
          <w:p>
            <w:pPr>
              <w:adjustRightInd w:val="0"/>
              <w:spacing w:line="360" w:lineRule="auto"/>
              <w:ind w:firstLine="480" w:firstLineChars="200"/>
              <w:rPr>
                <w:bCs/>
                <w:sz w:val="24"/>
              </w:rPr>
            </w:pPr>
            <w:r>
              <w:rPr>
                <w:rFonts w:hint="eastAsia"/>
                <w:bCs/>
                <w:sz w:val="24"/>
                <w:lang w:eastAsia="zh-CN"/>
              </w:rPr>
              <w:t>⑷</w:t>
            </w:r>
            <w:r>
              <w:rPr>
                <w:rFonts w:hint="eastAsia"/>
                <w:bCs/>
                <w:sz w:val="24"/>
              </w:rPr>
              <w:t>各施工现场、施工单位驻地及其它施工临时设施，应加强环境管理，施工场地采取降尘措施，项目施工完毕后由施工单位及时清理和恢复施工现场，妥善处理生活垃圾与挖填方，减少扬尘；施工现场应执行《建筑施工场界环境噪声排放标准》(GB12523-2011)和《建筑施工场界噪声测量方法》（GB12524-90）中的有关规定和要求</w:t>
            </w:r>
            <w:r>
              <w:rPr>
                <w:bCs/>
                <w:sz w:val="24"/>
              </w:rPr>
              <w:t>。</w:t>
            </w:r>
          </w:p>
          <w:p>
            <w:pPr>
              <w:adjustRightInd w:val="0"/>
              <w:spacing w:line="360" w:lineRule="auto"/>
              <w:rPr>
                <w:rFonts w:hint="default" w:ascii="Times New Roman" w:hAnsi="Times New Roman" w:eastAsia="黑体" w:cs="Times New Roman"/>
                <w:kern w:val="0"/>
                <w:sz w:val="24"/>
                <w:lang w:val="en-US" w:eastAsia="zh-CN"/>
              </w:rPr>
            </w:pPr>
            <w:r>
              <w:rPr>
                <w:rFonts w:hint="eastAsia" w:ascii="Times New Roman" w:hAnsi="Times New Roman" w:eastAsia="黑体" w:cs="Times New Roman"/>
                <w:kern w:val="0"/>
                <w:sz w:val="24"/>
                <w:lang w:val="en-US" w:eastAsia="zh-CN"/>
              </w:rPr>
              <w:t>2、环境监测</w:t>
            </w:r>
          </w:p>
          <w:p>
            <w:pPr>
              <w:spacing w:line="360" w:lineRule="auto"/>
              <w:ind w:firstLine="480" w:firstLineChars="200"/>
              <w:rPr>
                <w:rFonts w:hint="eastAsia"/>
                <w:sz w:val="24"/>
              </w:rPr>
            </w:pPr>
            <w:r>
              <w:rPr>
                <w:rFonts w:hint="eastAsia"/>
                <w:sz w:val="24"/>
              </w:rPr>
              <w:t>环境监测应按国家和地方的环保要求进行，应采用国家规定的标准监测方法，并应按照规定，定期向有关环境保护主管部门上报监测结果。</w:t>
            </w:r>
          </w:p>
          <w:p>
            <w:pPr>
              <w:spacing w:line="360" w:lineRule="auto"/>
              <w:ind w:firstLine="480" w:firstLineChars="200"/>
              <w:rPr>
                <w:sz w:val="24"/>
              </w:rPr>
            </w:pPr>
            <w:r>
              <w:rPr>
                <w:rFonts w:hint="eastAsia"/>
                <w:sz w:val="24"/>
              </w:rPr>
              <w:t>项目施工及运行期具体监测内容及计划见表</w:t>
            </w:r>
            <w:r>
              <w:rPr>
                <w:rFonts w:hint="eastAsia"/>
                <w:sz w:val="24"/>
                <w:lang w:val="en-US" w:eastAsia="zh-CN"/>
              </w:rPr>
              <w:t>9-1</w:t>
            </w:r>
            <w:r>
              <w:rPr>
                <w:rFonts w:hint="eastAsia"/>
                <w:sz w:val="24"/>
              </w:rPr>
              <w:t>。</w:t>
            </w:r>
          </w:p>
          <w:p>
            <w:pPr>
              <w:adjustRightInd w:val="0"/>
              <w:spacing w:line="360" w:lineRule="auto"/>
              <w:jc w:val="center"/>
              <w:rPr>
                <w:rFonts w:ascii="Times New Roman" w:hAnsi="Times New Roman" w:eastAsia="黑体" w:cs="Times New Roman"/>
                <w:bCs/>
                <w:sz w:val="24"/>
              </w:rPr>
            </w:pPr>
            <w:r>
              <w:rPr>
                <w:rFonts w:ascii="Times New Roman" w:hAnsi="Times New Roman" w:eastAsia="黑体" w:cs="Times New Roman"/>
                <w:bCs/>
                <w:sz w:val="24"/>
              </w:rPr>
              <w:t>表</w:t>
            </w:r>
            <w:r>
              <w:rPr>
                <w:rFonts w:hint="eastAsia" w:ascii="Times New Roman" w:hAnsi="Times New Roman" w:eastAsia="黑体" w:cs="Times New Roman"/>
                <w:bCs/>
                <w:sz w:val="24"/>
                <w:lang w:val="en-US" w:eastAsia="zh-CN"/>
              </w:rPr>
              <w:t xml:space="preserve">9-1    </w:t>
            </w:r>
            <w:r>
              <w:rPr>
                <w:rFonts w:hint="eastAsia" w:ascii="Times New Roman" w:hAnsi="Times New Roman" w:eastAsia="黑体" w:cs="Times New Roman"/>
                <w:bCs/>
                <w:sz w:val="24"/>
              </w:rPr>
              <w:t>环境监测内容及计划</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40"/>
              <w:gridCol w:w="1176"/>
              <w:gridCol w:w="4798"/>
              <w:gridCol w:w="1066"/>
              <w:gridCol w:w="10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40" w:type="dxa"/>
                  <w:tcBorders>
                    <w:tl2br w:val="nil"/>
                    <w:tr2bl w:val="nil"/>
                  </w:tcBorders>
                  <w:noWrap w:val="0"/>
                  <w:vAlign w:val="center"/>
                </w:tcPr>
                <w:p>
                  <w:pPr>
                    <w:spacing w:line="240" w:lineRule="auto"/>
                    <w:jc w:val="center"/>
                    <w:rPr>
                      <w:b/>
                      <w:sz w:val="21"/>
                      <w:szCs w:val="21"/>
                    </w:rPr>
                  </w:pPr>
                  <w:r>
                    <w:rPr>
                      <w:b/>
                      <w:sz w:val="21"/>
                      <w:szCs w:val="21"/>
                    </w:rPr>
                    <w:t>阶段</w:t>
                  </w:r>
                </w:p>
              </w:tc>
              <w:tc>
                <w:tcPr>
                  <w:tcW w:w="1176" w:type="dxa"/>
                  <w:tcBorders>
                    <w:tl2br w:val="nil"/>
                    <w:tr2bl w:val="nil"/>
                  </w:tcBorders>
                  <w:noWrap w:val="0"/>
                  <w:vAlign w:val="center"/>
                </w:tcPr>
                <w:p>
                  <w:pPr>
                    <w:spacing w:line="240" w:lineRule="auto"/>
                    <w:jc w:val="center"/>
                    <w:rPr>
                      <w:b/>
                      <w:sz w:val="21"/>
                      <w:szCs w:val="21"/>
                    </w:rPr>
                  </w:pPr>
                  <w:r>
                    <w:rPr>
                      <w:b/>
                      <w:sz w:val="21"/>
                      <w:szCs w:val="21"/>
                    </w:rPr>
                    <w:t>监测内容</w:t>
                  </w:r>
                </w:p>
              </w:tc>
              <w:tc>
                <w:tcPr>
                  <w:tcW w:w="4798" w:type="dxa"/>
                  <w:tcBorders>
                    <w:tl2br w:val="nil"/>
                    <w:tr2bl w:val="nil"/>
                  </w:tcBorders>
                  <w:noWrap w:val="0"/>
                  <w:vAlign w:val="center"/>
                </w:tcPr>
                <w:p>
                  <w:pPr>
                    <w:spacing w:line="240" w:lineRule="auto"/>
                    <w:jc w:val="center"/>
                    <w:rPr>
                      <w:b/>
                      <w:sz w:val="21"/>
                      <w:szCs w:val="21"/>
                    </w:rPr>
                  </w:pPr>
                  <w:r>
                    <w:rPr>
                      <w:b/>
                      <w:sz w:val="21"/>
                      <w:szCs w:val="21"/>
                    </w:rPr>
                    <w:t>主要技术要求</w:t>
                  </w:r>
                </w:p>
              </w:tc>
              <w:tc>
                <w:tcPr>
                  <w:tcW w:w="1066" w:type="dxa"/>
                  <w:tcBorders>
                    <w:tl2br w:val="nil"/>
                    <w:tr2bl w:val="nil"/>
                  </w:tcBorders>
                  <w:noWrap w:val="0"/>
                  <w:vAlign w:val="center"/>
                </w:tcPr>
                <w:p>
                  <w:pPr>
                    <w:spacing w:line="240" w:lineRule="auto"/>
                    <w:jc w:val="center"/>
                    <w:rPr>
                      <w:b/>
                      <w:sz w:val="21"/>
                      <w:szCs w:val="21"/>
                    </w:rPr>
                  </w:pPr>
                  <w:r>
                    <w:rPr>
                      <w:b/>
                      <w:sz w:val="21"/>
                      <w:szCs w:val="21"/>
                    </w:rPr>
                    <w:t>报告制度</w:t>
                  </w:r>
                </w:p>
              </w:tc>
              <w:tc>
                <w:tcPr>
                  <w:tcW w:w="1060" w:type="dxa"/>
                  <w:tcBorders>
                    <w:tl2br w:val="nil"/>
                    <w:tr2bl w:val="nil"/>
                  </w:tcBorders>
                  <w:noWrap w:val="0"/>
                  <w:vAlign w:val="center"/>
                </w:tcPr>
                <w:p>
                  <w:pPr>
                    <w:spacing w:line="240" w:lineRule="auto"/>
                    <w:jc w:val="center"/>
                    <w:rPr>
                      <w:b/>
                      <w:sz w:val="21"/>
                      <w:szCs w:val="21"/>
                    </w:rPr>
                  </w:pPr>
                  <w:r>
                    <w:rPr>
                      <w:b/>
                      <w:sz w:val="21"/>
                      <w:szCs w:val="21"/>
                    </w:rPr>
                    <w:t>监督机构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40" w:type="dxa"/>
                  <w:vMerge w:val="restart"/>
                  <w:tcBorders>
                    <w:tl2br w:val="nil"/>
                    <w:tr2bl w:val="nil"/>
                  </w:tcBorders>
                  <w:noWrap w:val="0"/>
                  <w:vAlign w:val="center"/>
                </w:tcPr>
                <w:p>
                  <w:pPr>
                    <w:spacing w:line="240" w:lineRule="auto"/>
                    <w:jc w:val="center"/>
                    <w:rPr>
                      <w:sz w:val="21"/>
                      <w:szCs w:val="21"/>
                    </w:rPr>
                  </w:pPr>
                  <w:r>
                    <w:rPr>
                      <w:sz w:val="21"/>
                      <w:szCs w:val="21"/>
                    </w:rPr>
                    <w:t>施工期</w:t>
                  </w:r>
                </w:p>
              </w:tc>
              <w:tc>
                <w:tcPr>
                  <w:tcW w:w="1176" w:type="dxa"/>
                  <w:tcBorders>
                    <w:tl2br w:val="nil"/>
                    <w:tr2bl w:val="nil"/>
                  </w:tcBorders>
                  <w:noWrap w:val="0"/>
                  <w:vAlign w:val="center"/>
                </w:tcPr>
                <w:p>
                  <w:pPr>
                    <w:spacing w:line="240" w:lineRule="auto"/>
                    <w:jc w:val="center"/>
                    <w:rPr>
                      <w:sz w:val="21"/>
                      <w:szCs w:val="21"/>
                    </w:rPr>
                  </w:pPr>
                  <w:r>
                    <w:rPr>
                      <w:sz w:val="21"/>
                      <w:szCs w:val="21"/>
                    </w:rPr>
                    <w:t>环境空气</w:t>
                  </w:r>
                </w:p>
              </w:tc>
              <w:tc>
                <w:tcPr>
                  <w:tcW w:w="4798" w:type="dxa"/>
                  <w:tcBorders>
                    <w:tl2br w:val="nil"/>
                    <w:tr2bl w:val="nil"/>
                  </w:tcBorders>
                  <w:noWrap w:val="0"/>
                  <w:vAlign w:val="center"/>
                </w:tcPr>
                <w:p>
                  <w:pPr>
                    <w:spacing w:line="240" w:lineRule="auto"/>
                    <w:jc w:val="center"/>
                    <w:rPr>
                      <w:sz w:val="21"/>
                      <w:szCs w:val="21"/>
                    </w:rPr>
                  </w:pPr>
                  <w:r>
                    <w:rPr>
                      <w:sz w:val="21"/>
                      <w:szCs w:val="21"/>
                    </w:rPr>
                    <w:t>监测项目：TSP  监测频率：不定期</w:t>
                  </w:r>
                </w:p>
                <w:p>
                  <w:pPr>
                    <w:spacing w:line="240" w:lineRule="auto"/>
                    <w:jc w:val="center"/>
                    <w:rPr>
                      <w:sz w:val="21"/>
                      <w:szCs w:val="21"/>
                    </w:rPr>
                  </w:pPr>
                  <w:r>
                    <w:rPr>
                      <w:sz w:val="21"/>
                      <w:szCs w:val="21"/>
                    </w:rPr>
                    <w:t>监测点：施工现场</w:t>
                  </w:r>
                </w:p>
              </w:tc>
              <w:tc>
                <w:tcPr>
                  <w:tcW w:w="1066" w:type="dxa"/>
                  <w:vMerge w:val="restart"/>
                  <w:tcBorders>
                    <w:tl2br w:val="nil"/>
                    <w:tr2bl w:val="nil"/>
                  </w:tcBorders>
                  <w:noWrap w:val="0"/>
                  <w:vAlign w:val="center"/>
                </w:tcPr>
                <w:p>
                  <w:pPr>
                    <w:spacing w:line="240" w:lineRule="auto"/>
                    <w:jc w:val="center"/>
                    <w:rPr>
                      <w:sz w:val="21"/>
                      <w:szCs w:val="21"/>
                    </w:rPr>
                  </w:pPr>
                  <w:r>
                    <w:rPr>
                      <w:sz w:val="21"/>
                      <w:szCs w:val="21"/>
                    </w:rPr>
                    <w:t>项目区所属各市县环保局</w:t>
                  </w:r>
                </w:p>
              </w:tc>
              <w:tc>
                <w:tcPr>
                  <w:tcW w:w="1060" w:type="dxa"/>
                  <w:vMerge w:val="restart"/>
                  <w:tcBorders>
                    <w:tl2br w:val="nil"/>
                    <w:tr2bl w:val="nil"/>
                  </w:tcBorders>
                  <w:noWrap w:val="0"/>
                  <w:vAlign w:val="center"/>
                </w:tcPr>
                <w:p>
                  <w:pPr>
                    <w:spacing w:line="240" w:lineRule="auto"/>
                    <w:jc w:val="center"/>
                    <w:rPr>
                      <w:sz w:val="21"/>
                      <w:szCs w:val="21"/>
                    </w:rPr>
                  </w:pPr>
                  <w:r>
                    <w:rPr>
                      <w:sz w:val="21"/>
                      <w:szCs w:val="21"/>
                    </w:rPr>
                    <w:t>项目区所属各市县环保局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40" w:type="dxa"/>
                  <w:vMerge w:val="continue"/>
                  <w:tcBorders>
                    <w:tl2br w:val="nil"/>
                    <w:tr2bl w:val="nil"/>
                  </w:tcBorders>
                  <w:noWrap w:val="0"/>
                  <w:vAlign w:val="center"/>
                </w:tcPr>
                <w:p>
                  <w:pPr>
                    <w:spacing w:line="240" w:lineRule="auto"/>
                    <w:jc w:val="center"/>
                    <w:rPr>
                      <w:sz w:val="21"/>
                      <w:szCs w:val="21"/>
                    </w:rPr>
                  </w:pPr>
                </w:p>
              </w:tc>
              <w:tc>
                <w:tcPr>
                  <w:tcW w:w="1176" w:type="dxa"/>
                  <w:tcBorders>
                    <w:tl2br w:val="nil"/>
                    <w:tr2bl w:val="nil"/>
                  </w:tcBorders>
                  <w:noWrap w:val="0"/>
                  <w:vAlign w:val="center"/>
                </w:tcPr>
                <w:p>
                  <w:pPr>
                    <w:spacing w:line="240" w:lineRule="auto"/>
                    <w:jc w:val="center"/>
                    <w:rPr>
                      <w:sz w:val="21"/>
                      <w:szCs w:val="21"/>
                    </w:rPr>
                  </w:pPr>
                  <w:r>
                    <w:rPr>
                      <w:sz w:val="21"/>
                      <w:szCs w:val="21"/>
                    </w:rPr>
                    <w:t>噪声</w:t>
                  </w:r>
                </w:p>
              </w:tc>
              <w:tc>
                <w:tcPr>
                  <w:tcW w:w="4798" w:type="dxa"/>
                  <w:tcBorders>
                    <w:tl2br w:val="nil"/>
                    <w:tr2bl w:val="nil"/>
                  </w:tcBorders>
                  <w:noWrap w:val="0"/>
                  <w:vAlign w:val="center"/>
                </w:tcPr>
                <w:p>
                  <w:pPr>
                    <w:spacing w:line="240" w:lineRule="auto"/>
                    <w:jc w:val="center"/>
                    <w:rPr>
                      <w:sz w:val="21"/>
                      <w:szCs w:val="21"/>
                    </w:rPr>
                  </w:pPr>
                  <w:r>
                    <w:rPr>
                      <w:sz w:val="21"/>
                      <w:szCs w:val="21"/>
                    </w:rPr>
                    <w:t>监测项目：施工噪声  监测频率：不定期</w:t>
                  </w:r>
                </w:p>
                <w:p>
                  <w:pPr>
                    <w:spacing w:line="240" w:lineRule="auto"/>
                    <w:jc w:val="center"/>
                    <w:rPr>
                      <w:sz w:val="21"/>
                      <w:szCs w:val="21"/>
                    </w:rPr>
                  </w:pPr>
                  <w:r>
                    <w:rPr>
                      <w:sz w:val="21"/>
                      <w:szCs w:val="21"/>
                    </w:rPr>
                    <w:t>监测点：施工现场</w:t>
                  </w:r>
                </w:p>
              </w:tc>
              <w:tc>
                <w:tcPr>
                  <w:tcW w:w="1066" w:type="dxa"/>
                  <w:vMerge w:val="continue"/>
                  <w:tcBorders>
                    <w:tl2br w:val="nil"/>
                    <w:tr2bl w:val="nil"/>
                  </w:tcBorders>
                  <w:noWrap w:val="0"/>
                  <w:vAlign w:val="center"/>
                </w:tcPr>
                <w:p>
                  <w:pPr>
                    <w:spacing w:line="240" w:lineRule="auto"/>
                    <w:jc w:val="center"/>
                    <w:rPr>
                      <w:sz w:val="21"/>
                      <w:szCs w:val="21"/>
                    </w:rPr>
                  </w:pPr>
                </w:p>
              </w:tc>
              <w:tc>
                <w:tcPr>
                  <w:tcW w:w="1060" w:type="dxa"/>
                  <w:vMerge w:val="continue"/>
                  <w:tcBorders>
                    <w:tl2br w:val="nil"/>
                    <w:tr2bl w:val="nil"/>
                  </w:tcBorders>
                  <w:noWrap w:val="0"/>
                  <w:vAlign w:val="center"/>
                </w:tcPr>
                <w:p>
                  <w:pPr>
                    <w:spacing w:line="240" w:lineRule="auto"/>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40" w:type="dxa"/>
                  <w:vMerge w:val="continue"/>
                  <w:tcBorders>
                    <w:tl2br w:val="nil"/>
                    <w:tr2bl w:val="nil"/>
                  </w:tcBorders>
                  <w:noWrap w:val="0"/>
                  <w:vAlign w:val="center"/>
                </w:tcPr>
                <w:p>
                  <w:pPr>
                    <w:spacing w:line="240" w:lineRule="auto"/>
                    <w:jc w:val="center"/>
                    <w:rPr>
                      <w:sz w:val="21"/>
                      <w:szCs w:val="21"/>
                    </w:rPr>
                  </w:pPr>
                </w:p>
              </w:tc>
              <w:tc>
                <w:tcPr>
                  <w:tcW w:w="1176" w:type="dxa"/>
                  <w:tcBorders>
                    <w:tl2br w:val="nil"/>
                    <w:tr2bl w:val="nil"/>
                  </w:tcBorders>
                  <w:noWrap w:val="0"/>
                  <w:vAlign w:val="center"/>
                </w:tcPr>
                <w:p>
                  <w:pPr>
                    <w:spacing w:line="240" w:lineRule="auto"/>
                    <w:jc w:val="center"/>
                    <w:rPr>
                      <w:sz w:val="21"/>
                      <w:szCs w:val="21"/>
                    </w:rPr>
                  </w:pPr>
                  <w:r>
                    <w:rPr>
                      <w:sz w:val="21"/>
                      <w:szCs w:val="21"/>
                    </w:rPr>
                    <w:t>固体废物</w:t>
                  </w:r>
                </w:p>
              </w:tc>
              <w:tc>
                <w:tcPr>
                  <w:tcW w:w="4798" w:type="dxa"/>
                  <w:tcBorders>
                    <w:tl2br w:val="nil"/>
                    <w:tr2bl w:val="nil"/>
                  </w:tcBorders>
                  <w:noWrap w:val="0"/>
                  <w:vAlign w:val="center"/>
                </w:tcPr>
                <w:p>
                  <w:pPr>
                    <w:spacing w:line="240" w:lineRule="auto"/>
                    <w:jc w:val="center"/>
                    <w:rPr>
                      <w:sz w:val="21"/>
                      <w:szCs w:val="21"/>
                    </w:rPr>
                  </w:pPr>
                  <w:r>
                    <w:rPr>
                      <w:sz w:val="21"/>
                      <w:szCs w:val="21"/>
                    </w:rPr>
                    <w:t>监测项目：固体废物排放量及处置方式</w:t>
                  </w:r>
                </w:p>
                <w:p>
                  <w:pPr>
                    <w:spacing w:line="240" w:lineRule="auto"/>
                    <w:jc w:val="center"/>
                    <w:rPr>
                      <w:sz w:val="21"/>
                      <w:szCs w:val="21"/>
                    </w:rPr>
                  </w:pPr>
                  <w:r>
                    <w:rPr>
                      <w:sz w:val="21"/>
                      <w:szCs w:val="21"/>
                    </w:rPr>
                    <w:t>监测频率：不定期  监测点：施工现场</w:t>
                  </w:r>
                </w:p>
              </w:tc>
              <w:tc>
                <w:tcPr>
                  <w:tcW w:w="1066" w:type="dxa"/>
                  <w:vMerge w:val="continue"/>
                  <w:tcBorders>
                    <w:tl2br w:val="nil"/>
                    <w:tr2bl w:val="nil"/>
                  </w:tcBorders>
                  <w:noWrap w:val="0"/>
                  <w:vAlign w:val="center"/>
                </w:tcPr>
                <w:p>
                  <w:pPr>
                    <w:spacing w:line="240" w:lineRule="auto"/>
                    <w:jc w:val="center"/>
                    <w:rPr>
                      <w:sz w:val="21"/>
                      <w:szCs w:val="21"/>
                    </w:rPr>
                  </w:pPr>
                </w:p>
              </w:tc>
              <w:tc>
                <w:tcPr>
                  <w:tcW w:w="1060" w:type="dxa"/>
                  <w:vMerge w:val="continue"/>
                  <w:tcBorders>
                    <w:tl2br w:val="nil"/>
                    <w:tr2bl w:val="nil"/>
                  </w:tcBorders>
                  <w:noWrap w:val="0"/>
                  <w:vAlign w:val="center"/>
                </w:tcPr>
                <w:p>
                  <w:pPr>
                    <w:spacing w:line="240" w:lineRule="auto"/>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40" w:type="dxa"/>
                  <w:tcBorders>
                    <w:tl2br w:val="nil"/>
                    <w:tr2bl w:val="nil"/>
                  </w:tcBorders>
                  <w:noWrap w:val="0"/>
                  <w:vAlign w:val="center"/>
                </w:tcPr>
                <w:p>
                  <w:pPr>
                    <w:spacing w:line="240" w:lineRule="auto"/>
                    <w:jc w:val="center"/>
                    <w:rPr>
                      <w:sz w:val="21"/>
                      <w:szCs w:val="21"/>
                    </w:rPr>
                  </w:pPr>
                  <w:r>
                    <w:rPr>
                      <w:sz w:val="21"/>
                      <w:szCs w:val="21"/>
                    </w:rPr>
                    <w:t>运营期</w:t>
                  </w:r>
                </w:p>
              </w:tc>
              <w:tc>
                <w:tcPr>
                  <w:tcW w:w="1176" w:type="dxa"/>
                  <w:tcBorders>
                    <w:tl2br w:val="nil"/>
                    <w:tr2bl w:val="nil"/>
                  </w:tcBorders>
                  <w:noWrap w:val="0"/>
                  <w:vAlign w:val="center"/>
                </w:tcPr>
                <w:p>
                  <w:pPr>
                    <w:spacing w:line="240" w:lineRule="auto"/>
                    <w:jc w:val="center"/>
                    <w:rPr>
                      <w:sz w:val="21"/>
                      <w:szCs w:val="21"/>
                    </w:rPr>
                  </w:pPr>
                  <w:r>
                    <w:rPr>
                      <w:sz w:val="21"/>
                      <w:szCs w:val="21"/>
                    </w:rPr>
                    <w:t>环保措施</w:t>
                  </w:r>
                </w:p>
              </w:tc>
              <w:tc>
                <w:tcPr>
                  <w:tcW w:w="4798" w:type="dxa"/>
                  <w:tcBorders>
                    <w:tl2br w:val="nil"/>
                    <w:tr2bl w:val="nil"/>
                  </w:tcBorders>
                  <w:noWrap w:val="0"/>
                  <w:vAlign w:val="center"/>
                </w:tcPr>
                <w:p>
                  <w:pPr>
                    <w:spacing w:line="240" w:lineRule="auto"/>
                    <w:jc w:val="center"/>
                    <w:rPr>
                      <w:sz w:val="21"/>
                      <w:szCs w:val="21"/>
                    </w:rPr>
                  </w:pPr>
                  <w:r>
                    <w:rPr>
                      <w:sz w:val="21"/>
                      <w:szCs w:val="21"/>
                    </w:rPr>
                    <w:t>监测项目：环保措施落实情况，绿化系数</w:t>
                  </w:r>
                </w:p>
                <w:p>
                  <w:pPr>
                    <w:spacing w:line="240" w:lineRule="auto"/>
                    <w:jc w:val="center"/>
                    <w:rPr>
                      <w:sz w:val="21"/>
                      <w:szCs w:val="21"/>
                    </w:rPr>
                  </w:pPr>
                  <w:r>
                    <w:rPr>
                      <w:sz w:val="21"/>
                      <w:szCs w:val="21"/>
                    </w:rPr>
                    <w:t>监测频率：不定期</w:t>
                  </w:r>
                </w:p>
                <w:p>
                  <w:pPr>
                    <w:spacing w:line="240" w:lineRule="auto"/>
                    <w:jc w:val="center"/>
                    <w:rPr>
                      <w:rFonts w:hint="eastAsia" w:eastAsia="宋体"/>
                      <w:sz w:val="21"/>
                      <w:szCs w:val="21"/>
                      <w:lang w:eastAsia="zh-CN"/>
                    </w:rPr>
                  </w:pPr>
                  <w:r>
                    <w:rPr>
                      <w:sz w:val="21"/>
                      <w:szCs w:val="21"/>
                    </w:rPr>
                    <w:t>监测点：工程</w:t>
                  </w:r>
                  <w:r>
                    <w:rPr>
                      <w:rFonts w:hint="eastAsia"/>
                      <w:sz w:val="21"/>
                      <w:szCs w:val="21"/>
                      <w:lang w:val="en-US" w:eastAsia="zh-CN"/>
                    </w:rPr>
                    <w:t>区域</w:t>
                  </w:r>
                </w:p>
              </w:tc>
              <w:tc>
                <w:tcPr>
                  <w:tcW w:w="1066" w:type="dxa"/>
                  <w:vMerge w:val="continue"/>
                  <w:tcBorders>
                    <w:tl2br w:val="nil"/>
                    <w:tr2bl w:val="nil"/>
                  </w:tcBorders>
                  <w:noWrap w:val="0"/>
                  <w:vAlign w:val="center"/>
                </w:tcPr>
                <w:p>
                  <w:pPr>
                    <w:spacing w:line="240" w:lineRule="auto"/>
                    <w:jc w:val="center"/>
                    <w:rPr>
                      <w:sz w:val="21"/>
                      <w:szCs w:val="21"/>
                    </w:rPr>
                  </w:pPr>
                </w:p>
              </w:tc>
              <w:tc>
                <w:tcPr>
                  <w:tcW w:w="1060" w:type="dxa"/>
                  <w:vMerge w:val="continue"/>
                  <w:tcBorders>
                    <w:tl2br w:val="nil"/>
                    <w:tr2bl w:val="nil"/>
                  </w:tcBorders>
                  <w:noWrap w:val="0"/>
                  <w:vAlign w:val="center"/>
                </w:tcPr>
                <w:p>
                  <w:pPr>
                    <w:spacing w:line="240" w:lineRule="auto"/>
                    <w:jc w:val="center"/>
                    <w:rPr>
                      <w:sz w:val="21"/>
                      <w:szCs w:val="21"/>
                    </w:rPr>
                  </w:pPr>
                </w:p>
              </w:tc>
            </w:tr>
          </w:tbl>
          <w:p>
            <w:pPr>
              <w:adjustRightInd w:val="0"/>
              <w:spacing w:line="360" w:lineRule="auto"/>
              <w:rPr>
                <w:rFonts w:hint="default" w:ascii="Times New Roman" w:hAnsi="Times New Roman" w:eastAsia="黑体" w:cs="Times New Roman"/>
                <w:kern w:val="0"/>
                <w:sz w:val="24"/>
                <w:lang w:val="en-US" w:eastAsia="zh-CN"/>
              </w:rPr>
            </w:pPr>
            <w:r>
              <w:rPr>
                <w:rFonts w:hint="eastAsia" w:ascii="Times New Roman" w:hAnsi="Times New Roman" w:eastAsia="黑体" w:cs="Times New Roman"/>
                <w:kern w:val="0"/>
                <w:sz w:val="24"/>
                <w:lang w:val="en-US" w:eastAsia="zh-CN"/>
              </w:rPr>
              <w:t>3、</w:t>
            </w:r>
            <w:r>
              <w:rPr>
                <w:rFonts w:hint="default" w:ascii="Times New Roman" w:hAnsi="Times New Roman" w:eastAsia="黑体" w:cs="Times New Roman"/>
                <w:kern w:val="0"/>
                <w:sz w:val="24"/>
                <w:lang w:val="en-US" w:eastAsia="zh-CN"/>
              </w:rPr>
              <w:t>竣工环保验收</w:t>
            </w:r>
          </w:p>
          <w:p>
            <w:pPr>
              <w:adjustRightInd w:val="0"/>
              <w:snapToGrid w:val="0"/>
              <w:spacing w:line="360" w:lineRule="auto"/>
              <w:ind w:firstLine="480" w:firstLineChars="200"/>
              <w:rPr>
                <w:rFonts w:hint="eastAsia" w:ascii="宋体" w:hAnsi="宋体"/>
                <w:sz w:val="24"/>
              </w:rPr>
            </w:pPr>
            <w:r>
              <w:rPr>
                <w:rFonts w:hint="eastAsia" w:ascii="宋体" w:hAnsi="宋体"/>
                <w:sz w:val="24"/>
              </w:rPr>
              <w:t>建设项目竣工环境保护验收是指建设项目竣工后，环境保护行政主管部门根据有关法律、法规，根据环境保护验收监测或调查结果，并通过现场检查等手段，考核建设项目是否达到环境保护要求的管理方式。</w:t>
            </w:r>
          </w:p>
          <w:p>
            <w:pPr>
              <w:adjustRightInd w:val="0"/>
              <w:snapToGrid w:val="0"/>
              <w:spacing w:line="360" w:lineRule="auto"/>
              <w:ind w:firstLine="480" w:firstLineChars="200"/>
              <w:rPr>
                <w:rFonts w:hint="default" w:ascii="Times New Roman" w:hAnsi="Times New Roman" w:cs="Times New Roman"/>
                <w:sz w:val="24"/>
              </w:rPr>
            </w:pPr>
            <w:r>
              <w:rPr>
                <w:rFonts w:hint="eastAsia" w:ascii="宋体" w:hAnsi="宋体"/>
                <w:sz w:val="24"/>
              </w:rPr>
              <w:t>项目污染治理设施必须与项目主体工程内容“三同时”建成，建成试生产期间建设单位应按规定，自主或委托第三方进行项目竣工环境保护验收，并要求主管部门进行监督</w:t>
            </w:r>
            <w:r>
              <w:rPr>
                <w:rFonts w:hint="default" w:ascii="Times New Roman" w:hAnsi="Times New Roman" w:cs="Times New Roman"/>
                <w:sz w:val="24"/>
              </w:rPr>
              <w:t>指导。</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因此，本项目制定环境污染防治设施竣工验收清单，通过此竣工验收清单来确保本项目环保设施及污染防治措施的顺利进行。</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本项目竣工环境保护验收一览表见表</w:t>
            </w:r>
            <w:r>
              <w:rPr>
                <w:rFonts w:hint="eastAsia" w:cs="Times New Roman"/>
                <w:sz w:val="24"/>
                <w:lang w:val="en-US" w:eastAsia="zh-CN"/>
              </w:rPr>
              <w:t>9-2</w:t>
            </w:r>
            <w:r>
              <w:rPr>
                <w:rFonts w:hint="default" w:ascii="Times New Roman" w:hAnsi="Times New Roman" w:cs="Times New Roman"/>
                <w:sz w:val="24"/>
              </w:rPr>
              <w:t>。</w:t>
            </w:r>
          </w:p>
          <w:p>
            <w:pPr>
              <w:adjustRightInd w:val="0"/>
              <w:spacing w:line="360" w:lineRule="auto"/>
              <w:jc w:val="center"/>
              <w:rPr>
                <w:rFonts w:hint="eastAsia" w:ascii="Times New Roman" w:hAnsi="Times New Roman" w:eastAsia="黑体" w:cs="Times New Roman"/>
                <w:bCs/>
                <w:sz w:val="24"/>
              </w:rPr>
            </w:pPr>
            <w:r>
              <w:rPr>
                <w:rFonts w:ascii="Times New Roman" w:hAnsi="Times New Roman" w:eastAsia="黑体" w:cs="Times New Roman"/>
                <w:bCs/>
                <w:sz w:val="24"/>
              </w:rPr>
              <w:t>表</w:t>
            </w:r>
            <w:r>
              <w:rPr>
                <w:rFonts w:hint="eastAsia" w:ascii="Times New Roman" w:hAnsi="Times New Roman" w:eastAsia="黑体" w:cs="Times New Roman"/>
                <w:bCs/>
                <w:sz w:val="24"/>
                <w:lang w:val="en-US" w:eastAsia="zh-CN"/>
              </w:rPr>
              <w:t xml:space="preserve">9-2    </w:t>
            </w:r>
            <w:r>
              <w:rPr>
                <w:rFonts w:hint="eastAsia" w:ascii="Times New Roman" w:hAnsi="Times New Roman" w:eastAsia="黑体" w:cs="Times New Roman"/>
                <w:bCs/>
                <w:sz w:val="24"/>
              </w:rPr>
              <w:t>项目环保设施验收清单</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861"/>
              <w:gridCol w:w="985"/>
              <w:gridCol w:w="1408"/>
              <w:gridCol w:w="3526"/>
              <w:gridCol w:w="22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861"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b/>
                      <w:sz w:val="21"/>
                      <w:szCs w:val="21"/>
                    </w:rPr>
                  </w:pPr>
                  <w:r>
                    <w:rPr>
                      <w:b/>
                      <w:sz w:val="21"/>
                      <w:szCs w:val="21"/>
                    </w:rPr>
                    <w:t>项目</w:t>
                  </w:r>
                </w:p>
              </w:tc>
              <w:tc>
                <w:tcPr>
                  <w:tcW w:w="985"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b/>
                      <w:sz w:val="21"/>
                      <w:szCs w:val="21"/>
                    </w:rPr>
                  </w:pPr>
                  <w:r>
                    <w:rPr>
                      <w:b/>
                      <w:sz w:val="21"/>
                      <w:szCs w:val="21"/>
                    </w:rPr>
                    <w:t>排放源</w:t>
                  </w:r>
                </w:p>
              </w:tc>
              <w:tc>
                <w:tcPr>
                  <w:tcW w:w="1408"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b/>
                      <w:sz w:val="21"/>
                      <w:szCs w:val="21"/>
                    </w:rPr>
                  </w:pPr>
                  <w:r>
                    <w:rPr>
                      <w:b/>
                      <w:sz w:val="21"/>
                      <w:szCs w:val="21"/>
                    </w:rPr>
                    <w:t>污染物名称</w:t>
                  </w:r>
                </w:p>
              </w:tc>
              <w:tc>
                <w:tcPr>
                  <w:tcW w:w="3526"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b/>
                      <w:sz w:val="21"/>
                      <w:szCs w:val="21"/>
                    </w:rPr>
                  </w:pPr>
                  <w:r>
                    <w:rPr>
                      <w:b/>
                      <w:sz w:val="21"/>
                      <w:szCs w:val="21"/>
                    </w:rPr>
                    <w:t>防治措施</w:t>
                  </w:r>
                </w:p>
              </w:tc>
              <w:tc>
                <w:tcPr>
                  <w:tcW w:w="2260"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b/>
                      <w:sz w:val="21"/>
                      <w:szCs w:val="21"/>
                    </w:rPr>
                  </w:pPr>
                  <w:r>
                    <w:rPr>
                      <w:b/>
                      <w:sz w:val="21"/>
                      <w:szCs w:val="21"/>
                    </w:rPr>
                    <w:t>验收要求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861"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大气污染物</w:t>
                  </w:r>
                </w:p>
              </w:tc>
              <w:tc>
                <w:tcPr>
                  <w:tcW w:w="985" w:type="dxa"/>
                  <w:tcBorders>
                    <w:tl2br w:val="nil"/>
                    <w:tr2bl w:val="nil"/>
                  </w:tcBorders>
                  <w:noWrap w:val="0"/>
                  <w:vAlign w:val="center"/>
                </w:tcPr>
                <w:p>
                  <w:pPr>
                    <w:pStyle w:val="9"/>
                    <w:keepNext w:val="0"/>
                    <w:keepLines w:val="0"/>
                    <w:pageBreakBefore w:val="0"/>
                    <w:widowControl w:val="0"/>
                    <w:kinsoku/>
                    <w:wordWrap/>
                    <w:overflowPunct/>
                    <w:autoSpaceDE/>
                    <w:autoSpaceDN/>
                    <w:bidi w:val="0"/>
                    <w:adjustRightInd/>
                    <w:snapToGrid/>
                    <w:spacing w:after="0" w:line="240" w:lineRule="auto"/>
                    <w:ind w:left="0" w:leftChars="0" w:firstLine="0" w:firstLineChars="0"/>
                    <w:jc w:val="center"/>
                    <w:textAlignment w:val="auto"/>
                    <w:rPr>
                      <w:sz w:val="21"/>
                      <w:szCs w:val="21"/>
                      <w:lang w:eastAsia="zh-CN"/>
                    </w:rPr>
                  </w:pPr>
                  <w:r>
                    <w:rPr>
                      <w:sz w:val="21"/>
                      <w:szCs w:val="21"/>
                      <w:lang w:eastAsia="zh-CN"/>
                    </w:rPr>
                    <w:t>施工场地</w:t>
                  </w:r>
                </w:p>
              </w:tc>
              <w:tc>
                <w:tcPr>
                  <w:tcW w:w="1408"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ind w:left="0" w:leftChars="0" w:firstLine="0"/>
                    <w:jc w:val="center"/>
                    <w:textAlignment w:val="auto"/>
                    <w:rPr>
                      <w:sz w:val="21"/>
                      <w:szCs w:val="21"/>
                    </w:rPr>
                  </w:pPr>
                  <w:r>
                    <w:rPr>
                      <w:sz w:val="21"/>
                      <w:szCs w:val="21"/>
                    </w:rPr>
                    <w:t>粉尘</w:t>
                  </w:r>
                </w:p>
              </w:tc>
              <w:tc>
                <w:tcPr>
                  <w:tcW w:w="3526"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材料采用封闭式运输，设置围挡，禁止大风天气进行开挖、拌合、材料装卸工作</w:t>
                  </w:r>
                </w:p>
              </w:tc>
              <w:tc>
                <w:tcPr>
                  <w:tcW w:w="2260"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《大气污染物综合排放标准》（GB16297-1996）中颗粒物的无组织排放监控浓度限值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861" w:type="dxa"/>
                  <w:vMerge w:val="restar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废水污染物</w:t>
                  </w:r>
                </w:p>
              </w:tc>
              <w:tc>
                <w:tcPr>
                  <w:tcW w:w="985" w:type="dxa"/>
                  <w:vMerge w:val="restart"/>
                  <w:tcBorders>
                    <w:tl2br w:val="nil"/>
                    <w:tr2bl w:val="nil"/>
                  </w:tcBorders>
                  <w:noWrap w:val="0"/>
                  <w:vAlign w:val="center"/>
                </w:tcPr>
                <w:p>
                  <w:pPr>
                    <w:pStyle w:val="9"/>
                    <w:keepNext w:val="0"/>
                    <w:keepLines w:val="0"/>
                    <w:pageBreakBefore w:val="0"/>
                    <w:widowControl w:val="0"/>
                    <w:kinsoku/>
                    <w:wordWrap/>
                    <w:overflowPunct/>
                    <w:autoSpaceDE/>
                    <w:autoSpaceDN/>
                    <w:bidi w:val="0"/>
                    <w:adjustRightInd/>
                    <w:snapToGrid/>
                    <w:spacing w:after="0" w:line="240" w:lineRule="auto"/>
                    <w:ind w:left="0" w:leftChars="0" w:firstLine="0" w:firstLineChars="0"/>
                    <w:jc w:val="center"/>
                    <w:textAlignment w:val="auto"/>
                    <w:rPr>
                      <w:sz w:val="21"/>
                      <w:szCs w:val="21"/>
                    </w:rPr>
                  </w:pPr>
                  <w:r>
                    <w:rPr>
                      <w:sz w:val="21"/>
                      <w:szCs w:val="21"/>
                      <w:lang w:eastAsia="zh-CN"/>
                    </w:rPr>
                    <w:t>施工场地</w:t>
                  </w:r>
                </w:p>
              </w:tc>
              <w:tc>
                <w:tcPr>
                  <w:tcW w:w="1408"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生活污水</w:t>
                  </w:r>
                </w:p>
              </w:tc>
              <w:tc>
                <w:tcPr>
                  <w:tcW w:w="3526"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rFonts w:hint="eastAsia"/>
                      <w:sz w:val="21"/>
                      <w:szCs w:val="21"/>
                      <w:lang w:eastAsia="zh-CN"/>
                    </w:rPr>
                    <w:t>集中收集后</w:t>
                  </w:r>
                  <w:r>
                    <w:rPr>
                      <w:sz w:val="21"/>
                      <w:szCs w:val="21"/>
                    </w:rPr>
                    <w:t>用于洒水抑尘</w:t>
                  </w:r>
                </w:p>
              </w:tc>
              <w:tc>
                <w:tcPr>
                  <w:tcW w:w="2260"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rFonts w:hint="eastAsia" w:eastAsia="宋体"/>
                      <w:sz w:val="21"/>
                      <w:szCs w:val="21"/>
                      <w:lang w:eastAsia="zh-CN"/>
                    </w:rPr>
                  </w:pPr>
                  <w:r>
                    <w:rPr>
                      <w:rFonts w:hint="eastAsia"/>
                      <w:sz w:val="21"/>
                      <w:szCs w:val="21"/>
                      <w:lang w:eastAsia="zh-CN"/>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861" w:type="dxa"/>
                  <w:vMerge w:val="continue"/>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p>
              </w:tc>
              <w:tc>
                <w:tcPr>
                  <w:tcW w:w="985" w:type="dxa"/>
                  <w:vMerge w:val="continue"/>
                  <w:tcBorders>
                    <w:tl2br w:val="nil"/>
                    <w:tr2bl w:val="nil"/>
                  </w:tcBorders>
                  <w:noWrap w:val="0"/>
                  <w:vAlign w:val="center"/>
                </w:tcPr>
                <w:p>
                  <w:pPr>
                    <w:pStyle w:val="9"/>
                    <w:keepNext w:val="0"/>
                    <w:keepLines w:val="0"/>
                    <w:pageBreakBefore w:val="0"/>
                    <w:widowControl w:val="0"/>
                    <w:kinsoku/>
                    <w:wordWrap/>
                    <w:overflowPunct/>
                    <w:autoSpaceDE/>
                    <w:autoSpaceDN/>
                    <w:bidi w:val="0"/>
                    <w:adjustRightInd/>
                    <w:snapToGrid/>
                    <w:spacing w:after="0" w:line="240" w:lineRule="auto"/>
                    <w:ind w:left="0" w:leftChars="0" w:firstLine="0" w:firstLineChars="0"/>
                    <w:jc w:val="center"/>
                    <w:textAlignment w:val="auto"/>
                    <w:rPr>
                      <w:sz w:val="21"/>
                      <w:szCs w:val="21"/>
                      <w:lang w:eastAsia="zh-CN"/>
                    </w:rPr>
                  </w:pPr>
                </w:p>
              </w:tc>
              <w:tc>
                <w:tcPr>
                  <w:tcW w:w="1408"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rFonts w:hint="eastAsia" w:eastAsia="宋体"/>
                      <w:sz w:val="21"/>
                      <w:szCs w:val="21"/>
                      <w:lang w:eastAsia="zh-CN"/>
                    </w:rPr>
                  </w:pPr>
                  <w:r>
                    <w:rPr>
                      <w:rFonts w:hint="eastAsia"/>
                      <w:sz w:val="21"/>
                      <w:szCs w:val="21"/>
                      <w:lang w:eastAsia="zh-CN"/>
                    </w:rPr>
                    <w:t>施工废水</w:t>
                  </w:r>
                </w:p>
              </w:tc>
              <w:tc>
                <w:tcPr>
                  <w:tcW w:w="3526" w:type="dxa"/>
                  <w:tcBorders>
                    <w:tl2br w:val="nil"/>
                    <w:tr2bl w:val="nil"/>
                  </w:tcBorders>
                  <w:noWrap w:val="0"/>
                  <w:vAlign w:val="center"/>
                </w:tcPr>
                <w:p>
                  <w:pPr>
                    <w:adjustRightInd/>
                    <w:snapToGrid/>
                    <w:jc w:val="center"/>
                    <w:rPr>
                      <w:rFonts w:ascii="Times New Roman" w:hAnsi="Times New Roman" w:cs="Times New Roman"/>
                      <w:sz w:val="21"/>
                      <w:szCs w:val="21"/>
                    </w:rPr>
                  </w:pPr>
                  <w:r>
                    <w:rPr>
                      <w:rFonts w:hint="default" w:ascii="Times New Roman" w:hAnsi="Times New Roman" w:cs="Times New Roman"/>
                      <w:bCs w:val="0"/>
                      <w:sz w:val="21"/>
                      <w:szCs w:val="21"/>
                      <w:lang w:val="en-US" w:eastAsia="zh-CN"/>
                    </w:rPr>
                    <w:t>集中收集经沉淀后用于泼洒抑尘</w:t>
                  </w:r>
                </w:p>
              </w:tc>
              <w:tc>
                <w:tcPr>
                  <w:tcW w:w="2260" w:type="dxa"/>
                  <w:tcBorders>
                    <w:tl2br w:val="nil"/>
                    <w:tr2bl w:val="nil"/>
                  </w:tcBorders>
                  <w:noWrap w:val="0"/>
                  <w:vAlign w:val="center"/>
                </w:tcPr>
                <w:p>
                  <w:pPr>
                    <w:jc w:val="center"/>
                    <w:rPr>
                      <w:rFonts w:ascii="Times New Roman" w:hAnsi="Times New Roman" w:cs="Times New Roman"/>
                      <w:sz w:val="21"/>
                      <w:szCs w:val="21"/>
                    </w:rPr>
                  </w:pPr>
                  <w:r>
                    <w:rPr>
                      <w:rFonts w:hint="default" w:ascii="Times New Roman" w:hAnsi="Times New Roman" w:cs="Times New Roman"/>
                      <w:bCs w:val="0"/>
                      <w:sz w:val="21"/>
                      <w:szCs w:val="21"/>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861" w:type="dxa"/>
                  <w:vMerge w:val="restar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固体</w:t>
                  </w:r>
                </w:p>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废物</w:t>
                  </w:r>
                </w:p>
              </w:tc>
              <w:tc>
                <w:tcPr>
                  <w:tcW w:w="985"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施工场地</w:t>
                  </w:r>
                </w:p>
              </w:tc>
              <w:tc>
                <w:tcPr>
                  <w:tcW w:w="1408"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rFonts w:hint="default" w:eastAsia="宋体"/>
                      <w:sz w:val="21"/>
                      <w:szCs w:val="21"/>
                      <w:lang w:eastAsia="zh-CN"/>
                    </w:rPr>
                  </w:pPr>
                  <w:r>
                    <w:rPr>
                      <w:rFonts w:hint="default"/>
                      <w:sz w:val="21"/>
                      <w:szCs w:val="21"/>
                      <w:lang w:eastAsia="zh-CN"/>
                    </w:rPr>
                    <w:t>废弃土石方</w:t>
                  </w:r>
                </w:p>
              </w:tc>
              <w:tc>
                <w:tcPr>
                  <w:tcW w:w="3526"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rFonts w:hint="default"/>
                      <w:sz w:val="21"/>
                      <w:szCs w:val="21"/>
                      <w:lang w:val="en-US" w:eastAsia="zh-CN"/>
                    </w:rPr>
                    <w:t>用于场地平整回填，不得外运</w:t>
                  </w:r>
                </w:p>
              </w:tc>
              <w:tc>
                <w:tcPr>
                  <w:tcW w:w="2260" w:type="dxa"/>
                  <w:vMerge w:val="restar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妥善处置、不排放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861" w:type="dxa"/>
                  <w:vMerge w:val="continue"/>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p>
              </w:tc>
              <w:tc>
                <w:tcPr>
                  <w:tcW w:w="985" w:type="dxa"/>
                  <w:tcBorders>
                    <w:tl2br w:val="nil"/>
                    <w:tr2bl w:val="nil"/>
                  </w:tcBorders>
                  <w:noWrap w:val="0"/>
                  <w:vAlign w:val="center"/>
                </w:tcPr>
                <w:p>
                  <w:pPr>
                    <w:pStyle w:val="9"/>
                    <w:keepNext w:val="0"/>
                    <w:keepLines w:val="0"/>
                    <w:pageBreakBefore w:val="0"/>
                    <w:widowControl w:val="0"/>
                    <w:kinsoku/>
                    <w:wordWrap/>
                    <w:overflowPunct/>
                    <w:autoSpaceDE/>
                    <w:autoSpaceDN/>
                    <w:bidi w:val="0"/>
                    <w:adjustRightInd/>
                    <w:snapToGrid/>
                    <w:spacing w:after="0" w:line="240" w:lineRule="auto"/>
                    <w:ind w:left="0" w:leftChars="0" w:firstLine="0" w:firstLineChars="0"/>
                    <w:jc w:val="center"/>
                    <w:textAlignment w:val="auto"/>
                    <w:rPr>
                      <w:sz w:val="21"/>
                      <w:szCs w:val="21"/>
                    </w:rPr>
                  </w:pPr>
                  <w:r>
                    <w:rPr>
                      <w:sz w:val="21"/>
                      <w:szCs w:val="21"/>
                      <w:lang w:eastAsia="zh-CN"/>
                    </w:rPr>
                    <w:t>施工场地</w:t>
                  </w:r>
                </w:p>
              </w:tc>
              <w:tc>
                <w:tcPr>
                  <w:tcW w:w="1408" w:type="dxa"/>
                  <w:tcBorders>
                    <w:tl2br w:val="nil"/>
                    <w:tr2bl w:val="nil"/>
                  </w:tcBorders>
                  <w:noWrap w:val="0"/>
                  <w:vAlign w:val="center"/>
                </w:tcPr>
                <w:p>
                  <w:pPr>
                    <w:pStyle w:val="9"/>
                    <w:keepNext w:val="0"/>
                    <w:keepLines w:val="0"/>
                    <w:pageBreakBefore w:val="0"/>
                    <w:widowControl w:val="0"/>
                    <w:kinsoku/>
                    <w:wordWrap/>
                    <w:overflowPunct/>
                    <w:autoSpaceDE/>
                    <w:autoSpaceDN/>
                    <w:bidi w:val="0"/>
                    <w:adjustRightInd/>
                    <w:snapToGrid/>
                    <w:spacing w:after="0" w:line="240" w:lineRule="auto"/>
                    <w:ind w:left="0" w:leftChars="0" w:firstLine="0"/>
                    <w:jc w:val="center"/>
                    <w:textAlignment w:val="auto"/>
                    <w:rPr>
                      <w:sz w:val="21"/>
                      <w:szCs w:val="21"/>
                      <w:lang w:eastAsia="zh-CN"/>
                    </w:rPr>
                  </w:pPr>
                  <w:r>
                    <w:rPr>
                      <w:sz w:val="21"/>
                      <w:szCs w:val="21"/>
                    </w:rPr>
                    <w:t>生活垃圾</w:t>
                  </w:r>
                </w:p>
              </w:tc>
              <w:tc>
                <w:tcPr>
                  <w:tcW w:w="3526"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集中收集后交由环卫部门处置</w:t>
                  </w:r>
                </w:p>
              </w:tc>
              <w:tc>
                <w:tcPr>
                  <w:tcW w:w="2260" w:type="dxa"/>
                  <w:vMerge w:val="continue"/>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861"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噪声</w:t>
                  </w:r>
                </w:p>
              </w:tc>
              <w:tc>
                <w:tcPr>
                  <w:tcW w:w="985"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施工设备</w:t>
                  </w:r>
                </w:p>
              </w:tc>
              <w:tc>
                <w:tcPr>
                  <w:tcW w:w="1408"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设备噪声</w:t>
                  </w:r>
                </w:p>
              </w:tc>
              <w:tc>
                <w:tcPr>
                  <w:tcW w:w="3526"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选用低噪音设备，合理安排施工时间</w:t>
                  </w:r>
                </w:p>
              </w:tc>
              <w:tc>
                <w:tcPr>
                  <w:tcW w:w="2260"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《建筑施工场界环境噪声排放标准》(GB12523-2011)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861"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运营期满后生态恢复</w:t>
                  </w:r>
                </w:p>
              </w:tc>
              <w:tc>
                <w:tcPr>
                  <w:tcW w:w="985"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w:t>
                  </w:r>
                </w:p>
              </w:tc>
              <w:tc>
                <w:tcPr>
                  <w:tcW w:w="1408"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w:t>
                  </w:r>
                </w:p>
              </w:tc>
              <w:tc>
                <w:tcPr>
                  <w:tcW w:w="3526"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植被恢复</w:t>
                  </w:r>
                </w:p>
              </w:tc>
              <w:tc>
                <w:tcPr>
                  <w:tcW w:w="2260"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ind w:left="0" w:leftChars="0" w:firstLine="0"/>
                    <w:jc w:val="center"/>
                    <w:textAlignment w:val="auto"/>
                    <w:rPr>
                      <w:sz w:val="21"/>
                      <w:szCs w:val="21"/>
                    </w:rPr>
                  </w:pPr>
                  <w:r>
                    <w:rPr>
                      <w:sz w:val="21"/>
                      <w:szCs w:val="21"/>
                    </w:rPr>
                    <w:t>无不可逆生态环境影响</w:t>
                  </w:r>
                </w:p>
              </w:tc>
            </w:tr>
          </w:tbl>
          <w:p>
            <w:pPr>
              <w:adjustRightInd w:val="0"/>
              <w:spacing w:line="360" w:lineRule="auto"/>
              <w:rPr>
                <w:rFonts w:hint="default" w:ascii="Times New Roman" w:hAnsi="Times New Roman" w:eastAsia="黑体" w:cs="Times New Roman"/>
                <w:kern w:val="0"/>
                <w:sz w:val="24"/>
                <w:lang w:val="en-US" w:eastAsia="zh-CN"/>
              </w:rPr>
            </w:pPr>
            <w:r>
              <w:rPr>
                <w:rFonts w:hint="eastAsia" w:ascii="Times New Roman" w:hAnsi="Times New Roman" w:eastAsia="黑体" w:cs="Times New Roman"/>
                <w:kern w:val="0"/>
                <w:sz w:val="24"/>
                <w:lang w:val="en-US" w:eastAsia="zh-CN"/>
              </w:rPr>
              <w:t>4、环境效益分析</w:t>
            </w:r>
          </w:p>
          <w:p>
            <w:pPr>
              <w:adjustRightInd w:val="0"/>
              <w:snapToGrid w:val="0"/>
              <w:spacing w:line="360" w:lineRule="auto"/>
              <w:ind w:firstLine="480" w:firstLineChars="200"/>
              <w:rPr>
                <w:rFonts w:hint="eastAsia" w:ascii="Times New Roman" w:hAnsi="Times New Roman" w:eastAsia="宋体" w:cs="Times New Roman"/>
                <w:sz w:val="24"/>
                <w:lang w:eastAsia="zh-CN"/>
              </w:rPr>
            </w:pPr>
            <w:r>
              <w:rPr>
                <w:rFonts w:hint="eastAsia" w:ascii="Times New Roman" w:hAnsi="Times New Roman" w:cs="Times New Roman"/>
                <w:sz w:val="24"/>
              </w:rPr>
              <w:t>项目实施后，该区大风天气时的扬尘污染基本消失，可极大地改善项目区及周边地区的生态环境，提高当地居民的生活质量。同时矿区将增加植被覆盖面积397.15hm</w:t>
            </w:r>
            <w:r>
              <w:rPr>
                <w:rFonts w:hint="eastAsia" w:ascii="Times New Roman" w:hAnsi="Times New Roman" w:cs="Times New Roman"/>
                <w:sz w:val="24"/>
                <w:vertAlign w:val="superscript"/>
              </w:rPr>
              <w:t>2</w:t>
            </w:r>
            <w:r>
              <w:rPr>
                <w:rFonts w:hint="eastAsia" w:ascii="Times New Roman" w:hAnsi="Times New Roman" w:cs="Times New Roman"/>
                <w:sz w:val="24"/>
              </w:rPr>
              <w:t>，植被覆盖率得到提高，保护坡面，减轻水土流失，有效恢复改善矿区及周边地区生态环境。为经济社会可持续发展创造良好的环境条件</w:t>
            </w:r>
            <w:r>
              <w:rPr>
                <w:rFonts w:hint="eastAsia" w:ascii="Times New Roman" w:hAnsi="Times New Roman" w:cs="Times New Roman"/>
                <w:sz w:val="24"/>
                <w:lang w:eastAsia="zh-CN"/>
              </w:rPr>
              <w:t>。</w:t>
            </w:r>
          </w:p>
          <w:p>
            <w:pPr>
              <w:adjustRightInd w:val="0"/>
              <w:snapToGrid w:val="0"/>
              <w:spacing w:line="360" w:lineRule="auto"/>
              <w:ind w:firstLine="480" w:firstLineChars="200"/>
              <w:rPr>
                <w:rFonts w:hint="eastAsia" w:ascii="Times New Roman" w:hAnsi="Times New Roman" w:cs="Times New Roman"/>
                <w:sz w:val="24"/>
              </w:rPr>
            </w:pPr>
          </w:p>
          <w:p>
            <w:pPr>
              <w:adjustRightInd w:val="0"/>
              <w:snapToGrid w:val="0"/>
              <w:spacing w:line="360" w:lineRule="auto"/>
              <w:ind w:firstLine="480" w:firstLineChars="200"/>
              <w:rPr>
                <w:rFonts w:hint="eastAsia" w:ascii="Times New Roman" w:hAnsi="Times New Roman" w:cs="Times New Roman"/>
                <w:sz w:val="24"/>
              </w:rPr>
            </w:pPr>
          </w:p>
          <w:p>
            <w:pPr>
              <w:adjustRightInd w:val="0"/>
              <w:snapToGrid w:val="0"/>
              <w:spacing w:line="360" w:lineRule="auto"/>
              <w:ind w:firstLine="480" w:firstLineChars="200"/>
              <w:rPr>
                <w:rFonts w:hint="eastAsia" w:ascii="Times New Roman" w:hAnsi="Times New Roman" w:cs="Times New Roman"/>
                <w:sz w:val="24"/>
              </w:rPr>
            </w:pPr>
          </w:p>
          <w:p>
            <w:pPr>
              <w:adjustRightInd w:val="0"/>
              <w:snapToGrid w:val="0"/>
              <w:spacing w:line="360" w:lineRule="auto"/>
              <w:ind w:firstLine="480" w:firstLineChars="200"/>
              <w:rPr>
                <w:rFonts w:hint="eastAsia" w:ascii="Times New Roman" w:hAnsi="Times New Roman" w:cs="Times New Roman"/>
                <w:sz w:val="24"/>
              </w:rPr>
            </w:pPr>
          </w:p>
          <w:p>
            <w:pPr>
              <w:adjustRightInd w:val="0"/>
              <w:snapToGrid w:val="0"/>
              <w:spacing w:line="360" w:lineRule="auto"/>
              <w:ind w:firstLine="480" w:firstLineChars="200"/>
              <w:rPr>
                <w:rFonts w:hint="eastAsia" w:ascii="Times New Roman" w:hAnsi="Times New Roman" w:cs="Times New Roman"/>
                <w:sz w:val="24"/>
              </w:rPr>
            </w:pPr>
          </w:p>
          <w:p>
            <w:pPr>
              <w:adjustRightInd w:val="0"/>
              <w:snapToGrid w:val="0"/>
              <w:spacing w:line="360" w:lineRule="auto"/>
              <w:ind w:firstLine="480" w:firstLineChars="200"/>
              <w:rPr>
                <w:rFonts w:hint="eastAsia" w:ascii="Times New Roman" w:hAnsi="Times New Roman" w:cs="Times New Roman"/>
                <w:sz w:val="24"/>
              </w:rPr>
            </w:pPr>
          </w:p>
          <w:p>
            <w:pPr>
              <w:adjustRightInd w:val="0"/>
              <w:snapToGrid w:val="0"/>
              <w:spacing w:line="360" w:lineRule="auto"/>
              <w:ind w:firstLine="480" w:firstLineChars="200"/>
              <w:rPr>
                <w:rFonts w:hint="eastAsia" w:ascii="Times New Roman" w:hAnsi="Times New Roman" w:cs="Times New Roman"/>
                <w:sz w:val="24"/>
              </w:rPr>
            </w:pPr>
          </w:p>
          <w:p>
            <w:pPr>
              <w:adjustRightInd w:val="0"/>
              <w:snapToGrid w:val="0"/>
              <w:spacing w:line="360" w:lineRule="auto"/>
              <w:ind w:firstLine="480" w:firstLineChars="200"/>
              <w:rPr>
                <w:rFonts w:hint="eastAsia" w:ascii="Times New Roman" w:hAnsi="Times New Roman" w:cs="Times New Roman"/>
                <w:sz w:val="24"/>
              </w:rPr>
            </w:pPr>
          </w:p>
          <w:p>
            <w:pPr>
              <w:adjustRightInd w:val="0"/>
              <w:snapToGrid w:val="0"/>
              <w:spacing w:line="360" w:lineRule="auto"/>
              <w:ind w:firstLine="480" w:firstLineChars="200"/>
              <w:rPr>
                <w:rFonts w:hint="eastAsia" w:ascii="Times New Roman" w:hAnsi="Times New Roman" w:cs="Times New Roman"/>
                <w:sz w:val="24"/>
              </w:rPr>
            </w:pPr>
          </w:p>
          <w:p>
            <w:pPr>
              <w:pStyle w:val="2"/>
              <w:rPr>
                <w:vertAlign w:val="baseline"/>
              </w:rPr>
            </w:pPr>
          </w:p>
          <w:p>
            <w:pPr>
              <w:pStyle w:val="2"/>
              <w:rPr>
                <w:vertAlign w:val="baseline"/>
              </w:rPr>
            </w:pPr>
          </w:p>
          <w:p>
            <w:pPr>
              <w:pStyle w:val="2"/>
              <w:rPr>
                <w:vertAlign w:val="baseline"/>
              </w:rPr>
            </w:pPr>
          </w:p>
          <w:p>
            <w:pPr>
              <w:pStyle w:val="2"/>
              <w:rPr>
                <w:vertAlign w:val="baseline"/>
              </w:rPr>
            </w:pPr>
          </w:p>
        </w:tc>
      </w:tr>
    </w:tbl>
    <w:p>
      <w:pPr>
        <w:pStyle w:val="15"/>
        <w:spacing w:line="240" w:lineRule="auto"/>
        <w:jc w:val="both"/>
        <w:outlineLvl w:val="0"/>
        <w:rPr>
          <w:rFonts w:ascii="黑体" w:hAnsi="黑体" w:eastAsia="黑体"/>
          <w:sz w:val="30"/>
          <w:szCs w:val="30"/>
        </w:rPr>
      </w:pPr>
      <w:r>
        <w:rPr>
          <w:rFonts w:hint="eastAsia" w:ascii="Times New Roman" w:hAnsi="Times New Roman" w:eastAsia="宋体" w:cs="Times New Roman"/>
          <w:b/>
          <w:bCs/>
          <w:sz w:val="32"/>
          <w:szCs w:val="32"/>
          <w:lang w:eastAsia="zh-CN"/>
        </w:rPr>
        <w:t>十、</w:t>
      </w:r>
      <w:r>
        <w:rPr>
          <w:rFonts w:hint="default" w:ascii="Times New Roman" w:hAnsi="Times New Roman" w:eastAsia="宋体" w:cs="Times New Roman"/>
          <w:b/>
          <w:bCs/>
          <w:sz w:val="32"/>
          <w:szCs w:val="32"/>
        </w:rPr>
        <w:t>结论与建议</w:t>
      </w:r>
    </w:p>
    <w:tbl>
      <w:tblPr>
        <w:tblStyle w:val="19"/>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015"/>
        <w:gridCol w:w="2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431" w:hRule="atLeast"/>
          <w:jc w:val="center"/>
        </w:trPr>
        <w:tc>
          <w:tcPr>
            <w:tcW w:w="9286" w:type="dxa"/>
            <w:gridSpan w:val="2"/>
            <w:noWrap w:val="0"/>
            <w:vAlign w:val="top"/>
          </w:tcPr>
          <w:p>
            <w:pPr>
              <w:adjustRightInd/>
              <w:spacing w:line="360" w:lineRule="auto"/>
              <w:ind w:firstLine="480" w:firstLineChars="200"/>
              <w:rPr>
                <w:rFonts w:hint="default" w:ascii="Times New Roman" w:hAnsi="Times New Roman" w:eastAsia="黑体" w:cs="Times New Roman"/>
                <w:kern w:val="0"/>
                <w:sz w:val="24"/>
                <w:lang w:val="en-US" w:eastAsia="zh-CN"/>
              </w:rPr>
            </w:pPr>
            <w:r>
              <w:rPr>
                <w:rFonts w:hint="default" w:ascii="Times New Roman" w:hAnsi="Times New Roman" w:eastAsia="黑体" w:cs="Times New Roman"/>
                <w:kern w:val="0"/>
                <w:sz w:val="24"/>
                <w:lang w:val="en-US" w:eastAsia="zh-CN"/>
              </w:rPr>
              <w:t>1、项目概况</w:t>
            </w:r>
          </w:p>
          <w:p>
            <w:pPr>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sz w:val="24"/>
                <w:highlight w:val="none"/>
              </w:rPr>
              <w:t>红寺堡区历史遗留</w:t>
            </w:r>
            <w:r>
              <w:rPr>
                <w:rFonts w:hint="eastAsia"/>
                <w:sz w:val="24"/>
                <w:highlight w:val="none"/>
                <w:lang w:eastAsia="zh-CN"/>
              </w:rPr>
              <w:t>废弃</w:t>
            </w:r>
            <w:r>
              <w:rPr>
                <w:rFonts w:hint="eastAsia"/>
                <w:sz w:val="24"/>
                <w:highlight w:val="none"/>
              </w:rPr>
              <w:t>矿山</w:t>
            </w:r>
            <w:r>
              <w:rPr>
                <w:rFonts w:hint="eastAsia"/>
                <w:sz w:val="24"/>
                <w:highlight w:val="none"/>
                <w:lang w:eastAsia="zh-CN"/>
              </w:rPr>
              <w:t>生态修复治理</w:t>
            </w:r>
            <w:r>
              <w:rPr>
                <w:rFonts w:hint="eastAsia"/>
                <w:sz w:val="24"/>
                <w:highlight w:val="none"/>
              </w:rPr>
              <w:t>项目</w:t>
            </w:r>
            <w:r>
              <w:rPr>
                <w:rFonts w:hint="eastAsia"/>
                <w:sz w:val="24"/>
                <w:highlight w:val="none"/>
                <w:lang w:val="en-US" w:eastAsia="zh-CN"/>
              </w:rPr>
              <w:t>建设地点位于吴忠市红寺堡区境内，项目总占地面积</w:t>
            </w:r>
            <w:r>
              <w:rPr>
                <w:rFonts w:hint="eastAsia"/>
                <w:sz w:val="24"/>
                <w:highlight w:val="none"/>
                <w:vertAlign w:val="baseline"/>
                <w:lang w:val="en-US" w:eastAsia="zh-CN"/>
              </w:rPr>
              <w:t>744348</w:t>
            </w:r>
            <w:r>
              <w:rPr>
                <w:rFonts w:hint="eastAsia"/>
                <w:sz w:val="24"/>
                <w:highlight w:val="none"/>
                <w:lang w:val="en-US" w:eastAsia="zh-CN"/>
              </w:rPr>
              <w:t>m</w:t>
            </w:r>
            <w:r>
              <w:rPr>
                <w:rFonts w:hint="eastAsia"/>
                <w:sz w:val="24"/>
                <w:highlight w:val="none"/>
                <w:vertAlign w:val="superscript"/>
                <w:lang w:val="en-US" w:eastAsia="zh-CN"/>
              </w:rPr>
              <w:t>2</w:t>
            </w:r>
            <w:r>
              <w:rPr>
                <w:rFonts w:hint="eastAsia"/>
                <w:sz w:val="24"/>
                <w:highlight w:val="none"/>
                <w:lang w:val="en-US" w:eastAsia="zh-CN"/>
              </w:rPr>
              <w:t>。本项目主要是通过采用渣土回填、场地平整、边坡削坡和生态恢复工程等措施对</w:t>
            </w:r>
            <w:r>
              <w:rPr>
                <w:rFonts w:hint="eastAsia" w:cs="Times New Roman"/>
                <w:snapToGrid w:val="0"/>
                <w:kern w:val="0"/>
                <w:sz w:val="24"/>
                <w:lang w:val="en-US" w:eastAsia="zh-CN"/>
              </w:rPr>
              <w:t>废弃矿山的生态环境进行综合治理</w:t>
            </w:r>
            <w:r>
              <w:rPr>
                <w:rFonts w:hint="eastAsia"/>
                <w:sz w:val="24"/>
                <w:highlight w:val="none"/>
                <w:lang w:val="en-US" w:eastAsia="zh-CN"/>
              </w:rPr>
              <w:t>，共分为两个片区，分别为煤炭治理区和建筑用砂治理区。</w:t>
            </w:r>
            <w:r>
              <w:rPr>
                <w:rFonts w:hint="eastAsia" w:ascii="Times New Roman" w:hAnsi="Times New Roman" w:eastAsia="宋体" w:cs="Times New Roman"/>
                <w:color w:val="auto"/>
                <w:kern w:val="2"/>
                <w:sz w:val="24"/>
                <w:szCs w:val="24"/>
                <w:highlight w:val="none"/>
                <w:lang w:val="en-US" w:eastAsia="zh-CN" w:bidi="ar"/>
              </w:rPr>
              <w:t>项目土方回填压实</w:t>
            </w:r>
            <w:r>
              <w:rPr>
                <w:rFonts w:hint="eastAsia" w:ascii="Times New Roman" w:hAnsi="Times New Roman" w:eastAsia="宋体" w:cs="Times New Roman"/>
                <w:i w:val="0"/>
                <w:kern w:val="2"/>
                <w:sz w:val="24"/>
                <w:szCs w:val="24"/>
                <w:highlight w:val="none"/>
                <w:u w:val="none"/>
                <w:lang w:val="en-US" w:eastAsia="zh-CN" w:bidi="ar"/>
              </w:rPr>
              <w:t>1393339.23</w:t>
            </w:r>
            <w:r>
              <w:rPr>
                <w:rFonts w:hint="eastAsia" w:ascii="Times New Roman" w:hAnsi="Times New Roman" w:eastAsia="宋体" w:cs="Times New Roman"/>
                <w:color w:val="auto"/>
                <w:kern w:val="2"/>
                <w:sz w:val="24"/>
                <w:szCs w:val="24"/>
                <w:highlight w:val="none"/>
                <w:lang w:val="en-US" w:eastAsia="zh-CN" w:bidi="ar"/>
              </w:rPr>
              <w:t>m</w:t>
            </w:r>
            <w:r>
              <w:rPr>
                <w:rFonts w:hint="eastAsia" w:ascii="Times New Roman" w:hAnsi="Times New Roman" w:eastAsia="宋体" w:cs="Times New Roman"/>
                <w:color w:val="auto"/>
                <w:kern w:val="2"/>
                <w:sz w:val="24"/>
                <w:szCs w:val="24"/>
                <w:highlight w:val="none"/>
                <w:vertAlign w:val="superscript"/>
                <w:lang w:val="en-US" w:eastAsia="zh-CN" w:bidi="ar"/>
              </w:rPr>
              <w:t>3</w:t>
            </w:r>
            <w:r>
              <w:rPr>
                <w:rFonts w:hint="eastAsia" w:ascii="Times New Roman" w:hAnsi="Times New Roman" w:eastAsia="宋体" w:cs="Times New Roman"/>
                <w:color w:val="auto"/>
                <w:kern w:val="2"/>
                <w:sz w:val="24"/>
                <w:szCs w:val="24"/>
                <w:highlight w:val="none"/>
                <w:lang w:val="en-US" w:eastAsia="zh-CN" w:bidi="ar"/>
              </w:rPr>
              <w:t>、土地平整133770m</w:t>
            </w:r>
            <w:r>
              <w:rPr>
                <w:rFonts w:hint="eastAsia" w:ascii="Times New Roman" w:hAnsi="Times New Roman" w:eastAsia="宋体" w:cs="Times New Roman"/>
                <w:color w:val="auto"/>
                <w:kern w:val="2"/>
                <w:sz w:val="24"/>
                <w:szCs w:val="24"/>
                <w:highlight w:val="none"/>
                <w:vertAlign w:val="superscript"/>
                <w:lang w:val="en-US" w:eastAsia="zh-CN" w:bidi="ar"/>
              </w:rPr>
              <w:t>3</w:t>
            </w:r>
            <w:r>
              <w:rPr>
                <w:rFonts w:hint="eastAsia" w:cs="Times New Roman"/>
                <w:kern w:val="2"/>
                <w:sz w:val="24"/>
                <w:szCs w:val="24"/>
                <w:highlight w:val="none"/>
                <w:vertAlign w:val="baseline"/>
                <w:lang w:val="en-US" w:eastAsia="zh-CN" w:bidi="ar"/>
              </w:rPr>
              <w:t>、</w:t>
            </w:r>
            <w:r>
              <w:rPr>
                <w:rFonts w:hint="eastAsia" w:ascii="Times New Roman" w:hAnsi="Times New Roman" w:eastAsia="宋体" w:cs="Times New Roman"/>
                <w:color w:val="auto"/>
                <w:kern w:val="2"/>
                <w:sz w:val="24"/>
                <w:szCs w:val="24"/>
                <w:highlight w:val="none"/>
                <w:lang w:val="en-US" w:eastAsia="zh-CN" w:bidi="ar"/>
              </w:rPr>
              <w:t>土地翻耕60.76hm</w:t>
            </w:r>
            <w:r>
              <w:rPr>
                <w:rFonts w:hint="eastAsia" w:ascii="Times New Roman" w:hAnsi="Times New Roman" w:eastAsia="宋体" w:cs="Times New Roman"/>
                <w:color w:val="auto"/>
                <w:kern w:val="2"/>
                <w:sz w:val="24"/>
                <w:szCs w:val="24"/>
                <w:highlight w:val="none"/>
                <w:vertAlign w:val="superscript"/>
                <w:lang w:val="en-US" w:eastAsia="zh-CN" w:bidi="ar"/>
              </w:rPr>
              <w:t>2</w:t>
            </w:r>
            <w:r>
              <w:rPr>
                <w:rFonts w:hint="eastAsia" w:ascii="Times New Roman" w:hAnsi="Times New Roman" w:eastAsia="宋体" w:cs="Times New Roman"/>
                <w:color w:val="auto"/>
                <w:kern w:val="2"/>
                <w:sz w:val="24"/>
                <w:szCs w:val="24"/>
                <w:highlight w:val="none"/>
                <w:lang w:val="en-US" w:eastAsia="zh-CN" w:bidi="ar"/>
              </w:rPr>
              <w:t>、土地翻耕培肥1.82hm</w:t>
            </w:r>
            <w:r>
              <w:rPr>
                <w:rFonts w:hint="eastAsia" w:ascii="Times New Roman" w:hAnsi="Times New Roman" w:eastAsia="宋体" w:cs="Times New Roman"/>
                <w:color w:val="auto"/>
                <w:kern w:val="2"/>
                <w:sz w:val="24"/>
                <w:szCs w:val="24"/>
                <w:highlight w:val="none"/>
                <w:vertAlign w:val="superscript"/>
                <w:lang w:val="en-US" w:eastAsia="zh-CN" w:bidi="ar"/>
              </w:rPr>
              <w:t>2</w:t>
            </w:r>
            <w:r>
              <w:rPr>
                <w:rFonts w:hint="eastAsia" w:ascii="Times New Roman" w:hAnsi="Times New Roman" w:eastAsia="宋体" w:cs="Times New Roman"/>
                <w:color w:val="auto"/>
                <w:kern w:val="2"/>
                <w:sz w:val="24"/>
                <w:szCs w:val="24"/>
                <w:highlight w:val="none"/>
                <w:lang w:val="en-US" w:eastAsia="zh-CN" w:bidi="ar"/>
              </w:rPr>
              <w:t>、植被恢复62.58hm</w:t>
            </w:r>
            <w:r>
              <w:rPr>
                <w:rFonts w:hint="eastAsia" w:ascii="Times New Roman" w:hAnsi="Times New Roman" w:eastAsia="宋体" w:cs="Times New Roman"/>
                <w:color w:val="auto"/>
                <w:kern w:val="2"/>
                <w:sz w:val="24"/>
                <w:szCs w:val="24"/>
                <w:highlight w:val="none"/>
                <w:vertAlign w:val="superscript"/>
                <w:lang w:val="en-US" w:eastAsia="zh-CN" w:bidi="ar"/>
              </w:rPr>
              <w:t>2</w:t>
            </w:r>
            <w:r>
              <w:rPr>
                <w:rFonts w:hint="eastAsia" w:cs="Times New Roman"/>
                <w:color w:val="auto"/>
                <w:kern w:val="2"/>
                <w:sz w:val="24"/>
                <w:szCs w:val="24"/>
                <w:highlight w:val="none"/>
                <w:vertAlign w:val="baseline"/>
                <w:lang w:val="en-US" w:eastAsia="zh-CN" w:bidi="ar"/>
              </w:rPr>
              <w:t>。</w:t>
            </w:r>
          </w:p>
          <w:p>
            <w:pPr>
              <w:adjustRightInd w:val="0"/>
              <w:spacing w:line="360" w:lineRule="auto"/>
              <w:ind w:firstLine="480" w:firstLineChars="200"/>
              <w:rPr>
                <w:rFonts w:hint="default" w:eastAsia="宋体"/>
                <w:sz w:val="24"/>
                <w:lang w:val="en-US" w:eastAsia="zh-CN"/>
              </w:rPr>
            </w:pPr>
            <w:r>
              <w:rPr>
                <w:rFonts w:hint="eastAsia"/>
                <w:sz w:val="24"/>
                <w:highlight w:val="none"/>
                <w:lang w:val="en-US" w:eastAsia="zh-CN"/>
              </w:rPr>
              <w:t>项目总投资816万元，全部为环保投资。</w:t>
            </w:r>
          </w:p>
          <w:p>
            <w:pPr>
              <w:adjustRightInd/>
              <w:spacing w:line="360" w:lineRule="auto"/>
              <w:ind w:firstLine="480" w:firstLineChars="200"/>
              <w:rPr>
                <w:rFonts w:hint="eastAsia" w:ascii="Times New Roman" w:hAnsi="Times New Roman" w:eastAsia="黑体" w:cs="Times New Roman"/>
                <w:kern w:val="0"/>
                <w:sz w:val="24"/>
                <w:lang w:val="en-US" w:eastAsia="zh-CN"/>
              </w:rPr>
            </w:pPr>
            <w:r>
              <w:rPr>
                <w:rFonts w:hint="eastAsia" w:ascii="Times New Roman" w:hAnsi="Times New Roman" w:eastAsia="黑体" w:cs="Times New Roman"/>
                <w:kern w:val="0"/>
                <w:sz w:val="24"/>
                <w:lang w:val="en-US" w:eastAsia="zh-CN"/>
              </w:rPr>
              <w:t>2、产业政策符合性分析</w:t>
            </w:r>
          </w:p>
          <w:p>
            <w:pPr>
              <w:adjustRightIn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根据中华人民共和国国家发展和改革委员会令201</w:t>
            </w:r>
            <w:r>
              <w:rPr>
                <w:rFonts w:hint="eastAsia" w:cs="Times New Roman"/>
                <w:sz w:val="24"/>
                <w:lang w:val="en-US" w:eastAsia="zh-CN"/>
              </w:rPr>
              <w:t>9</w:t>
            </w:r>
            <w:r>
              <w:rPr>
                <w:rFonts w:hint="default" w:ascii="Times New Roman" w:hAnsi="Times New Roman" w:cs="Times New Roman"/>
                <w:sz w:val="24"/>
              </w:rPr>
              <w:t>年第2</w:t>
            </w:r>
            <w:r>
              <w:rPr>
                <w:rFonts w:hint="eastAsia" w:cs="Times New Roman"/>
                <w:sz w:val="24"/>
                <w:lang w:val="en-US" w:eastAsia="zh-CN"/>
              </w:rPr>
              <w:t>9</w:t>
            </w:r>
            <w:r>
              <w:rPr>
                <w:rFonts w:hint="default" w:ascii="Times New Roman" w:hAnsi="Times New Roman" w:cs="Times New Roman"/>
                <w:sz w:val="24"/>
              </w:rPr>
              <w:t>号《产业结构调整指导目录（201</w:t>
            </w:r>
            <w:r>
              <w:rPr>
                <w:rFonts w:hint="eastAsia" w:cs="Times New Roman"/>
                <w:sz w:val="24"/>
                <w:lang w:val="en-US" w:eastAsia="zh-CN"/>
              </w:rPr>
              <w:t>9</w:t>
            </w:r>
            <w:r>
              <w:rPr>
                <w:rFonts w:hint="default" w:ascii="Times New Roman" w:hAnsi="Times New Roman" w:cs="Times New Roman"/>
                <w:sz w:val="24"/>
              </w:rPr>
              <w:t>年本）》可知，本项目属于</w:t>
            </w:r>
            <w:r>
              <w:rPr>
                <w:rFonts w:hint="eastAsia" w:cs="Times New Roman"/>
                <w:sz w:val="24"/>
                <w:lang w:val="en-US" w:eastAsia="zh-CN"/>
              </w:rPr>
              <w:t>鼓励类：四十三条，环境保护与资源节约综合利用（1、矿山生态环境恢复工程）</w:t>
            </w:r>
            <w:r>
              <w:rPr>
                <w:rFonts w:hint="default" w:ascii="Times New Roman" w:hAnsi="Times New Roman" w:cs="Times New Roman"/>
                <w:sz w:val="24"/>
              </w:rPr>
              <w:t>。</w:t>
            </w:r>
          </w:p>
          <w:p>
            <w:pPr>
              <w:adjustRightInd w:val="0"/>
              <w:spacing w:line="360" w:lineRule="auto"/>
              <w:ind w:firstLine="480" w:firstLineChars="200"/>
              <w:rPr>
                <w:rFonts w:hint="default" w:ascii="Times New Roman" w:hAnsi="Times New Roman" w:cs="Times New Roman"/>
                <w:sz w:val="24"/>
                <w:highlight w:val="none"/>
              </w:rPr>
            </w:pPr>
          </w:p>
          <w:p>
            <w:pPr>
              <w:adjustRightInd w:val="0"/>
              <w:spacing w:line="360" w:lineRule="auto"/>
              <w:ind w:firstLine="480" w:firstLineChars="200"/>
              <w:rPr>
                <w:bCs/>
                <w:sz w:val="24"/>
              </w:rPr>
            </w:pPr>
            <w:r>
              <w:rPr>
                <w:rFonts w:hint="eastAsia" w:cs="Times New Roman"/>
                <w:sz w:val="24"/>
                <w:lang w:val="en-US" w:eastAsia="zh-CN"/>
              </w:rPr>
              <w:t>所以本项目符合国家和地方相关产业政策</w:t>
            </w:r>
            <w:r>
              <w:rPr>
                <w:rFonts w:hint="eastAsia"/>
                <w:sz w:val="24"/>
              </w:rPr>
              <w:t>。</w:t>
            </w:r>
          </w:p>
          <w:p>
            <w:pPr>
              <w:adjustRightInd/>
              <w:spacing w:line="360" w:lineRule="auto"/>
              <w:ind w:firstLine="480" w:firstLineChars="200"/>
              <w:rPr>
                <w:rFonts w:hint="eastAsia" w:ascii="Times New Roman" w:hAnsi="Times New Roman" w:eastAsia="黑体" w:cs="Times New Roman"/>
                <w:kern w:val="0"/>
                <w:sz w:val="24"/>
                <w:lang w:val="en-US" w:eastAsia="zh-CN"/>
              </w:rPr>
            </w:pPr>
            <w:r>
              <w:rPr>
                <w:rFonts w:hint="eastAsia" w:ascii="Times New Roman" w:hAnsi="Times New Roman" w:eastAsia="黑体" w:cs="Times New Roman"/>
                <w:kern w:val="0"/>
                <w:sz w:val="24"/>
                <w:lang w:val="en-US" w:eastAsia="zh-CN"/>
              </w:rPr>
              <w:t>3、环境质量现状</w:t>
            </w:r>
          </w:p>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w:t>
            </w:r>
            <w:r>
              <w:rPr>
                <w:rFonts w:ascii="Times New Roman" w:hAnsi="Times New Roman" w:cs="Times New Roman"/>
                <w:sz w:val="24"/>
              </w:rPr>
              <w:t>2019年宁夏生态环境状况公报</w:t>
            </w:r>
            <w:r>
              <w:rPr>
                <w:rFonts w:hint="eastAsia" w:ascii="Times New Roman" w:hAnsi="Times New Roman" w:cs="Times New Roman"/>
                <w:sz w:val="24"/>
              </w:rPr>
              <w:t>》</w:t>
            </w:r>
            <w:r>
              <w:rPr>
                <w:rFonts w:ascii="Times New Roman" w:hAnsi="Times New Roman" w:cs="Times New Roman"/>
                <w:sz w:val="24"/>
              </w:rPr>
              <w:t>，</w:t>
            </w:r>
            <w:r>
              <w:rPr>
                <w:rFonts w:hint="eastAsia" w:ascii="Times New Roman" w:hAnsi="Times New Roman" w:cs="Times New Roman"/>
                <w:sz w:val="24"/>
              </w:rPr>
              <w:t>红寺堡区2</w:t>
            </w:r>
            <w:r>
              <w:rPr>
                <w:rFonts w:ascii="Times New Roman" w:hAnsi="Times New Roman" w:cs="Times New Roman"/>
                <w:sz w:val="24"/>
              </w:rPr>
              <w:t>019</w:t>
            </w:r>
            <w:r>
              <w:rPr>
                <w:rFonts w:hint="eastAsia" w:ascii="Times New Roman" w:hAnsi="Times New Roman" w:cs="Times New Roman"/>
                <w:sz w:val="24"/>
              </w:rPr>
              <w:t>年环境空气质量属达标区。</w:t>
            </w:r>
            <w:r>
              <w:rPr>
                <w:rFonts w:hint="eastAsia" w:ascii="Times New Roman" w:hAnsi="Times New Roman"/>
                <w:sz w:val="24"/>
                <w:highlight w:val="none"/>
                <w:lang w:eastAsia="zh-CN"/>
              </w:rPr>
              <w:t>根据现状监测数据可知</w:t>
            </w:r>
            <w:r>
              <w:rPr>
                <w:rFonts w:ascii="Times New Roman" w:hAnsi="Times New Roman"/>
                <w:sz w:val="24"/>
                <w:highlight w:val="none"/>
              </w:rPr>
              <w:t>，项目</w:t>
            </w:r>
            <w:r>
              <w:rPr>
                <w:rFonts w:hint="eastAsia"/>
                <w:sz w:val="24"/>
                <w:highlight w:val="none"/>
                <w:lang w:eastAsia="zh-CN"/>
              </w:rPr>
              <w:t>区域</w:t>
            </w:r>
            <w:r>
              <w:rPr>
                <w:rFonts w:ascii="Times New Roman" w:hAnsi="Times New Roman"/>
                <w:sz w:val="24"/>
                <w:highlight w:val="none"/>
              </w:rPr>
              <w:t>内的总悬浮颗粒物24小时平均浓度监测值满足《环境空气质量标准》（GB3095-2012）及其2018年修改单中二级标准限值。</w:t>
            </w:r>
          </w:p>
          <w:p>
            <w:pPr>
              <w:adjustRightInd/>
              <w:snapToGrid/>
              <w:spacing w:line="360" w:lineRule="auto"/>
              <w:ind w:firstLine="480" w:firstLineChars="200"/>
              <w:jc w:val="left"/>
              <w:rPr>
                <w:rFonts w:hint="eastAsia" w:eastAsia="宋体"/>
                <w:sz w:val="24"/>
                <w:highlight w:val="yellow"/>
                <w:lang w:val="en-US" w:eastAsia="zh-CN"/>
              </w:rPr>
            </w:pPr>
            <w:r>
              <w:rPr>
                <w:rFonts w:hint="eastAsia"/>
                <w:kern w:val="0"/>
                <w:sz w:val="24"/>
              </w:rPr>
              <w:t>根据调查，</w:t>
            </w:r>
            <w:r>
              <w:rPr>
                <w:rFonts w:hint="eastAsia"/>
                <w:kern w:val="0"/>
                <w:sz w:val="24"/>
                <w:lang w:eastAsia="zh-CN"/>
              </w:rPr>
              <w:t>煤炭治理区</w:t>
            </w:r>
            <w:r>
              <w:rPr>
                <w:rFonts w:hint="eastAsia"/>
                <w:kern w:val="0"/>
                <w:sz w:val="24"/>
              </w:rPr>
              <w:t>规划实施范围</w:t>
            </w:r>
            <w:r>
              <w:rPr>
                <w:rFonts w:hint="eastAsia"/>
                <w:kern w:val="0"/>
                <w:sz w:val="24"/>
                <w:lang w:eastAsia="zh-CN"/>
              </w:rPr>
              <w:t>内无地表水体，建筑用砂治理区</w:t>
            </w:r>
            <w:r>
              <w:rPr>
                <w:rFonts w:hint="eastAsia"/>
                <w:kern w:val="0"/>
                <w:sz w:val="24"/>
              </w:rPr>
              <w:t>规划实施范围</w:t>
            </w:r>
            <w:r>
              <w:rPr>
                <w:rFonts w:hint="eastAsia"/>
                <w:kern w:val="0"/>
                <w:sz w:val="24"/>
                <w:lang w:eastAsia="zh-CN"/>
              </w:rPr>
              <w:t>内</w:t>
            </w:r>
            <w:r>
              <w:rPr>
                <w:rFonts w:hint="eastAsia"/>
                <w:kern w:val="0"/>
                <w:sz w:val="24"/>
              </w:rPr>
              <w:t>地表水体为</w:t>
            </w:r>
            <w:r>
              <w:rPr>
                <w:rFonts w:hint="eastAsia"/>
                <w:kern w:val="0"/>
                <w:sz w:val="24"/>
                <w:lang w:eastAsia="zh-CN"/>
              </w:rPr>
              <w:t>红柳沟</w:t>
            </w:r>
            <w:r>
              <w:rPr>
                <w:rFonts w:hint="eastAsia"/>
                <w:kern w:val="0"/>
                <w:sz w:val="24"/>
              </w:rPr>
              <w:t>，位于</w:t>
            </w:r>
            <w:r>
              <w:rPr>
                <w:rFonts w:hint="eastAsia"/>
                <w:kern w:val="0"/>
                <w:sz w:val="24"/>
                <w:lang w:eastAsia="zh-CN"/>
              </w:rPr>
              <w:t>建筑用砂治理区东南</w:t>
            </w:r>
            <w:r>
              <w:rPr>
                <w:rFonts w:hint="eastAsia"/>
                <w:kern w:val="0"/>
                <w:sz w:val="24"/>
              </w:rPr>
              <w:t>侧</w:t>
            </w:r>
            <w:r>
              <w:rPr>
                <w:rFonts w:hint="eastAsia"/>
                <w:kern w:val="0"/>
                <w:sz w:val="24"/>
                <w:lang w:val="en-US" w:eastAsia="zh-CN"/>
              </w:rPr>
              <w:t>2</w:t>
            </w:r>
            <w:r>
              <w:rPr>
                <w:rFonts w:hint="eastAsia"/>
                <w:kern w:val="0"/>
                <w:sz w:val="24"/>
              </w:rPr>
              <w:t>km。</w:t>
            </w:r>
            <w:r>
              <w:rPr>
                <w:rFonts w:hint="eastAsia"/>
                <w:sz w:val="24"/>
                <w:lang w:val="en-US" w:eastAsia="zh-CN"/>
              </w:rPr>
              <w:t>根据</w:t>
            </w:r>
            <w:r>
              <w:rPr>
                <w:rFonts w:ascii="Times New Roman" w:hAnsi="Times New Roman"/>
                <w:sz w:val="24"/>
              </w:rPr>
              <w:t>《宁夏回族自治区环境质量报告书（201</w:t>
            </w:r>
            <w:r>
              <w:rPr>
                <w:rFonts w:hint="eastAsia" w:ascii="Times New Roman" w:hAnsi="Times New Roman"/>
                <w:sz w:val="24"/>
                <w:lang w:val="en-US" w:eastAsia="zh-CN"/>
              </w:rPr>
              <w:t>9</w:t>
            </w:r>
            <w:r>
              <w:rPr>
                <w:rFonts w:ascii="Times New Roman" w:hAnsi="Times New Roman"/>
                <w:sz w:val="24"/>
              </w:rPr>
              <w:t>年》中</w:t>
            </w:r>
            <w:r>
              <w:rPr>
                <w:rFonts w:hint="eastAsia"/>
                <w:kern w:val="0"/>
                <w:sz w:val="24"/>
                <w:lang w:eastAsia="zh-CN"/>
              </w:rPr>
              <w:t>红柳沟</w:t>
            </w:r>
            <w:r>
              <w:rPr>
                <w:rFonts w:ascii="Times New Roman" w:hAnsi="Times New Roman"/>
                <w:sz w:val="24"/>
              </w:rPr>
              <w:t>（</w:t>
            </w:r>
            <w:r>
              <w:rPr>
                <w:rFonts w:hint="eastAsia" w:ascii="Times New Roman" w:hAnsi="Times New Roman"/>
                <w:sz w:val="24"/>
                <w:lang w:eastAsia="zh-CN"/>
              </w:rPr>
              <w:t>吴忠红寺堡区</w:t>
            </w:r>
            <w:r>
              <w:rPr>
                <w:rFonts w:ascii="Times New Roman" w:hAnsi="Times New Roman"/>
                <w:sz w:val="24"/>
              </w:rPr>
              <w:t>-</w:t>
            </w:r>
            <w:r>
              <w:rPr>
                <w:rFonts w:hint="eastAsia" w:ascii="Times New Roman" w:hAnsi="Times New Roman"/>
                <w:sz w:val="24"/>
                <w:lang w:eastAsia="zh-CN"/>
              </w:rPr>
              <w:t>中卫中宁县</w:t>
            </w:r>
            <w:r>
              <w:rPr>
                <w:rFonts w:ascii="Times New Roman" w:hAnsi="Times New Roman"/>
                <w:sz w:val="24"/>
              </w:rPr>
              <w:t>）</w:t>
            </w:r>
            <w:r>
              <w:rPr>
                <w:rFonts w:hint="eastAsia" w:ascii="Times New Roman" w:hAnsi="Times New Roman"/>
                <w:sz w:val="24"/>
                <w:lang w:eastAsia="zh-CN"/>
              </w:rPr>
              <w:t>市界</w:t>
            </w:r>
            <w:r>
              <w:rPr>
                <w:rFonts w:ascii="Times New Roman" w:hAnsi="Times New Roman"/>
                <w:sz w:val="24"/>
              </w:rPr>
              <w:t>断面处监测数据，</w:t>
            </w:r>
            <w:r>
              <w:rPr>
                <w:rFonts w:hint="eastAsia"/>
                <w:sz w:val="24"/>
                <w:lang w:val="en-US" w:eastAsia="zh-CN"/>
              </w:rPr>
              <w:t>除</w:t>
            </w:r>
            <w:r>
              <w:rPr>
                <w:rFonts w:ascii="Times New Roman" w:hAnsi="Times New Roman"/>
                <w:sz w:val="24"/>
              </w:rPr>
              <w:t>总氮和</w:t>
            </w:r>
            <w:r>
              <w:rPr>
                <w:rFonts w:hint="eastAsia" w:ascii="Times New Roman" w:hAnsi="Times New Roman"/>
                <w:sz w:val="24"/>
                <w:lang w:eastAsia="zh-CN"/>
              </w:rPr>
              <w:t>氟化物</w:t>
            </w:r>
            <w:r>
              <w:rPr>
                <w:rFonts w:hint="eastAsia" w:ascii="Times New Roman" w:hAnsi="Times New Roman"/>
                <w:sz w:val="24"/>
              </w:rPr>
              <w:t>超标</w:t>
            </w:r>
            <w:r>
              <w:rPr>
                <w:rFonts w:ascii="Times New Roman" w:hAnsi="Times New Roman"/>
                <w:sz w:val="24"/>
              </w:rPr>
              <w:t>外，其余监测因子均满足《地表水环境质量标准》(GB3838-2002</w:t>
            </w:r>
            <w:r>
              <w:rPr>
                <w:rFonts w:ascii="Times New Roman" w:hAnsi="Times New Roman" w:cs="Times New Roman"/>
                <w:sz w:val="24"/>
              </w:rPr>
              <w:t>)</w:t>
            </w:r>
            <w:r>
              <w:rPr>
                <w:rFonts w:hint="eastAsia" w:ascii="Times New Roman" w:hAnsi="Times New Roman" w:cs="Times New Roman"/>
                <w:sz w:val="24"/>
              </w:rPr>
              <w:t>Ⅴ</w:t>
            </w:r>
            <w:r>
              <w:rPr>
                <w:rFonts w:ascii="Times New Roman" w:hAnsi="Times New Roman" w:cs="Times New Roman"/>
                <w:sz w:val="24"/>
              </w:rPr>
              <w:t>类标准</w:t>
            </w:r>
            <w:r>
              <w:rPr>
                <w:rFonts w:ascii="Times New Roman" w:hAnsi="Times New Roman"/>
                <w:sz w:val="24"/>
              </w:rPr>
              <w:t>要求。超标主要原因为</w:t>
            </w:r>
            <w:r>
              <w:rPr>
                <w:rFonts w:hint="eastAsia"/>
                <w:kern w:val="0"/>
                <w:sz w:val="24"/>
                <w:lang w:eastAsia="zh-CN"/>
              </w:rPr>
              <w:t>红柳沟</w:t>
            </w:r>
            <w:r>
              <w:rPr>
                <w:rFonts w:ascii="Times New Roman" w:hAnsi="Times New Roman"/>
                <w:sz w:val="24"/>
              </w:rPr>
              <w:t>接纳沿途农田退水所致。</w:t>
            </w:r>
          </w:p>
          <w:p>
            <w:pPr>
              <w:adjustRightInd w:val="0"/>
              <w:spacing w:line="360" w:lineRule="auto"/>
              <w:ind w:firstLine="480" w:firstLineChars="200"/>
              <w:jc w:val="left"/>
              <w:rPr>
                <w:rFonts w:hint="eastAsia"/>
                <w:sz w:val="24"/>
                <w:highlight w:val="none"/>
                <w:lang w:eastAsia="zh-CN"/>
              </w:rPr>
            </w:pPr>
            <w:r>
              <w:rPr>
                <w:rFonts w:hint="eastAsia"/>
                <w:sz w:val="24"/>
                <w:highlight w:val="none"/>
              </w:rPr>
              <w:t>由声环境质量现状监测结果可知，</w:t>
            </w:r>
            <w:r>
              <w:rPr>
                <w:rFonts w:hint="eastAsia"/>
                <w:kern w:val="0"/>
                <w:sz w:val="24"/>
                <w:szCs w:val="24"/>
                <w:highlight w:val="none"/>
                <w:lang w:val="en-US" w:eastAsia="zh-CN"/>
              </w:rPr>
              <w:t>煤炭治理区</w:t>
            </w:r>
            <w:r>
              <w:rPr>
                <w:rFonts w:hint="eastAsia"/>
                <w:sz w:val="24"/>
                <w:highlight w:val="none"/>
              </w:rPr>
              <w:t>噪声值昼间在</w:t>
            </w:r>
            <w:r>
              <w:rPr>
                <w:rFonts w:hint="eastAsia"/>
                <w:sz w:val="24"/>
                <w:highlight w:val="none"/>
                <w:lang w:val="en-US" w:eastAsia="zh-CN"/>
              </w:rPr>
              <w:t>43</w:t>
            </w:r>
            <w:r>
              <w:rPr>
                <w:rFonts w:hint="eastAsia"/>
                <w:sz w:val="24"/>
                <w:highlight w:val="none"/>
              </w:rPr>
              <w:t>~</w:t>
            </w:r>
            <w:r>
              <w:rPr>
                <w:rFonts w:hint="eastAsia"/>
                <w:sz w:val="24"/>
                <w:highlight w:val="none"/>
                <w:lang w:val="en-US" w:eastAsia="zh-CN"/>
              </w:rPr>
              <w:t>48</w:t>
            </w:r>
            <w:r>
              <w:rPr>
                <w:rFonts w:hint="eastAsia"/>
                <w:sz w:val="24"/>
                <w:highlight w:val="none"/>
              </w:rPr>
              <w:t>dB(A)之间、夜间在</w:t>
            </w:r>
            <w:r>
              <w:rPr>
                <w:rFonts w:hint="eastAsia"/>
                <w:sz w:val="24"/>
                <w:highlight w:val="none"/>
                <w:lang w:val="en-US" w:eastAsia="zh-CN"/>
              </w:rPr>
              <w:t>40</w:t>
            </w:r>
            <w:r>
              <w:rPr>
                <w:sz w:val="24"/>
                <w:highlight w:val="none"/>
              </w:rPr>
              <w:t>~</w:t>
            </w:r>
            <w:r>
              <w:rPr>
                <w:rFonts w:hint="eastAsia"/>
                <w:sz w:val="24"/>
                <w:highlight w:val="none"/>
                <w:lang w:val="en-US" w:eastAsia="zh-CN"/>
              </w:rPr>
              <w:t>43</w:t>
            </w:r>
            <w:r>
              <w:rPr>
                <w:rFonts w:hint="eastAsia"/>
                <w:sz w:val="24"/>
                <w:highlight w:val="none"/>
              </w:rPr>
              <w:t>dB(A)之间，</w:t>
            </w:r>
            <w:r>
              <w:rPr>
                <w:rFonts w:hint="eastAsia"/>
                <w:kern w:val="0"/>
                <w:sz w:val="24"/>
                <w:szCs w:val="24"/>
                <w:highlight w:val="none"/>
                <w:lang w:val="en-US" w:eastAsia="zh-CN"/>
              </w:rPr>
              <w:t>建筑用砂治理区</w:t>
            </w:r>
            <w:r>
              <w:rPr>
                <w:rFonts w:hint="eastAsia"/>
                <w:sz w:val="24"/>
                <w:highlight w:val="none"/>
              </w:rPr>
              <w:t>噪声值昼间在</w:t>
            </w:r>
            <w:r>
              <w:rPr>
                <w:rFonts w:hint="eastAsia"/>
                <w:sz w:val="24"/>
                <w:highlight w:val="none"/>
                <w:lang w:val="en-US" w:eastAsia="zh-CN"/>
              </w:rPr>
              <w:t>46</w:t>
            </w:r>
            <w:r>
              <w:rPr>
                <w:rFonts w:hint="eastAsia"/>
                <w:sz w:val="24"/>
                <w:highlight w:val="none"/>
              </w:rPr>
              <w:t>~</w:t>
            </w:r>
            <w:r>
              <w:rPr>
                <w:rFonts w:hint="eastAsia"/>
                <w:sz w:val="24"/>
                <w:highlight w:val="none"/>
                <w:lang w:val="en-US" w:eastAsia="zh-CN"/>
              </w:rPr>
              <w:t>52</w:t>
            </w:r>
            <w:r>
              <w:rPr>
                <w:rFonts w:hint="eastAsia"/>
                <w:sz w:val="24"/>
                <w:highlight w:val="none"/>
              </w:rPr>
              <w:t>dB(A)之间、夜间在</w:t>
            </w:r>
            <w:r>
              <w:rPr>
                <w:rFonts w:hint="eastAsia"/>
                <w:sz w:val="24"/>
                <w:highlight w:val="none"/>
                <w:lang w:val="en-US" w:eastAsia="zh-CN"/>
              </w:rPr>
              <w:t>43</w:t>
            </w:r>
            <w:r>
              <w:rPr>
                <w:sz w:val="24"/>
                <w:highlight w:val="none"/>
              </w:rPr>
              <w:t>~</w:t>
            </w:r>
            <w:r>
              <w:rPr>
                <w:rFonts w:hint="eastAsia"/>
                <w:sz w:val="24"/>
                <w:highlight w:val="none"/>
                <w:lang w:val="en-US" w:eastAsia="zh-CN"/>
              </w:rPr>
              <w:t>47</w:t>
            </w:r>
            <w:r>
              <w:rPr>
                <w:rFonts w:hint="eastAsia"/>
                <w:sz w:val="24"/>
                <w:highlight w:val="none"/>
              </w:rPr>
              <w:t>dB(A)之间</w:t>
            </w:r>
            <w:r>
              <w:rPr>
                <w:rFonts w:hint="eastAsia"/>
                <w:sz w:val="24"/>
                <w:highlight w:val="none"/>
                <w:lang w:eastAsia="zh-CN"/>
              </w:rPr>
              <w:t>，均</w:t>
            </w:r>
            <w:r>
              <w:rPr>
                <w:rFonts w:hint="eastAsia"/>
                <w:sz w:val="24"/>
                <w:highlight w:val="none"/>
              </w:rPr>
              <w:t>满足《声环境质量标准》(GB</w:t>
            </w:r>
            <w:r>
              <w:rPr>
                <w:sz w:val="24"/>
                <w:highlight w:val="none"/>
              </w:rPr>
              <w:t>3096</w:t>
            </w:r>
            <w:r>
              <w:rPr>
                <w:rFonts w:hint="eastAsia"/>
                <w:sz w:val="24"/>
                <w:highlight w:val="none"/>
              </w:rPr>
              <w:t>-2008)中</w:t>
            </w:r>
            <w:r>
              <w:rPr>
                <w:rFonts w:hint="eastAsia"/>
                <w:sz w:val="24"/>
                <w:highlight w:val="none"/>
                <w:lang w:val="en-US" w:eastAsia="zh-CN"/>
              </w:rPr>
              <w:t>2</w:t>
            </w:r>
            <w:r>
              <w:rPr>
                <w:rFonts w:hint="eastAsia"/>
                <w:sz w:val="24"/>
                <w:highlight w:val="none"/>
              </w:rPr>
              <w:t>类标准</w:t>
            </w:r>
            <w:r>
              <w:rPr>
                <w:rFonts w:hint="eastAsia"/>
                <w:sz w:val="24"/>
                <w:highlight w:val="none"/>
                <w:lang w:eastAsia="zh-CN"/>
              </w:rPr>
              <w:t>。</w:t>
            </w:r>
          </w:p>
          <w:p>
            <w:pPr>
              <w:adjustRightInd w:val="0"/>
              <w:spacing w:line="360" w:lineRule="auto"/>
              <w:ind w:firstLine="480" w:firstLineChars="200"/>
              <w:jc w:val="left"/>
              <w:rPr>
                <w:rFonts w:hint="eastAsia" w:ascii="Times New Roman" w:hAnsi="Times New Roman" w:eastAsia="黑体" w:cs="Times New Roman"/>
                <w:kern w:val="0"/>
                <w:sz w:val="24"/>
                <w:lang w:val="en-US" w:eastAsia="zh-CN"/>
              </w:rPr>
            </w:pPr>
            <w:r>
              <w:rPr>
                <w:rFonts w:hint="eastAsia" w:ascii="Times New Roman" w:hAnsi="Times New Roman" w:eastAsia="黑体" w:cs="Times New Roman"/>
                <w:kern w:val="0"/>
                <w:sz w:val="24"/>
                <w:lang w:val="en-US" w:eastAsia="zh-CN"/>
              </w:rPr>
              <w:t>4、环境影响分析及防治措施</w:t>
            </w:r>
          </w:p>
          <w:p>
            <w:pPr>
              <w:adjustRightInd/>
              <w:spacing w:line="360" w:lineRule="auto"/>
              <w:ind w:firstLine="480" w:firstLineChars="200"/>
              <w:rPr>
                <w:rFonts w:hint="default" w:eastAsia="宋体"/>
                <w:sz w:val="24"/>
                <w:highlight w:val="none"/>
                <w:lang w:val="en-US" w:eastAsia="zh-CN"/>
              </w:rPr>
            </w:pPr>
            <w:r>
              <w:rPr>
                <w:rFonts w:hint="eastAsia"/>
                <w:sz w:val="24"/>
                <w:highlight w:val="none"/>
              </w:rPr>
              <w:t>⑴</w:t>
            </w:r>
            <w:r>
              <w:rPr>
                <w:rFonts w:hint="eastAsia"/>
                <w:sz w:val="24"/>
                <w:highlight w:val="none"/>
                <w:lang w:val="en-US" w:eastAsia="zh-CN"/>
              </w:rPr>
              <w:t>施工期环境影响分析</w:t>
            </w:r>
          </w:p>
          <w:p>
            <w:pPr>
              <w:adjustRightInd w:val="0"/>
              <w:snapToGrid w:val="0"/>
              <w:spacing w:line="360" w:lineRule="auto"/>
              <w:ind w:firstLine="480" w:firstLineChars="200"/>
              <w:rPr>
                <w:sz w:val="24"/>
                <w:highlight w:val="none"/>
              </w:rPr>
            </w:pPr>
            <w:r>
              <w:rPr>
                <w:rFonts w:hint="eastAsia" w:ascii="宋体" w:hAnsi="宋体" w:cs="宋体"/>
                <w:sz w:val="24"/>
                <w:highlight w:val="none"/>
              </w:rPr>
              <w:t>①大气环境影响分析</w:t>
            </w:r>
          </w:p>
          <w:p>
            <w:pPr>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目施工期产生的废气主要为施工扬尘及施工机械尾气的排放。施工扬尘通过对施工场地散水、施工材料集中堆放、对运输车辆采取遮盖等其他措施，可以将施工期扬尘污染降至最低。施工机械所排放的废气在空间和时间上具有较集中的特点，并以无组织面源的形式排放，对施工区域大气环境造成不利影响。但施工结束后，废气影响也随之消失，不会造成长期影响。</w:t>
            </w:r>
          </w:p>
          <w:p>
            <w:pPr>
              <w:adjustRightIn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②水环境影响分析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sz w:val="24"/>
                <w:highlight w:val="none"/>
                <w:lang w:val="en-US" w:eastAsia="zh-CN"/>
              </w:rPr>
            </w:pPr>
            <w:r>
              <w:rPr>
                <w:rFonts w:hint="default" w:ascii="Times New Roman" w:hAnsi="Times New Roman" w:cs="Times New Roman"/>
                <w:sz w:val="24"/>
                <w:highlight w:val="none"/>
              </w:rPr>
              <w:t>本项目不设置施工营地，施工人员生活污水主要为盥洗废水。本项目施工人员均雇佣自当地居民，盥洗废水量相对较少，污染物较为简单，直接用于泼洒抑尘，不外排。</w:t>
            </w:r>
            <w:r>
              <w:rPr>
                <w:rFonts w:hint="eastAsia" w:cs="Times New Roman"/>
                <w:bCs/>
                <w:sz w:val="24"/>
                <w:highlight w:val="none"/>
                <w:lang w:val="en-US" w:eastAsia="zh-CN"/>
              </w:rPr>
              <w:t>施工废水</w:t>
            </w:r>
            <w:r>
              <w:rPr>
                <w:rFonts w:hint="eastAsia" w:ascii="Times New Roman" w:hAnsi="Times New Roman" w:cs="Times New Roman"/>
                <w:bCs/>
                <w:sz w:val="24"/>
                <w:highlight w:val="none"/>
                <w:lang w:val="en-US" w:eastAsia="zh-CN"/>
              </w:rPr>
              <w:t>集中收集经沉淀后用于泼洒抑尘，不外排。运营期无用水消耗。</w:t>
            </w:r>
          </w:p>
          <w:p>
            <w:pPr>
              <w:adjustRightInd w:val="0"/>
              <w:spacing w:line="360" w:lineRule="auto"/>
              <w:ind w:firstLine="480" w:firstLineChars="200"/>
              <w:rPr>
                <w:rFonts w:hint="eastAsia"/>
                <w:sz w:val="24"/>
                <w:highlight w:val="none"/>
              </w:rPr>
            </w:pPr>
            <w:r>
              <w:rPr>
                <w:rFonts w:hint="default" w:ascii="Times New Roman" w:hAnsi="Times New Roman" w:cs="Times New Roman"/>
                <w:sz w:val="24"/>
                <w:highlight w:val="none"/>
              </w:rPr>
              <w:t>因此，项目施工期废水对周围水环境的影响较小</w:t>
            </w:r>
            <w:r>
              <w:rPr>
                <w:rFonts w:hint="eastAsia"/>
                <w:sz w:val="24"/>
                <w:highlight w:val="none"/>
              </w:rPr>
              <w:t>。</w:t>
            </w:r>
          </w:p>
          <w:p>
            <w:pPr>
              <w:adjustRightInd/>
              <w:spacing w:line="360" w:lineRule="auto"/>
              <w:ind w:firstLine="480" w:firstLineChars="200"/>
              <w:rPr>
                <w:rFonts w:hint="eastAsia"/>
                <w:sz w:val="24"/>
                <w:highlight w:val="none"/>
                <w:lang w:eastAsia="zh-CN"/>
              </w:rPr>
            </w:pPr>
            <w:r>
              <w:rPr>
                <w:rFonts w:hint="eastAsia"/>
                <w:sz w:val="24"/>
                <w:highlight w:val="none"/>
                <w:lang w:eastAsia="zh-CN"/>
              </w:rPr>
              <w:t>③固体废物环境影响分析</w:t>
            </w:r>
          </w:p>
          <w:p>
            <w:pPr>
              <w:adjustRightInd/>
              <w:spacing w:line="360" w:lineRule="auto"/>
              <w:ind w:firstLine="480" w:firstLineChars="200"/>
              <w:rPr>
                <w:rFonts w:hint="eastAsia"/>
                <w:sz w:val="24"/>
                <w:highlight w:val="none"/>
                <w:lang w:eastAsia="zh-CN"/>
              </w:rPr>
            </w:pPr>
            <w:r>
              <w:rPr>
                <w:rFonts w:hint="eastAsia"/>
                <w:sz w:val="24"/>
                <w:highlight w:val="none"/>
                <w:lang w:eastAsia="zh-CN"/>
              </w:rPr>
              <w:t>本项目施工期产生的固体废物主要有施工期生活垃圾、废弃土石方。生活垃圾集中收集后由环卫部门进行处置。</w:t>
            </w:r>
            <w:r>
              <w:rPr>
                <w:rFonts w:hint="eastAsia"/>
                <w:sz w:val="24"/>
                <w:highlight w:val="none"/>
                <w:lang w:val="en-US" w:eastAsia="zh-CN"/>
              </w:rPr>
              <w:t>本项目废弃土石方用于场地平整回填，不得外运</w:t>
            </w:r>
            <w:r>
              <w:rPr>
                <w:rFonts w:hint="eastAsia"/>
                <w:sz w:val="24"/>
                <w:highlight w:val="none"/>
                <w:lang w:eastAsia="zh-CN"/>
              </w:rPr>
              <w:t>。</w:t>
            </w:r>
          </w:p>
          <w:p>
            <w:pPr>
              <w:adjustRightInd/>
              <w:spacing w:line="360" w:lineRule="auto"/>
              <w:ind w:firstLine="480" w:firstLineChars="200"/>
              <w:rPr>
                <w:rFonts w:hint="eastAsia"/>
                <w:sz w:val="24"/>
                <w:highlight w:val="none"/>
                <w:lang w:eastAsia="zh-CN"/>
              </w:rPr>
            </w:pPr>
            <w:r>
              <w:rPr>
                <w:rFonts w:hint="eastAsia"/>
                <w:sz w:val="24"/>
                <w:highlight w:val="none"/>
                <w:lang w:eastAsia="zh-CN"/>
              </w:rPr>
              <w:t>④声环境影响分析</w:t>
            </w:r>
          </w:p>
          <w:p>
            <w:pPr>
              <w:adjustRightInd/>
              <w:spacing w:line="360" w:lineRule="auto"/>
              <w:ind w:firstLine="480" w:firstLineChars="200"/>
              <w:rPr>
                <w:rFonts w:hint="eastAsia" w:eastAsia="宋体"/>
                <w:sz w:val="24"/>
                <w:highlight w:val="none"/>
                <w:lang w:eastAsia="zh-CN"/>
              </w:rPr>
            </w:pPr>
            <w:r>
              <w:rPr>
                <w:rFonts w:hint="eastAsia"/>
                <w:sz w:val="24"/>
                <w:highlight w:val="none"/>
                <w:lang w:eastAsia="zh-CN"/>
              </w:rPr>
              <w:t>项目施工期通过加强施工管理，选用低噪声设备，合理安排施工时间等其他噪声防治措施可以将施工期噪声对周围环境的影响降至最低。</w:t>
            </w:r>
          </w:p>
          <w:p>
            <w:pPr>
              <w:adjustRightInd/>
              <w:spacing w:line="360" w:lineRule="auto"/>
              <w:ind w:firstLine="480" w:firstLineChars="200"/>
              <w:rPr>
                <w:rFonts w:hint="eastAsia" w:eastAsia="宋体"/>
                <w:sz w:val="24"/>
                <w:highlight w:val="none"/>
                <w:lang w:eastAsia="zh-CN"/>
              </w:rPr>
            </w:pPr>
            <w:r>
              <w:rPr>
                <w:rFonts w:hint="eastAsia"/>
                <w:sz w:val="24"/>
                <w:highlight w:val="none"/>
                <w:lang w:eastAsia="zh-CN"/>
              </w:rPr>
              <w:t>⑤生态环境影响分析</w:t>
            </w:r>
          </w:p>
          <w:p>
            <w:pPr>
              <w:adjustRightInd/>
              <w:spacing w:line="360" w:lineRule="auto"/>
              <w:ind w:firstLine="480" w:firstLineChars="200"/>
              <w:rPr>
                <w:rFonts w:hint="eastAsia" w:eastAsia="宋体"/>
                <w:sz w:val="24"/>
                <w:highlight w:val="none"/>
                <w:lang w:eastAsia="zh-CN"/>
              </w:rPr>
            </w:pPr>
            <w:r>
              <w:rPr>
                <w:rFonts w:hint="eastAsia"/>
                <w:sz w:val="24"/>
                <w:highlight w:val="none"/>
              </w:rPr>
              <w:t>在本项目建设过程中，要实施挖方作业。项目施工期会对土地利用性质、土壤环境以及当地动植物产生一定的影响。在土石的开挖地、填筑地及堆存地，会存在土石直接裸露，土石遇有风天气会引起扬尘，遇降水天气会造成一定的水土流失。根据建设工程的性质和工程特点，建设单位可采取尽量减少开挖面、及时覆土绿化等措施以减缓其影响、防止水土流失</w:t>
            </w:r>
            <w:r>
              <w:rPr>
                <w:rFonts w:hint="eastAsia"/>
                <w:sz w:val="24"/>
                <w:highlight w:val="none"/>
                <w:lang w:eastAsia="zh-CN"/>
              </w:rPr>
              <w:t>。</w:t>
            </w:r>
          </w:p>
          <w:p>
            <w:pPr>
              <w:adjustRightInd/>
              <w:spacing w:line="360" w:lineRule="auto"/>
              <w:ind w:firstLine="480" w:firstLineChars="200"/>
              <w:rPr>
                <w:bCs/>
                <w:sz w:val="24"/>
                <w:highlight w:val="none"/>
              </w:rPr>
            </w:pPr>
            <w:r>
              <w:rPr>
                <w:rFonts w:hint="eastAsia"/>
                <w:sz w:val="24"/>
                <w:highlight w:val="none"/>
              </w:rPr>
              <w:t>⑵运营期环境影响分析</w:t>
            </w:r>
          </w:p>
          <w:p>
            <w:pPr>
              <w:adjustRightInd w:val="0"/>
              <w:spacing w:line="360" w:lineRule="auto"/>
              <w:ind w:firstLine="480" w:firstLineChars="200"/>
              <w:rPr>
                <w:bCs/>
                <w:sz w:val="24"/>
                <w:highlight w:val="none"/>
              </w:rPr>
            </w:pPr>
            <w:r>
              <w:rPr>
                <w:rFonts w:hint="eastAsia"/>
                <w:bCs/>
                <w:sz w:val="24"/>
                <w:highlight w:val="none"/>
                <w:lang w:val="en-US" w:eastAsia="zh-CN"/>
              </w:rPr>
              <w:t>本项目为环境整治工程，项目运营期除产生雨水径流外，不排放其他污染物</w:t>
            </w:r>
            <w:r>
              <w:rPr>
                <w:rFonts w:hint="eastAsia"/>
                <w:bCs/>
                <w:sz w:val="24"/>
                <w:highlight w:val="none"/>
              </w:rPr>
              <w:t>。</w:t>
            </w:r>
          </w:p>
          <w:p>
            <w:pPr>
              <w:spacing w:line="360" w:lineRule="auto"/>
              <w:ind w:firstLine="480" w:firstLineChars="200"/>
              <w:rPr>
                <w:rFonts w:hint="eastAsia" w:ascii="Times New Roman" w:hAnsi="Times New Roman" w:eastAsia="宋体" w:cs="Times New Roman"/>
                <w:b/>
                <w:bCs w:val="0"/>
                <w:sz w:val="24"/>
              </w:rPr>
            </w:pPr>
            <w:r>
              <w:rPr>
                <w:rFonts w:hint="eastAsia" w:ascii="Times New Roman" w:hAnsi="Times New Roman" w:eastAsia="黑体" w:cs="Times New Roman"/>
                <w:kern w:val="0"/>
                <w:sz w:val="24"/>
                <w:lang w:val="en-US" w:eastAsia="zh-CN"/>
              </w:rPr>
              <w:t>5、综合评价结论</w:t>
            </w:r>
          </w:p>
          <w:p>
            <w:pPr>
              <w:spacing w:line="360" w:lineRule="auto"/>
              <w:ind w:firstLine="480" w:firstLineChars="200"/>
              <w:rPr>
                <w:rFonts w:hint="eastAsia"/>
                <w:sz w:val="24"/>
                <w:highlight w:val="none"/>
              </w:rPr>
            </w:pPr>
            <w:r>
              <w:rPr>
                <w:rFonts w:hint="eastAsia"/>
                <w:sz w:val="24"/>
                <w:highlight w:val="none"/>
              </w:rPr>
              <w:t>综上所述，项目的建设符合国家产业政策。建设单位在认真落实“三同时”及本环评中所提出的建议以及各项污染防治对策，对所产生的污染物进行有效治理后，对周围环境产生影响较小。因此从环保角度分析，该项目的建设是可行的。</w:t>
            </w:r>
          </w:p>
          <w:p>
            <w:pPr>
              <w:spacing w:line="360" w:lineRule="auto"/>
              <w:ind w:firstLine="480" w:firstLineChars="200"/>
              <w:rPr>
                <w:rFonts w:hint="eastAsia" w:ascii="Times New Roman" w:hAnsi="Times New Roman" w:eastAsia="黑体" w:cs="Times New Roman"/>
                <w:kern w:val="0"/>
                <w:sz w:val="24"/>
                <w:lang w:val="en-US" w:eastAsia="zh-CN"/>
              </w:rPr>
            </w:pPr>
            <w:r>
              <w:rPr>
                <w:rFonts w:hint="eastAsia" w:ascii="Times New Roman" w:hAnsi="Times New Roman" w:eastAsia="黑体" w:cs="Times New Roman"/>
                <w:kern w:val="0"/>
                <w:sz w:val="24"/>
                <w:lang w:val="en-US" w:eastAsia="zh-CN"/>
              </w:rPr>
              <w:t>6、建议与要求</w:t>
            </w:r>
          </w:p>
          <w:p>
            <w:pPr>
              <w:spacing w:line="360" w:lineRule="auto"/>
              <w:ind w:firstLine="480" w:firstLineChars="200"/>
              <w:rPr>
                <w:rFonts w:hint="eastAsia"/>
                <w:bCs/>
                <w:sz w:val="24"/>
              </w:rPr>
            </w:pPr>
            <w:r>
              <w:rPr>
                <w:rFonts w:hint="eastAsia" w:cs="Times New Roman"/>
                <w:bCs/>
                <w:sz w:val="24"/>
                <w:highlight w:val="none"/>
                <w:lang w:eastAsia="zh-CN"/>
              </w:rPr>
              <w:t>建议施工单位做好施工管理，建立施工期环境保护监理机构，落实监理人员，负责施工人员培训、施工过程监理，完善其职责、措施、工作内容及权利，切实履行本环评提出的相关环境保护要求，降低施工期污染物对周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1" w:type="dxa"/>
          <w:trHeight w:val="13459" w:hRule="atLeast"/>
          <w:jc w:val="center"/>
        </w:trPr>
        <w:tc>
          <w:tcPr>
            <w:tcW w:w="9015" w:type="dxa"/>
            <w:tcBorders>
              <w:top w:val="single" w:color="auto" w:sz="12" w:space="0"/>
              <w:left w:val="single" w:color="auto" w:sz="12" w:space="0"/>
              <w:bottom w:val="single" w:color="auto" w:sz="12" w:space="0"/>
              <w:right w:val="single" w:color="auto" w:sz="12" w:space="0"/>
            </w:tcBorders>
            <w:noWrap w:val="0"/>
            <w:vAlign w:val="top"/>
          </w:tcPr>
          <w:p>
            <w:pPr>
              <w:spacing w:line="360" w:lineRule="auto"/>
              <w:jc w:val="center"/>
              <w:rPr>
                <w:sz w:val="28"/>
                <w:szCs w:val="28"/>
              </w:rPr>
            </w:pPr>
            <w:r>
              <w:rPr>
                <w:rFonts w:ascii="Times New Roman" w:hAnsi="Times New Roman" w:eastAsia="宋体"/>
                <w:b/>
                <w:bCs/>
                <w:sz w:val="32"/>
                <w:szCs w:val="32"/>
              </w:rPr>
              <w:t>注</w:t>
            </w:r>
            <w:r>
              <w:rPr>
                <w:rFonts w:hint="eastAsia" w:ascii="Times New Roman" w:hAnsi="Times New Roman" w:eastAsia="宋体"/>
                <w:b/>
                <w:bCs/>
                <w:sz w:val="32"/>
                <w:szCs w:val="32"/>
              </w:rPr>
              <w:t xml:space="preserve">    </w:t>
            </w:r>
            <w:r>
              <w:rPr>
                <w:rFonts w:ascii="Times New Roman" w:hAnsi="Times New Roman" w:eastAsia="宋体"/>
                <w:b/>
                <w:bCs/>
                <w:sz w:val="32"/>
                <w:szCs w:val="32"/>
              </w:rPr>
              <w:t>释</w:t>
            </w:r>
          </w:p>
          <w:p>
            <w:pPr>
              <w:autoSpaceDE w:val="0"/>
              <w:autoSpaceDN w:val="0"/>
              <w:adjustRightInd w:val="0"/>
              <w:spacing w:line="360" w:lineRule="auto"/>
              <w:ind w:firstLine="481" w:firstLineChars="200"/>
              <w:jc w:val="left"/>
              <w:rPr>
                <w:kern w:val="0"/>
                <w:sz w:val="24"/>
              </w:rPr>
            </w:pPr>
            <w:r>
              <w:rPr>
                <w:rFonts w:ascii="Times New Roman" w:hAnsi="Times New Roman" w:eastAsia="宋体"/>
                <w:b/>
                <w:bCs/>
                <w:sz w:val="24"/>
              </w:rPr>
              <w:t>一、本报告表应附以下附件、附图：</w:t>
            </w:r>
          </w:p>
          <w:p>
            <w:pPr>
              <w:spacing w:line="440" w:lineRule="exact"/>
              <w:ind w:firstLine="480" w:firstLineChars="200"/>
              <w:rPr>
                <w:rFonts w:hint="eastAsia" w:ascii="Times New Roman" w:hAnsi="Times New Roman" w:eastAsia="宋体"/>
                <w:sz w:val="24"/>
              </w:rPr>
            </w:pPr>
            <w:r>
              <w:rPr>
                <w:rFonts w:ascii="Times New Roman" w:hAnsi="Times New Roman" w:eastAsia="宋体"/>
                <w:sz w:val="24"/>
              </w:rPr>
              <w:t>附图1</w:t>
            </w:r>
            <w:r>
              <w:rPr>
                <w:rFonts w:hint="eastAsia"/>
                <w:sz w:val="24"/>
                <w:lang w:val="en-US" w:eastAsia="zh-CN"/>
              </w:rPr>
              <w:t>-1</w:t>
            </w:r>
            <w:r>
              <w:rPr>
                <w:rFonts w:ascii="Times New Roman" w:hAnsi="Times New Roman" w:eastAsia="宋体"/>
                <w:sz w:val="24"/>
              </w:rPr>
              <w:t xml:space="preserve">  </w:t>
            </w:r>
            <w:r>
              <w:rPr>
                <w:rFonts w:hint="eastAsia" w:ascii="Times New Roman" w:hAnsi="Times New Roman" w:eastAsia="宋体"/>
                <w:sz w:val="24"/>
              </w:rPr>
              <w:t>煤炭区治理区土地利用现状图</w:t>
            </w:r>
          </w:p>
          <w:p>
            <w:pPr>
              <w:spacing w:line="440" w:lineRule="exact"/>
              <w:ind w:firstLine="480" w:firstLineChars="200"/>
              <w:rPr>
                <w:rFonts w:ascii="Times New Roman" w:hAnsi="Times New Roman" w:eastAsia="宋体"/>
                <w:sz w:val="24"/>
              </w:rPr>
            </w:pPr>
            <w:r>
              <w:rPr>
                <w:rFonts w:ascii="Times New Roman" w:hAnsi="Times New Roman" w:eastAsia="宋体"/>
                <w:sz w:val="24"/>
              </w:rPr>
              <w:t>附图</w:t>
            </w:r>
            <w:r>
              <w:rPr>
                <w:rFonts w:hint="eastAsia"/>
                <w:sz w:val="24"/>
                <w:lang w:val="en-US" w:eastAsia="zh-CN"/>
              </w:rPr>
              <w:t>1-</w:t>
            </w:r>
            <w:r>
              <w:rPr>
                <w:rFonts w:ascii="Times New Roman" w:hAnsi="Times New Roman" w:eastAsia="宋体"/>
                <w:sz w:val="24"/>
              </w:rPr>
              <w:t xml:space="preserve">2  </w:t>
            </w:r>
            <w:r>
              <w:rPr>
                <w:rFonts w:hint="eastAsia" w:ascii="Times New Roman" w:hAnsi="Times New Roman" w:eastAsia="宋体"/>
                <w:sz w:val="24"/>
              </w:rPr>
              <w:t>建筑用砂治理区土地利用现状图</w:t>
            </w:r>
          </w:p>
          <w:p>
            <w:pPr>
              <w:spacing w:line="440" w:lineRule="exact"/>
              <w:ind w:firstLine="480" w:firstLineChars="200"/>
              <w:rPr>
                <w:rFonts w:hint="eastAsia" w:ascii="Times New Roman" w:hAnsi="Times New Roman" w:eastAsia="宋体"/>
                <w:sz w:val="24"/>
              </w:rPr>
            </w:pPr>
            <w:r>
              <w:rPr>
                <w:rFonts w:ascii="Times New Roman" w:hAnsi="Times New Roman" w:eastAsia="宋体"/>
                <w:sz w:val="24"/>
              </w:rPr>
              <w:t>附图</w:t>
            </w:r>
            <w:r>
              <w:rPr>
                <w:rFonts w:hint="eastAsia"/>
                <w:sz w:val="24"/>
                <w:lang w:val="en-US" w:eastAsia="zh-CN"/>
              </w:rPr>
              <w:t>1-</w:t>
            </w:r>
            <w:r>
              <w:rPr>
                <w:rFonts w:ascii="Times New Roman" w:hAnsi="Times New Roman" w:eastAsia="宋体"/>
                <w:sz w:val="24"/>
              </w:rPr>
              <w:t xml:space="preserve">3  </w:t>
            </w:r>
            <w:r>
              <w:rPr>
                <w:rFonts w:hint="eastAsia" w:ascii="Times New Roman" w:hAnsi="Times New Roman" w:eastAsia="宋体"/>
                <w:sz w:val="24"/>
              </w:rPr>
              <w:t>本项目与生态红线的位置关系图</w:t>
            </w:r>
          </w:p>
          <w:p>
            <w:pPr>
              <w:spacing w:line="440" w:lineRule="exact"/>
              <w:ind w:firstLine="480" w:firstLineChars="200"/>
              <w:rPr>
                <w:rFonts w:hint="eastAsia" w:ascii="Times New Roman" w:hAnsi="Times New Roman" w:eastAsia="宋体"/>
                <w:sz w:val="24"/>
              </w:rPr>
            </w:pPr>
            <w:r>
              <w:rPr>
                <w:rFonts w:ascii="Times New Roman" w:hAnsi="Times New Roman" w:eastAsia="宋体"/>
                <w:sz w:val="24"/>
              </w:rPr>
              <w:t>附图</w:t>
            </w:r>
            <w:r>
              <w:rPr>
                <w:rFonts w:hint="eastAsia"/>
                <w:sz w:val="24"/>
                <w:lang w:val="en-US" w:eastAsia="zh-CN"/>
              </w:rPr>
              <w:t>1-</w:t>
            </w:r>
            <w:r>
              <w:rPr>
                <w:rFonts w:hint="eastAsia" w:ascii="Times New Roman" w:hAnsi="Times New Roman" w:eastAsia="宋体"/>
                <w:sz w:val="24"/>
                <w:lang w:val="en-US" w:eastAsia="zh-CN"/>
              </w:rPr>
              <w:t>4</w:t>
            </w:r>
            <w:r>
              <w:rPr>
                <w:rFonts w:ascii="Times New Roman" w:hAnsi="Times New Roman" w:eastAsia="宋体"/>
                <w:sz w:val="24"/>
              </w:rPr>
              <w:t xml:space="preserve">  </w:t>
            </w:r>
            <w:r>
              <w:rPr>
                <w:rFonts w:hint="eastAsia" w:ascii="Times New Roman" w:hAnsi="Times New Roman" w:eastAsia="宋体"/>
                <w:sz w:val="24"/>
              </w:rPr>
              <w:t>项目地理位置图</w:t>
            </w:r>
          </w:p>
          <w:p>
            <w:pPr>
              <w:spacing w:line="440" w:lineRule="exact"/>
              <w:ind w:firstLine="480" w:firstLineChars="200"/>
              <w:rPr>
                <w:rFonts w:hint="default" w:ascii="Times New Roman" w:hAnsi="Times New Roman" w:eastAsia="宋体"/>
                <w:sz w:val="24"/>
                <w:lang w:val="en-US" w:eastAsia="zh-CN"/>
              </w:rPr>
            </w:pPr>
            <w:r>
              <w:rPr>
                <w:rFonts w:hint="eastAsia" w:ascii="Times New Roman" w:hAnsi="Times New Roman" w:eastAsia="宋体"/>
                <w:sz w:val="24"/>
                <w:lang w:eastAsia="zh-CN"/>
              </w:rPr>
              <w:t>附图</w:t>
            </w:r>
            <w:r>
              <w:rPr>
                <w:rFonts w:hint="eastAsia"/>
                <w:sz w:val="24"/>
                <w:lang w:val="en-US" w:eastAsia="zh-CN"/>
              </w:rPr>
              <w:t>1-</w:t>
            </w:r>
            <w:r>
              <w:rPr>
                <w:rFonts w:hint="eastAsia" w:ascii="Times New Roman" w:hAnsi="Times New Roman" w:eastAsia="宋体"/>
                <w:sz w:val="24"/>
                <w:lang w:val="en-US" w:eastAsia="zh-CN"/>
              </w:rPr>
              <w:t>5  煤炭区周边关系图</w:t>
            </w:r>
          </w:p>
          <w:p>
            <w:pPr>
              <w:spacing w:line="440" w:lineRule="exact"/>
              <w:ind w:firstLine="480" w:firstLineChars="200"/>
              <w:rPr>
                <w:rFonts w:hint="eastAsia" w:ascii="Times New Roman" w:hAnsi="Times New Roman" w:eastAsia="宋体"/>
                <w:sz w:val="24"/>
                <w:lang w:val="en-US" w:eastAsia="zh-CN"/>
              </w:rPr>
            </w:pPr>
            <w:r>
              <w:rPr>
                <w:rFonts w:hint="eastAsia" w:ascii="Times New Roman" w:hAnsi="Times New Roman" w:eastAsia="宋体"/>
                <w:sz w:val="24"/>
                <w:lang w:eastAsia="zh-CN"/>
              </w:rPr>
              <w:t>附图</w:t>
            </w:r>
            <w:r>
              <w:rPr>
                <w:rFonts w:hint="eastAsia"/>
                <w:sz w:val="24"/>
                <w:lang w:val="en-US" w:eastAsia="zh-CN"/>
              </w:rPr>
              <w:t>1-</w:t>
            </w:r>
            <w:r>
              <w:rPr>
                <w:rFonts w:hint="eastAsia" w:ascii="Times New Roman" w:hAnsi="Times New Roman" w:eastAsia="宋体"/>
                <w:sz w:val="24"/>
                <w:lang w:val="en-US" w:eastAsia="zh-CN"/>
              </w:rPr>
              <w:t>6  建筑用砂治理区周边关系图</w:t>
            </w:r>
          </w:p>
          <w:p>
            <w:pPr>
              <w:spacing w:line="440" w:lineRule="exact"/>
              <w:ind w:firstLine="480" w:firstLineChars="200"/>
              <w:rPr>
                <w:rFonts w:hint="default" w:ascii="Times New Roman" w:hAnsi="Times New Roman" w:eastAsia="宋体"/>
                <w:sz w:val="24"/>
                <w:lang w:val="en-US" w:eastAsia="zh-CN"/>
              </w:rPr>
            </w:pPr>
            <w:r>
              <w:rPr>
                <w:rFonts w:hint="eastAsia"/>
                <w:sz w:val="24"/>
                <w:lang w:val="en-US" w:eastAsia="zh-CN"/>
              </w:rPr>
              <w:t>附</w:t>
            </w:r>
            <w:r>
              <w:rPr>
                <w:rFonts w:hint="default" w:ascii="Times New Roman" w:hAnsi="Times New Roman" w:eastAsia="宋体"/>
                <w:sz w:val="24"/>
                <w:lang w:val="en-US" w:eastAsia="zh-CN"/>
              </w:rPr>
              <w:t xml:space="preserve">图3-1 </w:t>
            </w:r>
            <w:r>
              <w:rPr>
                <w:rFonts w:hint="eastAsia"/>
                <w:sz w:val="24"/>
                <w:lang w:val="en-US" w:eastAsia="zh-CN"/>
              </w:rPr>
              <w:t xml:space="preserve"> </w:t>
            </w:r>
            <w:r>
              <w:rPr>
                <w:rFonts w:hint="default" w:ascii="Times New Roman" w:hAnsi="Times New Roman" w:eastAsia="宋体"/>
                <w:sz w:val="24"/>
                <w:lang w:val="en-US" w:eastAsia="zh-CN"/>
              </w:rPr>
              <w:t>煤炭治理区监测布点图</w:t>
            </w:r>
          </w:p>
          <w:p>
            <w:pPr>
              <w:spacing w:line="440" w:lineRule="exact"/>
              <w:ind w:firstLine="480" w:firstLineChars="200"/>
              <w:rPr>
                <w:rFonts w:hint="default" w:ascii="Times New Roman" w:hAnsi="Times New Roman" w:eastAsia="宋体"/>
                <w:sz w:val="24"/>
                <w:lang w:val="en-US" w:eastAsia="zh-CN"/>
              </w:rPr>
            </w:pPr>
            <w:r>
              <w:rPr>
                <w:rFonts w:hint="eastAsia"/>
                <w:sz w:val="24"/>
                <w:lang w:val="en-US" w:eastAsia="zh-CN"/>
              </w:rPr>
              <w:t>附</w:t>
            </w:r>
            <w:r>
              <w:rPr>
                <w:rFonts w:hint="default" w:ascii="Times New Roman" w:hAnsi="Times New Roman" w:eastAsia="宋体"/>
                <w:sz w:val="24"/>
                <w:lang w:val="en-US" w:eastAsia="zh-CN"/>
              </w:rPr>
              <w:t xml:space="preserve">图3-2 </w:t>
            </w:r>
            <w:r>
              <w:rPr>
                <w:rFonts w:hint="eastAsia"/>
                <w:sz w:val="24"/>
                <w:lang w:val="en-US" w:eastAsia="zh-CN"/>
              </w:rPr>
              <w:t xml:space="preserve"> </w:t>
            </w:r>
            <w:r>
              <w:rPr>
                <w:rFonts w:hint="default" w:ascii="Times New Roman" w:hAnsi="Times New Roman" w:eastAsia="宋体"/>
                <w:sz w:val="24"/>
                <w:lang w:val="en-US" w:eastAsia="zh-CN"/>
              </w:rPr>
              <w:t>建筑用砂治理区监测布点图</w:t>
            </w:r>
          </w:p>
          <w:p>
            <w:pPr>
              <w:spacing w:line="440" w:lineRule="exact"/>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附件1  </w:t>
            </w:r>
            <w:r>
              <w:rPr>
                <w:rFonts w:hint="eastAsia" w:ascii="Times New Roman" w:hAnsi="Times New Roman" w:cs="Times New Roman"/>
                <w:sz w:val="24"/>
                <w:lang w:val="en-US" w:eastAsia="zh-CN"/>
              </w:rPr>
              <w:t xml:space="preserve">  </w:t>
            </w:r>
            <w:r>
              <w:rPr>
                <w:rFonts w:hint="eastAsia" w:ascii="Times New Roman" w:hAnsi="Times New Roman" w:eastAsia="宋体" w:cs="Times New Roman"/>
                <w:sz w:val="24"/>
              </w:rPr>
              <w:t>委托书</w:t>
            </w:r>
          </w:p>
          <w:p>
            <w:pPr>
              <w:spacing w:line="440" w:lineRule="exact"/>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2   《关于红寺堡区废弃矿山生态修复治理项目立项申请的批复》</w:t>
            </w:r>
          </w:p>
          <w:p>
            <w:pPr>
              <w:spacing w:line="440" w:lineRule="exact"/>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附件3    检测报告</w:t>
            </w:r>
          </w:p>
          <w:p>
            <w:pPr>
              <w:spacing w:line="440" w:lineRule="exact"/>
              <w:ind w:firstLine="480" w:firstLineChars="200"/>
              <w:rPr>
                <w:rFonts w:hint="eastAsia" w:ascii="Times New Roman" w:hAnsi="Times New Roman" w:eastAsia="宋体" w:cs="Times New Roman"/>
                <w:sz w:val="24"/>
              </w:rPr>
            </w:pPr>
          </w:p>
          <w:p>
            <w:pPr>
              <w:autoSpaceDE w:val="0"/>
              <w:autoSpaceDN w:val="0"/>
              <w:adjustRightInd w:val="0"/>
              <w:spacing w:line="360" w:lineRule="auto"/>
              <w:ind w:firstLine="481" w:firstLineChars="200"/>
              <w:jc w:val="left"/>
              <w:rPr>
                <w:kern w:val="0"/>
                <w:sz w:val="24"/>
              </w:rPr>
            </w:pPr>
            <w:r>
              <w:rPr>
                <w:rFonts w:ascii="Times New Roman" w:hAnsi="Times New Roman" w:eastAsia="宋体"/>
                <w:b/>
                <w:bCs/>
                <w:sz w:val="24"/>
              </w:rPr>
              <w:t>二、如果本报告表不能说明项目产生的污染及对环境造成的影响，应进行专项评价。根据建设项目的特点和当地环境牲，应选取下列1-2项进行专项评价</w:t>
            </w:r>
            <w:r>
              <w:rPr>
                <w:kern w:val="0"/>
                <w:sz w:val="24"/>
              </w:rPr>
              <w:t>。</w:t>
            </w:r>
          </w:p>
          <w:p>
            <w:pPr>
              <w:autoSpaceDE w:val="0"/>
              <w:autoSpaceDN w:val="0"/>
              <w:adjustRightInd w:val="0"/>
              <w:spacing w:line="360" w:lineRule="auto"/>
              <w:ind w:firstLine="480" w:firstLineChars="200"/>
              <w:jc w:val="left"/>
              <w:rPr>
                <w:kern w:val="0"/>
                <w:sz w:val="24"/>
              </w:rPr>
            </w:pPr>
            <w:r>
              <w:rPr>
                <w:kern w:val="0"/>
                <w:sz w:val="24"/>
              </w:rPr>
              <w:t>1</w:t>
            </w:r>
            <w:r>
              <w:rPr>
                <w:rFonts w:hint="eastAsia"/>
                <w:kern w:val="0"/>
                <w:sz w:val="24"/>
              </w:rPr>
              <w:t>、</w:t>
            </w:r>
            <w:r>
              <w:rPr>
                <w:kern w:val="0"/>
                <w:sz w:val="24"/>
              </w:rPr>
              <w:t>大气环境影响专项评价</w:t>
            </w:r>
          </w:p>
          <w:p>
            <w:pPr>
              <w:autoSpaceDE w:val="0"/>
              <w:autoSpaceDN w:val="0"/>
              <w:adjustRightInd w:val="0"/>
              <w:spacing w:line="360" w:lineRule="auto"/>
              <w:ind w:firstLine="480" w:firstLineChars="200"/>
              <w:jc w:val="left"/>
              <w:rPr>
                <w:kern w:val="0"/>
                <w:sz w:val="24"/>
              </w:rPr>
            </w:pPr>
            <w:r>
              <w:rPr>
                <w:kern w:val="0"/>
                <w:sz w:val="24"/>
              </w:rPr>
              <w:t>2</w:t>
            </w:r>
            <w:r>
              <w:rPr>
                <w:rFonts w:hint="eastAsia"/>
                <w:kern w:val="0"/>
                <w:sz w:val="24"/>
              </w:rPr>
              <w:t>、</w:t>
            </w:r>
            <w:r>
              <w:rPr>
                <w:kern w:val="0"/>
                <w:sz w:val="24"/>
              </w:rPr>
              <w:t>水环境影响专项评价(包括地表水和地下水)</w:t>
            </w:r>
          </w:p>
          <w:p>
            <w:pPr>
              <w:autoSpaceDE w:val="0"/>
              <w:autoSpaceDN w:val="0"/>
              <w:adjustRightInd w:val="0"/>
              <w:spacing w:line="360" w:lineRule="auto"/>
              <w:ind w:firstLine="480" w:firstLineChars="200"/>
              <w:jc w:val="left"/>
              <w:rPr>
                <w:kern w:val="0"/>
                <w:sz w:val="24"/>
              </w:rPr>
            </w:pPr>
            <w:r>
              <w:rPr>
                <w:kern w:val="0"/>
                <w:sz w:val="24"/>
              </w:rPr>
              <w:t>3</w:t>
            </w:r>
            <w:r>
              <w:rPr>
                <w:rFonts w:hint="eastAsia"/>
                <w:kern w:val="0"/>
                <w:sz w:val="24"/>
              </w:rPr>
              <w:t>、</w:t>
            </w:r>
            <w:r>
              <w:rPr>
                <w:kern w:val="0"/>
                <w:sz w:val="24"/>
              </w:rPr>
              <w:t>生态影响专项评价</w:t>
            </w:r>
          </w:p>
          <w:p>
            <w:pPr>
              <w:autoSpaceDE w:val="0"/>
              <w:autoSpaceDN w:val="0"/>
              <w:adjustRightInd w:val="0"/>
              <w:spacing w:line="360" w:lineRule="auto"/>
              <w:ind w:firstLine="480" w:firstLineChars="200"/>
              <w:jc w:val="left"/>
              <w:rPr>
                <w:kern w:val="0"/>
                <w:sz w:val="24"/>
              </w:rPr>
            </w:pPr>
            <w:r>
              <w:rPr>
                <w:kern w:val="0"/>
                <w:sz w:val="24"/>
              </w:rPr>
              <w:t>4</w:t>
            </w:r>
            <w:r>
              <w:rPr>
                <w:rFonts w:hint="eastAsia"/>
                <w:kern w:val="0"/>
                <w:sz w:val="24"/>
              </w:rPr>
              <w:t>、</w:t>
            </w:r>
            <w:r>
              <w:rPr>
                <w:kern w:val="0"/>
                <w:sz w:val="24"/>
              </w:rPr>
              <w:t>声影响专项评价</w:t>
            </w:r>
          </w:p>
          <w:p>
            <w:pPr>
              <w:autoSpaceDE w:val="0"/>
              <w:autoSpaceDN w:val="0"/>
              <w:adjustRightInd w:val="0"/>
              <w:spacing w:line="360" w:lineRule="auto"/>
              <w:ind w:firstLine="480" w:firstLineChars="200"/>
              <w:jc w:val="left"/>
              <w:rPr>
                <w:kern w:val="0"/>
                <w:sz w:val="24"/>
              </w:rPr>
            </w:pPr>
            <w:r>
              <w:rPr>
                <w:kern w:val="0"/>
                <w:sz w:val="24"/>
              </w:rPr>
              <w:t>5</w:t>
            </w:r>
            <w:r>
              <w:rPr>
                <w:rFonts w:hint="eastAsia"/>
                <w:kern w:val="0"/>
                <w:sz w:val="24"/>
              </w:rPr>
              <w:t>、</w:t>
            </w:r>
            <w:r>
              <w:rPr>
                <w:kern w:val="0"/>
                <w:sz w:val="24"/>
              </w:rPr>
              <w:t>土壤影响专项评价</w:t>
            </w:r>
          </w:p>
          <w:p>
            <w:pPr>
              <w:autoSpaceDE w:val="0"/>
              <w:autoSpaceDN w:val="0"/>
              <w:adjustRightInd w:val="0"/>
              <w:spacing w:line="360" w:lineRule="auto"/>
              <w:ind w:firstLine="480" w:firstLineChars="200"/>
              <w:jc w:val="left"/>
              <w:rPr>
                <w:kern w:val="0"/>
                <w:sz w:val="24"/>
              </w:rPr>
            </w:pPr>
            <w:r>
              <w:rPr>
                <w:kern w:val="0"/>
                <w:sz w:val="24"/>
              </w:rPr>
              <w:t>6</w:t>
            </w:r>
            <w:r>
              <w:rPr>
                <w:rFonts w:hint="eastAsia"/>
                <w:kern w:val="0"/>
                <w:sz w:val="24"/>
              </w:rPr>
              <w:t>、</w:t>
            </w:r>
            <w:r>
              <w:rPr>
                <w:kern w:val="0"/>
                <w:sz w:val="24"/>
              </w:rPr>
              <w:t>固体废物影响专项评价</w:t>
            </w:r>
          </w:p>
          <w:p>
            <w:pPr>
              <w:autoSpaceDE w:val="0"/>
              <w:autoSpaceDN w:val="0"/>
              <w:adjustRightInd w:val="0"/>
              <w:spacing w:line="360" w:lineRule="auto"/>
              <w:ind w:firstLine="480" w:firstLineChars="200"/>
              <w:jc w:val="left"/>
              <w:rPr>
                <w:kern w:val="0"/>
                <w:sz w:val="24"/>
              </w:rPr>
            </w:pPr>
            <w:r>
              <w:rPr>
                <w:kern w:val="0"/>
                <w:sz w:val="24"/>
              </w:rPr>
              <w:t>以上专项评价未包括的可另列专项，专项评价按照《环境影响评价技术导则》中的要求进行</w:t>
            </w:r>
          </w:p>
          <w:p>
            <w:pPr>
              <w:autoSpaceDE w:val="0"/>
              <w:autoSpaceDN w:val="0"/>
              <w:adjustRightInd w:val="0"/>
              <w:spacing w:line="360" w:lineRule="auto"/>
              <w:ind w:firstLine="480" w:firstLineChars="200"/>
              <w:jc w:val="left"/>
              <w:rPr>
                <w:kern w:val="0"/>
                <w:sz w:val="24"/>
              </w:rPr>
            </w:pPr>
          </w:p>
          <w:p>
            <w:pPr>
              <w:autoSpaceDE w:val="0"/>
              <w:autoSpaceDN w:val="0"/>
              <w:adjustRightInd w:val="0"/>
              <w:spacing w:line="360" w:lineRule="auto"/>
              <w:ind w:firstLine="480" w:firstLineChars="200"/>
              <w:jc w:val="left"/>
              <w:rPr>
                <w:kern w:val="0"/>
                <w:sz w:val="24"/>
              </w:rPr>
            </w:pPr>
          </w:p>
          <w:p>
            <w:pPr>
              <w:autoSpaceDE w:val="0"/>
              <w:autoSpaceDN w:val="0"/>
              <w:adjustRightInd w:val="0"/>
              <w:spacing w:line="360" w:lineRule="auto"/>
              <w:ind w:firstLine="480" w:firstLineChars="200"/>
              <w:jc w:val="left"/>
              <w:rPr>
                <w:kern w:val="0"/>
                <w:sz w:val="24"/>
              </w:rPr>
            </w:pPr>
          </w:p>
          <w:p>
            <w:pPr>
              <w:autoSpaceDE w:val="0"/>
              <w:autoSpaceDN w:val="0"/>
              <w:adjustRightInd w:val="0"/>
              <w:spacing w:line="360" w:lineRule="auto"/>
              <w:ind w:firstLine="480" w:firstLineChars="200"/>
              <w:jc w:val="left"/>
              <w:rPr>
                <w:kern w:val="0"/>
                <w:sz w:val="24"/>
              </w:rPr>
            </w:pPr>
          </w:p>
          <w:p>
            <w:pPr>
              <w:autoSpaceDE w:val="0"/>
              <w:autoSpaceDN w:val="0"/>
              <w:adjustRightInd w:val="0"/>
              <w:spacing w:line="360" w:lineRule="auto"/>
              <w:ind w:firstLine="480" w:firstLineChars="200"/>
              <w:jc w:val="left"/>
              <w:rPr>
                <w:kern w:val="0"/>
                <w:sz w:val="24"/>
              </w:rPr>
            </w:pPr>
          </w:p>
          <w:p>
            <w:pPr>
              <w:autoSpaceDE w:val="0"/>
              <w:autoSpaceDN w:val="0"/>
              <w:adjustRightInd w:val="0"/>
              <w:spacing w:line="360" w:lineRule="auto"/>
              <w:ind w:firstLine="480" w:firstLineChars="200"/>
              <w:jc w:val="left"/>
              <w:rPr>
                <w:kern w:val="0"/>
                <w:sz w:val="24"/>
              </w:rPr>
            </w:pPr>
          </w:p>
          <w:p>
            <w:pPr>
              <w:autoSpaceDE w:val="0"/>
              <w:autoSpaceDN w:val="0"/>
              <w:adjustRightInd w:val="0"/>
              <w:spacing w:line="360" w:lineRule="auto"/>
              <w:jc w:val="left"/>
              <w:rPr>
                <w:rFonts w:hint="eastAsia"/>
              </w:rPr>
            </w:pPr>
          </w:p>
        </w:tc>
      </w:tr>
    </w:tbl>
    <w:p>
      <w:pPr>
        <w:spacing w:before="156" w:beforeLines="50" w:after="156" w:afterLines="50"/>
        <w:jc w:val="center"/>
        <w:rPr>
          <w:rFonts w:ascii="黑体" w:hAnsi="黑体" w:eastAsia="黑体"/>
          <w:sz w:val="24"/>
          <w:szCs w:val="24"/>
        </w:rPr>
      </w:pPr>
      <w:r>
        <w:rPr>
          <w:rFonts w:hint="eastAsia" w:ascii="黑体" w:hAnsi="黑体" w:eastAsia="黑体"/>
          <w:sz w:val="24"/>
          <w:szCs w:val="24"/>
        </w:rPr>
        <w:t>建设项目大气环境影响评价自查表</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655"/>
        <w:gridCol w:w="839"/>
        <w:gridCol w:w="134"/>
        <w:gridCol w:w="666"/>
        <w:gridCol w:w="37"/>
        <w:gridCol w:w="61"/>
        <w:gridCol w:w="291"/>
        <w:gridCol w:w="89"/>
        <w:gridCol w:w="329"/>
        <w:gridCol w:w="60"/>
        <w:gridCol w:w="508"/>
        <w:gridCol w:w="338"/>
        <w:gridCol w:w="535"/>
        <w:gridCol w:w="96"/>
        <w:gridCol w:w="150"/>
        <w:gridCol w:w="278"/>
        <w:gridCol w:w="59"/>
        <w:gridCol w:w="559"/>
        <w:gridCol w:w="129"/>
        <w:gridCol w:w="655"/>
        <w:gridCol w:w="240"/>
        <w:gridCol w:w="6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580" w:type="dxa"/>
            <w:gridSpan w:val="2"/>
            <w:noWrap w:val="0"/>
            <w:vAlign w:val="center"/>
          </w:tcPr>
          <w:p>
            <w:pPr>
              <w:jc w:val="center"/>
              <w:rPr>
                <w:rFonts w:ascii="Times New Roman" w:hAnsi="Times New Roman"/>
                <w:szCs w:val="21"/>
              </w:rPr>
            </w:pPr>
            <w:r>
              <w:rPr>
                <w:rFonts w:ascii="Times New Roman"/>
                <w:szCs w:val="21"/>
              </w:rPr>
              <w:t>工作内容</w:t>
            </w:r>
          </w:p>
        </w:tc>
        <w:tc>
          <w:tcPr>
            <w:tcW w:w="6706" w:type="dxa"/>
            <w:gridSpan w:val="21"/>
            <w:noWrap w:val="0"/>
            <w:vAlign w:val="center"/>
          </w:tcPr>
          <w:p>
            <w:pPr>
              <w:jc w:val="center"/>
              <w:rPr>
                <w:rFonts w:ascii="Times New Roman" w:hAnsi="Times New Roman"/>
                <w:szCs w:val="21"/>
              </w:rPr>
            </w:pPr>
            <w:r>
              <w:rPr>
                <w:rFonts w:ascii="Times New Roman"/>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25" w:type="dxa"/>
            <w:vMerge w:val="restart"/>
            <w:noWrap w:val="0"/>
            <w:vAlign w:val="center"/>
          </w:tcPr>
          <w:p>
            <w:pPr>
              <w:jc w:val="center"/>
              <w:rPr>
                <w:rFonts w:ascii="Times New Roman" w:hAnsi="Times New Roman"/>
                <w:szCs w:val="21"/>
              </w:rPr>
            </w:pPr>
            <w:r>
              <w:rPr>
                <w:rFonts w:ascii="Times New Roman"/>
                <w:szCs w:val="21"/>
              </w:rPr>
              <w:t>评价等级与范围</w:t>
            </w:r>
          </w:p>
        </w:tc>
        <w:tc>
          <w:tcPr>
            <w:tcW w:w="1655" w:type="dxa"/>
            <w:noWrap w:val="0"/>
            <w:vAlign w:val="center"/>
          </w:tcPr>
          <w:p>
            <w:pPr>
              <w:jc w:val="center"/>
              <w:rPr>
                <w:rFonts w:ascii="Times New Roman" w:hAnsi="Times New Roman"/>
                <w:szCs w:val="21"/>
              </w:rPr>
            </w:pPr>
            <w:r>
              <w:rPr>
                <w:rFonts w:ascii="Times New Roman"/>
                <w:szCs w:val="21"/>
              </w:rPr>
              <w:t>评价等级</w:t>
            </w:r>
          </w:p>
        </w:tc>
        <w:tc>
          <w:tcPr>
            <w:tcW w:w="2117" w:type="dxa"/>
            <w:gridSpan w:val="7"/>
            <w:noWrap w:val="0"/>
            <w:vAlign w:val="center"/>
          </w:tcPr>
          <w:p>
            <w:pPr>
              <w:jc w:val="center"/>
              <w:rPr>
                <w:rFonts w:ascii="Times New Roman" w:hAnsi="Times New Roman"/>
                <w:szCs w:val="21"/>
              </w:rPr>
            </w:pPr>
            <w:r>
              <w:rPr>
                <w:rFonts w:ascii="Times New Roman"/>
                <w:szCs w:val="21"/>
              </w:rPr>
              <w:t>一级</w:t>
            </w:r>
            <w:r>
              <w:rPr>
                <w:rFonts w:hint="eastAsia" w:ascii="宋体" w:hAnsi="宋体"/>
                <w:szCs w:val="21"/>
              </w:rPr>
              <w:t>□</w:t>
            </w:r>
          </w:p>
        </w:tc>
        <w:tc>
          <w:tcPr>
            <w:tcW w:w="2912" w:type="dxa"/>
            <w:gridSpan w:val="10"/>
            <w:noWrap w:val="0"/>
            <w:vAlign w:val="center"/>
          </w:tcPr>
          <w:p>
            <w:pPr>
              <w:jc w:val="center"/>
              <w:rPr>
                <w:rFonts w:ascii="Times New Roman" w:hAnsi="Times New Roman"/>
                <w:szCs w:val="21"/>
              </w:rPr>
            </w:pPr>
            <w:r>
              <w:rPr>
                <w:rFonts w:ascii="Times New Roman"/>
                <w:szCs w:val="21"/>
              </w:rPr>
              <w:t>二级</w:t>
            </w:r>
            <w:r>
              <w:rPr>
                <w:rFonts w:hint="eastAsia" w:ascii="宋体" w:hAnsi="宋体"/>
                <w:szCs w:val="21"/>
              </w:rPr>
              <w:sym w:font="Wingdings 2" w:char="00A3"/>
            </w:r>
          </w:p>
        </w:tc>
        <w:tc>
          <w:tcPr>
            <w:tcW w:w="1677" w:type="dxa"/>
            <w:gridSpan w:val="4"/>
            <w:noWrap w:val="0"/>
            <w:vAlign w:val="center"/>
          </w:tcPr>
          <w:p>
            <w:pPr>
              <w:jc w:val="center"/>
              <w:rPr>
                <w:rFonts w:hint="eastAsia" w:ascii="Times New Roman" w:hAnsi="Times New Roman" w:eastAsia="宋体"/>
                <w:szCs w:val="21"/>
                <w:lang w:eastAsia="zh-CN"/>
              </w:rPr>
            </w:pPr>
            <w:r>
              <w:rPr>
                <w:rFonts w:ascii="Times New Roman"/>
                <w:szCs w:val="21"/>
              </w:rPr>
              <w:t>三级</w:t>
            </w:r>
            <w:r>
              <w:rPr>
                <w:rFonts w:hint="eastAsia" w:ascii="宋体" w:hAnsi="宋体"/>
                <w:szCs w:val="21"/>
                <w:lang w:eastAsia="zh-CN"/>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925" w:type="dxa"/>
            <w:vMerge w:val="continue"/>
            <w:noWrap w:val="0"/>
            <w:vAlign w:val="center"/>
          </w:tcPr>
          <w:p>
            <w:pPr>
              <w:jc w:val="center"/>
              <w:rPr>
                <w:rFonts w:ascii="Times New Roman" w:hAnsi="Times New Roman"/>
                <w:szCs w:val="21"/>
              </w:rPr>
            </w:pPr>
          </w:p>
        </w:tc>
        <w:tc>
          <w:tcPr>
            <w:tcW w:w="1655" w:type="dxa"/>
            <w:noWrap w:val="0"/>
            <w:vAlign w:val="center"/>
          </w:tcPr>
          <w:p>
            <w:pPr>
              <w:jc w:val="center"/>
              <w:rPr>
                <w:rFonts w:ascii="Times New Roman" w:hAnsi="Times New Roman"/>
                <w:szCs w:val="21"/>
              </w:rPr>
            </w:pPr>
            <w:r>
              <w:rPr>
                <w:rFonts w:ascii="Times New Roman"/>
                <w:szCs w:val="21"/>
              </w:rPr>
              <w:t>评价范围</w:t>
            </w:r>
          </w:p>
        </w:tc>
        <w:tc>
          <w:tcPr>
            <w:tcW w:w="2117" w:type="dxa"/>
            <w:gridSpan w:val="7"/>
            <w:noWrap w:val="0"/>
            <w:vAlign w:val="center"/>
          </w:tcPr>
          <w:p>
            <w:pPr>
              <w:jc w:val="center"/>
              <w:rPr>
                <w:rFonts w:ascii="Times New Roman" w:hAnsi="Times New Roman"/>
                <w:szCs w:val="21"/>
              </w:rPr>
            </w:pPr>
            <w:r>
              <w:rPr>
                <w:rFonts w:ascii="Times New Roman"/>
                <w:szCs w:val="21"/>
              </w:rPr>
              <w:t>边长</w:t>
            </w:r>
            <w:r>
              <w:rPr>
                <w:rFonts w:ascii="Times New Roman" w:hAnsi="Times New Roman"/>
                <w:szCs w:val="21"/>
              </w:rPr>
              <w:t>=50km</w:t>
            </w:r>
            <w:r>
              <w:rPr>
                <w:rFonts w:hint="eastAsia" w:ascii="宋体" w:hAnsi="宋体"/>
                <w:szCs w:val="21"/>
              </w:rPr>
              <w:t>□</w:t>
            </w:r>
          </w:p>
        </w:tc>
        <w:tc>
          <w:tcPr>
            <w:tcW w:w="2912" w:type="dxa"/>
            <w:gridSpan w:val="10"/>
            <w:noWrap w:val="0"/>
            <w:vAlign w:val="center"/>
          </w:tcPr>
          <w:p>
            <w:pPr>
              <w:jc w:val="center"/>
              <w:rPr>
                <w:rFonts w:ascii="Times New Roman" w:hAnsi="Times New Roman"/>
                <w:szCs w:val="21"/>
              </w:rPr>
            </w:pPr>
            <w:r>
              <w:rPr>
                <w:rFonts w:hint="eastAsia" w:ascii="Times New Roman" w:hAnsi="Times New Roman"/>
                <w:szCs w:val="21"/>
              </w:rPr>
              <w:t>边长5~15km</w:t>
            </w:r>
            <w:r>
              <w:rPr>
                <w:rFonts w:hint="eastAsia" w:ascii="宋体" w:hAnsi="宋体"/>
                <w:szCs w:val="21"/>
              </w:rPr>
              <w:t>□</w:t>
            </w:r>
          </w:p>
        </w:tc>
        <w:tc>
          <w:tcPr>
            <w:tcW w:w="1677" w:type="dxa"/>
            <w:gridSpan w:val="4"/>
            <w:noWrap w:val="0"/>
            <w:vAlign w:val="center"/>
          </w:tcPr>
          <w:p>
            <w:pPr>
              <w:jc w:val="center"/>
              <w:rPr>
                <w:rFonts w:hint="eastAsia" w:ascii="Times New Roman" w:hAnsi="Times New Roman" w:eastAsia="宋体"/>
                <w:szCs w:val="21"/>
                <w:lang w:eastAsia="zh-CN"/>
              </w:rPr>
            </w:pPr>
            <w:r>
              <w:rPr>
                <w:rFonts w:hint="eastAsia" w:ascii="Times New Roman" w:hAnsi="Times New Roman"/>
                <w:szCs w:val="21"/>
              </w:rPr>
              <w:t>边长=5km</w:t>
            </w:r>
            <w:r>
              <w:rPr>
                <w:rFonts w:hint="eastAsia" w:ascii="宋体" w:hAnsi="宋体"/>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restart"/>
            <w:noWrap w:val="0"/>
            <w:vAlign w:val="center"/>
          </w:tcPr>
          <w:p>
            <w:pPr>
              <w:jc w:val="center"/>
              <w:rPr>
                <w:rFonts w:ascii="Times New Roman" w:hAnsi="Times New Roman"/>
                <w:szCs w:val="21"/>
              </w:rPr>
            </w:pPr>
            <w:r>
              <w:rPr>
                <w:rFonts w:hint="eastAsia" w:ascii="Times New Roman" w:hAnsi="Times New Roman"/>
                <w:szCs w:val="21"/>
              </w:rPr>
              <w:t>评价因子</w:t>
            </w:r>
          </w:p>
        </w:tc>
        <w:tc>
          <w:tcPr>
            <w:tcW w:w="1655" w:type="dxa"/>
            <w:noWrap w:val="0"/>
            <w:vAlign w:val="center"/>
          </w:tcPr>
          <w:p>
            <w:pPr>
              <w:jc w:val="center"/>
              <w:rPr>
                <w:rFonts w:ascii="Times New Roman" w:hAnsi="Times New Roman"/>
                <w:szCs w:val="21"/>
              </w:rPr>
            </w:pPr>
            <w:r>
              <w:rPr>
                <w:rFonts w:hint="eastAsia" w:ascii="Times New Roman" w:hAnsi="Times New Roman"/>
                <w:szCs w:val="21"/>
              </w:rPr>
              <w:t>SO</w:t>
            </w:r>
            <w:r>
              <w:rPr>
                <w:rFonts w:hint="eastAsia" w:ascii="Times New Roman" w:hAnsi="Times New Roman"/>
                <w:szCs w:val="21"/>
                <w:vertAlign w:val="subscript"/>
              </w:rPr>
              <w:t>2</w:t>
            </w:r>
            <w:r>
              <w:rPr>
                <w:rFonts w:hint="eastAsia" w:ascii="Times New Roman" w:hAnsi="Times New Roman"/>
                <w:szCs w:val="21"/>
              </w:rPr>
              <w:t>+NO</w:t>
            </w:r>
            <w:r>
              <w:rPr>
                <w:rFonts w:hint="eastAsia" w:ascii="Times New Roman" w:hAnsi="Times New Roman"/>
                <w:szCs w:val="21"/>
                <w:vertAlign w:val="subscript"/>
              </w:rPr>
              <w:t>X</w:t>
            </w:r>
            <w:r>
              <w:rPr>
                <w:rFonts w:hint="eastAsia" w:ascii="Times New Roman" w:hAnsi="Times New Roman"/>
                <w:szCs w:val="21"/>
              </w:rPr>
              <w:t>排放量</w:t>
            </w:r>
          </w:p>
        </w:tc>
        <w:tc>
          <w:tcPr>
            <w:tcW w:w="839" w:type="dxa"/>
            <w:noWrap w:val="0"/>
            <w:vAlign w:val="center"/>
          </w:tcPr>
          <w:p>
            <w:pPr>
              <w:jc w:val="center"/>
              <w:rPr>
                <w:rFonts w:ascii="Times New Roman" w:hAnsi="Times New Roman"/>
                <w:szCs w:val="21"/>
              </w:rPr>
            </w:pPr>
            <w:r>
              <w:rPr>
                <w:rFonts w:hint="eastAsia" w:ascii="宋体" w:hAnsi="宋体"/>
                <w:szCs w:val="21"/>
              </w:rPr>
              <w:t>≥</w:t>
            </w:r>
            <w:r>
              <w:rPr>
                <w:rFonts w:hint="eastAsia" w:ascii="Times New Roman" w:hAnsi="Times New Roman"/>
                <w:szCs w:val="21"/>
              </w:rPr>
              <w:t>2000t/a</w:t>
            </w:r>
            <w:r>
              <w:rPr>
                <w:rFonts w:hint="eastAsia" w:ascii="宋体" w:hAnsi="宋体"/>
                <w:szCs w:val="21"/>
              </w:rPr>
              <w:t>□</w:t>
            </w:r>
          </w:p>
        </w:tc>
        <w:tc>
          <w:tcPr>
            <w:tcW w:w="4190" w:type="dxa"/>
            <w:gridSpan w:val="16"/>
            <w:noWrap w:val="0"/>
            <w:vAlign w:val="center"/>
          </w:tcPr>
          <w:p>
            <w:pPr>
              <w:jc w:val="center"/>
              <w:rPr>
                <w:rFonts w:ascii="Times New Roman" w:hAnsi="Times New Roman"/>
                <w:szCs w:val="21"/>
              </w:rPr>
            </w:pPr>
            <w:r>
              <w:rPr>
                <w:rFonts w:hint="eastAsia" w:ascii="Times New Roman" w:hAnsi="Times New Roman"/>
                <w:szCs w:val="21"/>
              </w:rPr>
              <w:t>500~2000t/a</w:t>
            </w:r>
            <w:r>
              <w:rPr>
                <w:rFonts w:hint="eastAsia" w:ascii="宋体" w:hAnsi="宋体"/>
                <w:szCs w:val="21"/>
              </w:rPr>
              <w:t>□</w:t>
            </w:r>
          </w:p>
        </w:tc>
        <w:tc>
          <w:tcPr>
            <w:tcW w:w="1677" w:type="dxa"/>
            <w:gridSpan w:val="4"/>
            <w:noWrap w:val="0"/>
            <w:vAlign w:val="center"/>
          </w:tcPr>
          <w:p>
            <w:pPr>
              <w:jc w:val="center"/>
              <w:rPr>
                <w:rFonts w:ascii="Times New Roman" w:hAnsi="Times New Roman"/>
                <w:szCs w:val="21"/>
              </w:rPr>
            </w:pPr>
            <w:r>
              <w:rPr>
                <w:rFonts w:hint="eastAsia" w:ascii="宋体" w:hAnsi="宋体"/>
                <w:szCs w:val="21"/>
              </w:rPr>
              <w:t>&lt;</w:t>
            </w:r>
            <w:r>
              <w:rPr>
                <w:rFonts w:hint="eastAsia" w:ascii="Times New Roman" w:hAnsi="Times New Roman"/>
                <w:szCs w:val="21"/>
              </w:rPr>
              <w:t>500t/a</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925" w:type="dxa"/>
            <w:vMerge w:val="continue"/>
            <w:noWrap w:val="0"/>
            <w:vAlign w:val="center"/>
          </w:tcPr>
          <w:p>
            <w:pPr>
              <w:jc w:val="center"/>
              <w:rPr>
                <w:rFonts w:ascii="Times New Roman" w:hAnsi="Times New Roman"/>
                <w:szCs w:val="21"/>
              </w:rPr>
            </w:pPr>
          </w:p>
        </w:tc>
        <w:tc>
          <w:tcPr>
            <w:tcW w:w="1655" w:type="dxa"/>
            <w:noWrap w:val="0"/>
            <w:vAlign w:val="center"/>
          </w:tcPr>
          <w:p>
            <w:pPr>
              <w:jc w:val="center"/>
              <w:rPr>
                <w:rFonts w:ascii="Times New Roman" w:hAnsi="Times New Roman"/>
                <w:szCs w:val="21"/>
              </w:rPr>
            </w:pPr>
            <w:r>
              <w:rPr>
                <w:rFonts w:hint="eastAsia" w:ascii="Times New Roman" w:hAnsi="Times New Roman"/>
                <w:szCs w:val="21"/>
              </w:rPr>
              <w:t>评价因子</w:t>
            </w:r>
          </w:p>
        </w:tc>
        <w:tc>
          <w:tcPr>
            <w:tcW w:w="3887" w:type="dxa"/>
            <w:gridSpan w:val="12"/>
            <w:noWrap w:val="0"/>
            <w:vAlign w:val="center"/>
          </w:tcPr>
          <w:p>
            <w:pPr>
              <w:jc w:val="center"/>
              <w:rPr>
                <w:rFonts w:hint="eastAsia" w:ascii="Times New Roman" w:hAnsi="Times New Roman"/>
                <w:szCs w:val="21"/>
              </w:rPr>
            </w:pPr>
            <w:r>
              <w:rPr>
                <w:rFonts w:hint="eastAsia" w:ascii="Times New Roman" w:hAnsi="Times New Roman"/>
                <w:szCs w:val="21"/>
              </w:rPr>
              <w:t xml:space="preserve">基本污染物（    </w:t>
            </w:r>
            <w:r>
              <w:rPr>
                <w:rFonts w:hint="eastAsia"/>
                <w:szCs w:val="21"/>
                <w:lang w:val="en-US" w:eastAsia="zh-CN"/>
              </w:rPr>
              <w:t>TSP</w:t>
            </w:r>
            <w:r>
              <w:rPr>
                <w:rFonts w:hint="eastAsia" w:ascii="Times New Roman" w:hAnsi="Times New Roman"/>
                <w:szCs w:val="21"/>
              </w:rPr>
              <w:t xml:space="preserve">  ）</w:t>
            </w:r>
          </w:p>
          <w:p>
            <w:pPr>
              <w:jc w:val="center"/>
              <w:rPr>
                <w:rFonts w:ascii="Times New Roman" w:hAnsi="Times New Roman"/>
                <w:szCs w:val="21"/>
              </w:rPr>
            </w:pPr>
            <w:r>
              <w:rPr>
                <w:rFonts w:hint="eastAsia" w:ascii="Times New Roman" w:hAnsi="Times New Roman"/>
                <w:szCs w:val="21"/>
              </w:rPr>
              <w:t>其他污染物（          ）</w:t>
            </w:r>
          </w:p>
        </w:tc>
        <w:tc>
          <w:tcPr>
            <w:tcW w:w="2819" w:type="dxa"/>
            <w:gridSpan w:val="9"/>
            <w:noWrap w:val="0"/>
            <w:vAlign w:val="center"/>
          </w:tcPr>
          <w:p>
            <w:pPr>
              <w:jc w:val="center"/>
              <w:rPr>
                <w:rFonts w:hint="eastAsia" w:ascii="Times New Roman" w:hAnsi="Times New Roman"/>
                <w:szCs w:val="21"/>
              </w:rPr>
            </w:pPr>
            <w:r>
              <w:rPr>
                <w:rFonts w:hint="eastAsia" w:ascii="Times New Roman" w:hAnsi="Times New Roman"/>
                <w:szCs w:val="21"/>
              </w:rPr>
              <w:t xml:space="preserve">  包括二次PM</w:t>
            </w:r>
            <w:r>
              <w:rPr>
                <w:rFonts w:hint="eastAsia" w:ascii="Times New Roman" w:hAnsi="Times New Roman"/>
                <w:szCs w:val="21"/>
                <w:vertAlign w:val="subscript"/>
              </w:rPr>
              <w:t>2.5</w:t>
            </w:r>
            <w:r>
              <w:rPr>
                <w:rFonts w:hint="eastAsia" w:ascii="宋体" w:hAnsi="宋体"/>
                <w:szCs w:val="21"/>
              </w:rPr>
              <w:t>□</w:t>
            </w:r>
          </w:p>
          <w:p>
            <w:pPr>
              <w:jc w:val="center"/>
              <w:rPr>
                <w:rFonts w:ascii="Times New Roman" w:hAnsi="Times New Roman"/>
                <w:szCs w:val="21"/>
              </w:rPr>
            </w:pPr>
            <w:r>
              <w:rPr>
                <w:rFonts w:hint="eastAsia" w:ascii="Times New Roman" w:hAnsi="Times New Roman"/>
                <w:szCs w:val="21"/>
              </w:rPr>
              <w:t>不包括二次PM</w:t>
            </w:r>
            <w:r>
              <w:rPr>
                <w:rFonts w:hint="eastAsia" w:ascii="Times New Roman" w:hAnsi="Times New Roman"/>
                <w:szCs w:val="21"/>
                <w:vertAlign w:val="subscript"/>
              </w:rPr>
              <w:t>2.5</w:t>
            </w:r>
            <w:r>
              <w:rPr>
                <w:rFonts w:hint="eastAsia" w:ascii="宋体" w:hAnsi="宋体"/>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925" w:type="dxa"/>
            <w:noWrap w:val="0"/>
            <w:vAlign w:val="center"/>
          </w:tcPr>
          <w:p>
            <w:pPr>
              <w:jc w:val="center"/>
              <w:rPr>
                <w:rFonts w:ascii="Times New Roman" w:hAnsi="Times New Roman"/>
                <w:szCs w:val="21"/>
              </w:rPr>
            </w:pPr>
            <w:r>
              <w:rPr>
                <w:rFonts w:hint="eastAsia" w:ascii="Times New Roman" w:hAnsi="Times New Roman"/>
                <w:szCs w:val="21"/>
              </w:rPr>
              <w:t>评价标准</w:t>
            </w:r>
          </w:p>
        </w:tc>
        <w:tc>
          <w:tcPr>
            <w:tcW w:w="1655" w:type="dxa"/>
            <w:noWrap w:val="0"/>
            <w:vAlign w:val="center"/>
          </w:tcPr>
          <w:p>
            <w:pPr>
              <w:jc w:val="center"/>
              <w:rPr>
                <w:rFonts w:ascii="Times New Roman" w:hAnsi="Times New Roman"/>
                <w:szCs w:val="21"/>
              </w:rPr>
            </w:pPr>
            <w:r>
              <w:rPr>
                <w:rFonts w:hint="eastAsia" w:ascii="Times New Roman" w:hAnsi="Times New Roman"/>
                <w:szCs w:val="21"/>
              </w:rPr>
              <w:t>评价标准</w:t>
            </w:r>
          </w:p>
        </w:tc>
        <w:tc>
          <w:tcPr>
            <w:tcW w:w="1639" w:type="dxa"/>
            <w:gridSpan w:val="3"/>
            <w:noWrap w:val="0"/>
            <w:vAlign w:val="center"/>
          </w:tcPr>
          <w:p>
            <w:pPr>
              <w:jc w:val="center"/>
              <w:rPr>
                <w:rFonts w:hint="eastAsia" w:ascii="Times New Roman" w:hAnsi="Times New Roman" w:eastAsia="宋体"/>
                <w:szCs w:val="21"/>
                <w:lang w:eastAsia="zh-CN"/>
              </w:rPr>
            </w:pPr>
            <w:r>
              <w:rPr>
                <w:rFonts w:hint="eastAsia" w:ascii="Times New Roman" w:hAnsi="Times New Roman"/>
                <w:szCs w:val="21"/>
              </w:rPr>
              <w:t>国家标准</w:t>
            </w:r>
            <w:r>
              <w:rPr>
                <w:rFonts w:hint="eastAsia" w:ascii="宋体" w:hAnsi="宋体"/>
                <w:szCs w:val="21"/>
                <w:lang w:eastAsia="zh-CN"/>
              </w:rPr>
              <w:t>☑</w:t>
            </w:r>
          </w:p>
        </w:tc>
        <w:tc>
          <w:tcPr>
            <w:tcW w:w="2248" w:type="dxa"/>
            <w:gridSpan w:val="9"/>
            <w:noWrap w:val="0"/>
            <w:vAlign w:val="center"/>
          </w:tcPr>
          <w:p>
            <w:pPr>
              <w:jc w:val="center"/>
              <w:rPr>
                <w:rFonts w:ascii="Times New Roman" w:hAnsi="Times New Roman"/>
                <w:szCs w:val="21"/>
              </w:rPr>
            </w:pPr>
            <w:r>
              <w:rPr>
                <w:rFonts w:hint="eastAsia" w:ascii="Times New Roman" w:hAnsi="Times New Roman"/>
                <w:szCs w:val="21"/>
              </w:rPr>
              <w:t>地方标准</w:t>
            </w:r>
            <w:r>
              <w:rPr>
                <w:rFonts w:hint="eastAsia" w:ascii="宋体" w:hAnsi="宋体"/>
                <w:szCs w:val="21"/>
              </w:rPr>
              <w:t>□</w:t>
            </w:r>
          </w:p>
        </w:tc>
        <w:tc>
          <w:tcPr>
            <w:tcW w:w="1142" w:type="dxa"/>
            <w:gridSpan w:val="5"/>
            <w:noWrap w:val="0"/>
            <w:vAlign w:val="center"/>
          </w:tcPr>
          <w:p>
            <w:pPr>
              <w:jc w:val="center"/>
              <w:rPr>
                <w:rFonts w:ascii="Times New Roman" w:hAnsi="Times New Roman"/>
                <w:szCs w:val="21"/>
              </w:rPr>
            </w:pPr>
            <w:r>
              <w:rPr>
                <w:rFonts w:hint="eastAsia" w:ascii="Times New Roman" w:hAnsi="Times New Roman"/>
                <w:szCs w:val="21"/>
              </w:rPr>
              <w:t>附录D</w:t>
            </w:r>
            <w:r>
              <w:rPr>
                <w:rFonts w:hint="eastAsia" w:ascii="宋体" w:hAnsi="宋体"/>
                <w:szCs w:val="21"/>
              </w:rPr>
              <w:t>□</w:t>
            </w:r>
          </w:p>
        </w:tc>
        <w:tc>
          <w:tcPr>
            <w:tcW w:w="1677" w:type="dxa"/>
            <w:gridSpan w:val="4"/>
            <w:noWrap w:val="0"/>
            <w:vAlign w:val="center"/>
          </w:tcPr>
          <w:p>
            <w:pPr>
              <w:jc w:val="center"/>
              <w:rPr>
                <w:rFonts w:ascii="Times New Roman" w:hAnsi="Times New Roman"/>
                <w:szCs w:val="21"/>
              </w:rPr>
            </w:pPr>
            <w:r>
              <w:rPr>
                <w:rFonts w:hint="eastAsia" w:ascii="Times New Roman" w:hAnsi="Times New Roman"/>
                <w:szCs w:val="21"/>
              </w:rPr>
              <w:t>其他标准</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restart"/>
            <w:noWrap w:val="0"/>
            <w:vAlign w:val="center"/>
          </w:tcPr>
          <w:p>
            <w:pPr>
              <w:jc w:val="center"/>
              <w:rPr>
                <w:rFonts w:ascii="Times New Roman" w:hAnsi="Times New Roman"/>
                <w:szCs w:val="21"/>
              </w:rPr>
            </w:pPr>
            <w:r>
              <w:rPr>
                <w:rFonts w:hint="eastAsia" w:ascii="Times New Roman" w:hAnsi="Times New Roman"/>
                <w:szCs w:val="21"/>
              </w:rPr>
              <w:t>现状评价</w:t>
            </w:r>
          </w:p>
        </w:tc>
        <w:tc>
          <w:tcPr>
            <w:tcW w:w="1655" w:type="dxa"/>
            <w:noWrap w:val="0"/>
            <w:vAlign w:val="center"/>
          </w:tcPr>
          <w:p>
            <w:pPr>
              <w:jc w:val="center"/>
              <w:rPr>
                <w:rFonts w:ascii="Times New Roman" w:hAnsi="Times New Roman"/>
                <w:szCs w:val="21"/>
              </w:rPr>
            </w:pPr>
            <w:r>
              <w:rPr>
                <w:rFonts w:hint="eastAsia" w:ascii="Times New Roman" w:hAnsi="Times New Roman"/>
                <w:szCs w:val="21"/>
              </w:rPr>
              <w:t>环境功能区</w:t>
            </w:r>
          </w:p>
        </w:tc>
        <w:tc>
          <w:tcPr>
            <w:tcW w:w="2117" w:type="dxa"/>
            <w:gridSpan w:val="7"/>
            <w:noWrap w:val="0"/>
            <w:vAlign w:val="center"/>
          </w:tcPr>
          <w:p>
            <w:pPr>
              <w:jc w:val="center"/>
              <w:rPr>
                <w:rFonts w:ascii="Times New Roman" w:hAnsi="Times New Roman"/>
                <w:szCs w:val="21"/>
              </w:rPr>
            </w:pPr>
            <w:r>
              <w:rPr>
                <w:rFonts w:hint="eastAsia" w:ascii="Times New Roman" w:hAnsi="Times New Roman"/>
                <w:szCs w:val="21"/>
              </w:rPr>
              <w:t>一类区</w:t>
            </w:r>
            <w:r>
              <w:rPr>
                <w:rFonts w:hint="eastAsia" w:ascii="宋体" w:hAnsi="宋体"/>
                <w:szCs w:val="21"/>
              </w:rPr>
              <w:t>□</w:t>
            </w:r>
          </w:p>
        </w:tc>
        <w:tc>
          <w:tcPr>
            <w:tcW w:w="2294" w:type="dxa"/>
            <w:gridSpan w:val="8"/>
            <w:noWrap w:val="0"/>
            <w:vAlign w:val="center"/>
          </w:tcPr>
          <w:p>
            <w:pPr>
              <w:jc w:val="center"/>
              <w:rPr>
                <w:rFonts w:hint="eastAsia" w:ascii="Times New Roman" w:hAnsi="Times New Roman" w:eastAsia="宋体"/>
                <w:szCs w:val="21"/>
                <w:lang w:eastAsia="zh-CN"/>
              </w:rPr>
            </w:pPr>
            <w:r>
              <w:rPr>
                <w:rFonts w:hint="eastAsia" w:ascii="Times New Roman" w:hAnsi="Times New Roman"/>
                <w:szCs w:val="21"/>
              </w:rPr>
              <w:t>二类区</w:t>
            </w:r>
            <w:r>
              <w:rPr>
                <w:rFonts w:hint="eastAsia" w:ascii="宋体" w:hAnsi="宋体"/>
                <w:szCs w:val="21"/>
                <w:lang w:eastAsia="zh-CN"/>
              </w:rPr>
              <w:t>☑</w:t>
            </w:r>
          </w:p>
        </w:tc>
        <w:tc>
          <w:tcPr>
            <w:tcW w:w="2295" w:type="dxa"/>
            <w:gridSpan w:val="6"/>
            <w:noWrap w:val="0"/>
            <w:vAlign w:val="center"/>
          </w:tcPr>
          <w:p>
            <w:pPr>
              <w:jc w:val="center"/>
              <w:rPr>
                <w:rFonts w:ascii="Times New Roman" w:hAnsi="Times New Roman"/>
                <w:szCs w:val="21"/>
              </w:rPr>
            </w:pPr>
            <w:r>
              <w:rPr>
                <w:rFonts w:hint="eastAsia" w:ascii="Times New Roman" w:hAnsi="Times New Roman"/>
                <w:szCs w:val="21"/>
              </w:rPr>
              <w:t>一类区和二类区</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continue"/>
            <w:noWrap w:val="0"/>
            <w:vAlign w:val="center"/>
          </w:tcPr>
          <w:p>
            <w:pPr>
              <w:jc w:val="center"/>
              <w:rPr>
                <w:rFonts w:ascii="Times New Roman" w:hAnsi="Times New Roman"/>
                <w:szCs w:val="21"/>
              </w:rPr>
            </w:pPr>
          </w:p>
        </w:tc>
        <w:tc>
          <w:tcPr>
            <w:tcW w:w="1655" w:type="dxa"/>
            <w:noWrap w:val="0"/>
            <w:vAlign w:val="center"/>
          </w:tcPr>
          <w:p>
            <w:pPr>
              <w:jc w:val="center"/>
              <w:rPr>
                <w:rFonts w:ascii="Times New Roman" w:hAnsi="Times New Roman"/>
                <w:szCs w:val="21"/>
              </w:rPr>
            </w:pPr>
            <w:r>
              <w:rPr>
                <w:rFonts w:hint="eastAsia" w:ascii="Times New Roman" w:hAnsi="Times New Roman"/>
                <w:szCs w:val="21"/>
              </w:rPr>
              <w:t>评价基准年</w:t>
            </w:r>
          </w:p>
        </w:tc>
        <w:tc>
          <w:tcPr>
            <w:tcW w:w="6706" w:type="dxa"/>
            <w:gridSpan w:val="21"/>
            <w:noWrap w:val="0"/>
            <w:vAlign w:val="center"/>
          </w:tcPr>
          <w:p>
            <w:pPr>
              <w:jc w:val="center"/>
              <w:rPr>
                <w:rFonts w:ascii="Times New Roman" w:hAnsi="Times New Roman"/>
                <w:szCs w:val="21"/>
              </w:rPr>
            </w:pPr>
            <w:r>
              <w:rPr>
                <w:rFonts w:hint="eastAsia" w:ascii="Times New Roman" w:hAnsi="Times New Roman"/>
                <w:szCs w:val="21"/>
              </w:rPr>
              <w:t>（</w:t>
            </w:r>
            <w:r>
              <w:rPr>
                <w:rFonts w:hint="eastAsia" w:ascii="Times New Roman" w:hAnsi="Times New Roman"/>
                <w:szCs w:val="21"/>
                <w:lang w:val="en-US" w:eastAsia="zh-CN"/>
              </w:rPr>
              <w:t>2017</w:t>
            </w:r>
            <w:r>
              <w:rPr>
                <w:rFonts w:hint="eastAsia" w:ascii="Times New Roman" w:hAnsi="Times New Roman"/>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continue"/>
            <w:noWrap w:val="0"/>
            <w:vAlign w:val="center"/>
          </w:tcPr>
          <w:p>
            <w:pPr>
              <w:jc w:val="center"/>
              <w:rPr>
                <w:rFonts w:ascii="Times New Roman" w:hAnsi="Times New Roman"/>
                <w:szCs w:val="21"/>
              </w:rPr>
            </w:pPr>
          </w:p>
        </w:tc>
        <w:tc>
          <w:tcPr>
            <w:tcW w:w="1655" w:type="dxa"/>
            <w:noWrap w:val="0"/>
            <w:vAlign w:val="center"/>
          </w:tcPr>
          <w:p>
            <w:pPr>
              <w:jc w:val="center"/>
              <w:rPr>
                <w:rFonts w:hint="eastAsia" w:ascii="Times New Roman" w:hAnsi="Times New Roman"/>
                <w:szCs w:val="21"/>
              </w:rPr>
            </w:pPr>
            <w:r>
              <w:rPr>
                <w:rFonts w:hint="eastAsia" w:ascii="Times New Roman" w:hAnsi="Times New Roman"/>
                <w:szCs w:val="21"/>
              </w:rPr>
              <w:t>环境空气质量</w:t>
            </w:r>
          </w:p>
          <w:p>
            <w:pPr>
              <w:jc w:val="center"/>
              <w:rPr>
                <w:rFonts w:ascii="Times New Roman" w:hAnsi="Times New Roman"/>
                <w:szCs w:val="21"/>
              </w:rPr>
            </w:pPr>
            <w:r>
              <w:rPr>
                <w:rFonts w:hint="eastAsia" w:ascii="Times New Roman" w:hAnsi="Times New Roman"/>
                <w:szCs w:val="21"/>
              </w:rPr>
              <w:t>现状调查数据来源</w:t>
            </w:r>
          </w:p>
        </w:tc>
        <w:tc>
          <w:tcPr>
            <w:tcW w:w="2117" w:type="dxa"/>
            <w:gridSpan w:val="7"/>
            <w:noWrap w:val="0"/>
            <w:vAlign w:val="center"/>
          </w:tcPr>
          <w:p>
            <w:pPr>
              <w:jc w:val="center"/>
              <w:rPr>
                <w:rFonts w:hint="eastAsia" w:ascii="Times New Roman" w:hAnsi="Times New Roman" w:eastAsia="宋体"/>
                <w:szCs w:val="21"/>
                <w:lang w:eastAsia="zh-CN"/>
              </w:rPr>
            </w:pPr>
            <w:r>
              <w:rPr>
                <w:rFonts w:hint="eastAsia" w:ascii="Times New Roman" w:hAnsi="Times New Roman"/>
                <w:szCs w:val="21"/>
              </w:rPr>
              <w:t>长期例行监测数据</w:t>
            </w:r>
            <w:r>
              <w:rPr>
                <w:rFonts w:hint="eastAsia" w:ascii="宋体" w:hAnsi="宋体"/>
                <w:szCs w:val="21"/>
                <w:lang w:eastAsia="zh-CN"/>
              </w:rPr>
              <w:t>☑</w:t>
            </w:r>
          </w:p>
        </w:tc>
        <w:tc>
          <w:tcPr>
            <w:tcW w:w="2912" w:type="dxa"/>
            <w:gridSpan w:val="10"/>
            <w:noWrap w:val="0"/>
            <w:vAlign w:val="center"/>
          </w:tcPr>
          <w:p>
            <w:pPr>
              <w:jc w:val="center"/>
              <w:rPr>
                <w:rFonts w:ascii="Times New Roman" w:hAnsi="Times New Roman"/>
                <w:szCs w:val="21"/>
              </w:rPr>
            </w:pPr>
            <w:r>
              <w:rPr>
                <w:rFonts w:hint="eastAsia" w:ascii="Times New Roman" w:hAnsi="Times New Roman"/>
                <w:szCs w:val="21"/>
              </w:rPr>
              <w:t>主管部门发布的数据</w:t>
            </w:r>
            <w:r>
              <w:rPr>
                <w:rFonts w:hint="eastAsia" w:ascii="宋体" w:hAnsi="宋体"/>
                <w:szCs w:val="21"/>
              </w:rPr>
              <w:t>□</w:t>
            </w:r>
          </w:p>
        </w:tc>
        <w:tc>
          <w:tcPr>
            <w:tcW w:w="1677" w:type="dxa"/>
            <w:gridSpan w:val="4"/>
            <w:noWrap w:val="0"/>
            <w:vAlign w:val="center"/>
          </w:tcPr>
          <w:p>
            <w:pPr>
              <w:jc w:val="center"/>
              <w:rPr>
                <w:rFonts w:ascii="Times New Roman" w:hAnsi="Times New Roman"/>
                <w:szCs w:val="21"/>
              </w:rPr>
            </w:pPr>
            <w:r>
              <w:rPr>
                <w:rFonts w:hint="eastAsia" w:ascii="Times New Roman" w:hAnsi="Times New Roman"/>
                <w:szCs w:val="21"/>
              </w:rPr>
              <w:t>现状补充监测</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continue"/>
            <w:noWrap w:val="0"/>
            <w:vAlign w:val="center"/>
          </w:tcPr>
          <w:p>
            <w:pPr>
              <w:jc w:val="center"/>
              <w:rPr>
                <w:rFonts w:ascii="Times New Roman" w:hAnsi="Times New Roman"/>
                <w:szCs w:val="21"/>
              </w:rPr>
            </w:pPr>
          </w:p>
        </w:tc>
        <w:tc>
          <w:tcPr>
            <w:tcW w:w="1655" w:type="dxa"/>
            <w:noWrap w:val="0"/>
            <w:vAlign w:val="center"/>
          </w:tcPr>
          <w:p>
            <w:pPr>
              <w:jc w:val="center"/>
              <w:rPr>
                <w:rFonts w:ascii="Times New Roman" w:hAnsi="Times New Roman"/>
                <w:szCs w:val="21"/>
              </w:rPr>
            </w:pPr>
            <w:r>
              <w:rPr>
                <w:rFonts w:hint="eastAsia" w:ascii="Times New Roman" w:hAnsi="Times New Roman"/>
                <w:szCs w:val="21"/>
              </w:rPr>
              <w:t>现状评价</w:t>
            </w:r>
          </w:p>
        </w:tc>
        <w:tc>
          <w:tcPr>
            <w:tcW w:w="3983" w:type="dxa"/>
            <w:gridSpan w:val="13"/>
            <w:noWrap w:val="0"/>
            <w:vAlign w:val="center"/>
          </w:tcPr>
          <w:p>
            <w:pPr>
              <w:jc w:val="center"/>
              <w:rPr>
                <w:rFonts w:ascii="Times New Roman" w:hAnsi="Times New Roman"/>
                <w:szCs w:val="21"/>
              </w:rPr>
            </w:pPr>
            <w:r>
              <w:rPr>
                <w:rFonts w:hint="eastAsia" w:ascii="Times New Roman" w:hAnsi="Times New Roman"/>
                <w:szCs w:val="21"/>
              </w:rPr>
              <w:t>达标区</w:t>
            </w:r>
            <w:r>
              <w:rPr>
                <w:rFonts w:hint="eastAsia" w:ascii="宋体" w:hAnsi="宋体"/>
                <w:szCs w:val="21"/>
              </w:rPr>
              <w:sym w:font="Wingdings 2" w:char="0052"/>
            </w:r>
          </w:p>
        </w:tc>
        <w:tc>
          <w:tcPr>
            <w:tcW w:w="2723" w:type="dxa"/>
            <w:gridSpan w:val="8"/>
            <w:noWrap w:val="0"/>
            <w:vAlign w:val="center"/>
          </w:tcPr>
          <w:p>
            <w:pPr>
              <w:jc w:val="center"/>
              <w:rPr>
                <w:rFonts w:hint="eastAsia" w:ascii="Times New Roman" w:hAnsi="Times New Roman" w:eastAsia="宋体"/>
                <w:szCs w:val="21"/>
                <w:lang w:eastAsia="zh-CN"/>
              </w:rPr>
            </w:pPr>
            <w:r>
              <w:rPr>
                <w:rFonts w:hint="eastAsia" w:ascii="Times New Roman" w:hAnsi="Times New Roman"/>
                <w:szCs w:val="21"/>
              </w:rPr>
              <w:t>不达标区</w:t>
            </w:r>
            <w:r>
              <w:rPr>
                <w:rFonts w:hint="eastAsia" w:ascii="宋体" w:hAnsi="宋体"/>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noWrap w:val="0"/>
            <w:vAlign w:val="center"/>
          </w:tcPr>
          <w:p>
            <w:pPr>
              <w:jc w:val="center"/>
              <w:rPr>
                <w:rFonts w:hint="eastAsia" w:ascii="Times New Roman" w:hAnsi="Times New Roman"/>
                <w:szCs w:val="21"/>
              </w:rPr>
            </w:pPr>
            <w:r>
              <w:rPr>
                <w:rFonts w:hint="eastAsia" w:ascii="Times New Roman" w:hAnsi="Times New Roman"/>
                <w:szCs w:val="21"/>
              </w:rPr>
              <w:t>污染源</w:t>
            </w:r>
          </w:p>
          <w:p>
            <w:pPr>
              <w:jc w:val="center"/>
              <w:rPr>
                <w:rFonts w:ascii="Times New Roman" w:hAnsi="Times New Roman"/>
                <w:szCs w:val="21"/>
              </w:rPr>
            </w:pPr>
            <w:r>
              <w:rPr>
                <w:rFonts w:hint="eastAsia" w:ascii="Times New Roman" w:hAnsi="Times New Roman"/>
                <w:szCs w:val="21"/>
              </w:rPr>
              <w:t>调查</w:t>
            </w:r>
          </w:p>
        </w:tc>
        <w:tc>
          <w:tcPr>
            <w:tcW w:w="1655" w:type="dxa"/>
            <w:noWrap w:val="0"/>
            <w:vAlign w:val="center"/>
          </w:tcPr>
          <w:p>
            <w:pPr>
              <w:jc w:val="center"/>
              <w:rPr>
                <w:rFonts w:ascii="Times New Roman" w:hAnsi="Times New Roman"/>
                <w:szCs w:val="21"/>
              </w:rPr>
            </w:pPr>
            <w:r>
              <w:rPr>
                <w:rFonts w:hint="eastAsia" w:ascii="Times New Roman" w:hAnsi="Times New Roman"/>
                <w:szCs w:val="21"/>
              </w:rPr>
              <w:t>调查内容</w:t>
            </w:r>
          </w:p>
        </w:tc>
        <w:tc>
          <w:tcPr>
            <w:tcW w:w="2446" w:type="dxa"/>
            <w:gridSpan w:val="8"/>
            <w:noWrap w:val="0"/>
            <w:vAlign w:val="center"/>
          </w:tcPr>
          <w:p>
            <w:pPr>
              <w:jc w:val="center"/>
              <w:rPr>
                <w:rFonts w:hint="eastAsia" w:ascii="宋体" w:hAnsi="宋体"/>
                <w:szCs w:val="21"/>
              </w:rPr>
            </w:pPr>
            <w:r>
              <w:rPr>
                <w:rFonts w:hint="eastAsia" w:ascii="Times New Roman" w:hAnsi="Times New Roman"/>
                <w:szCs w:val="21"/>
              </w:rPr>
              <w:t xml:space="preserve">  本项目正常排放源</w:t>
            </w:r>
            <w:r>
              <w:rPr>
                <w:rFonts w:hint="eastAsia" w:ascii="宋体" w:hAnsi="宋体"/>
                <w:szCs w:val="21"/>
              </w:rPr>
              <w:t>□</w:t>
            </w:r>
          </w:p>
          <w:p>
            <w:pPr>
              <w:jc w:val="center"/>
              <w:rPr>
                <w:rFonts w:hint="eastAsia" w:ascii="宋体" w:hAnsi="宋体"/>
                <w:szCs w:val="21"/>
              </w:rPr>
            </w:pPr>
            <w:r>
              <w:rPr>
                <w:rFonts w:hint="eastAsia" w:ascii="宋体" w:hAnsi="宋体"/>
                <w:szCs w:val="21"/>
              </w:rPr>
              <w:t xml:space="preserve">本项目非正常排放源□ </w:t>
            </w:r>
          </w:p>
          <w:p>
            <w:pPr>
              <w:jc w:val="center"/>
              <w:rPr>
                <w:rFonts w:ascii="Times New Roman" w:hAnsi="Times New Roman"/>
                <w:szCs w:val="21"/>
              </w:rPr>
            </w:pPr>
            <w:r>
              <w:rPr>
                <w:rFonts w:hint="eastAsia" w:ascii="宋体" w:hAnsi="宋体"/>
                <w:szCs w:val="21"/>
              </w:rPr>
              <w:t xml:space="preserve">        现有污染源□</w:t>
            </w:r>
          </w:p>
        </w:tc>
        <w:tc>
          <w:tcPr>
            <w:tcW w:w="1537" w:type="dxa"/>
            <w:gridSpan w:val="5"/>
            <w:noWrap w:val="0"/>
            <w:vAlign w:val="center"/>
          </w:tcPr>
          <w:p>
            <w:pPr>
              <w:jc w:val="center"/>
              <w:rPr>
                <w:rFonts w:ascii="Times New Roman" w:hAnsi="Times New Roman"/>
                <w:szCs w:val="21"/>
              </w:rPr>
            </w:pPr>
            <w:r>
              <w:rPr>
                <w:rFonts w:hint="eastAsia" w:ascii="Times New Roman" w:hAnsi="Times New Roman"/>
                <w:szCs w:val="21"/>
              </w:rPr>
              <w:t>拟替代的污染源</w:t>
            </w:r>
            <w:r>
              <w:rPr>
                <w:rFonts w:hint="eastAsia" w:ascii="宋体" w:hAnsi="宋体"/>
                <w:szCs w:val="21"/>
              </w:rPr>
              <w:t>□</w:t>
            </w:r>
          </w:p>
        </w:tc>
        <w:tc>
          <w:tcPr>
            <w:tcW w:w="1830" w:type="dxa"/>
            <w:gridSpan w:val="6"/>
            <w:noWrap w:val="0"/>
            <w:vAlign w:val="center"/>
          </w:tcPr>
          <w:p>
            <w:pPr>
              <w:jc w:val="center"/>
              <w:rPr>
                <w:rFonts w:ascii="Times New Roman" w:hAnsi="Times New Roman"/>
                <w:szCs w:val="21"/>
              </w:rPr>
            </w:pPr>
            <w:r>
              <w:rPr>
                <w:rFonts w:hint="eastAsia" w:ascii="Times New Roman" w:hAnsi="Times New Roman"/>
                <w:szCs w:val="21"/>
              </w:rPr>
              <w:t>其他在建、拟建项目污染源</w:t>
            </w:r>
            <w:r>
              <w:rPr>
                <w:rFonts w:hint="eastAsia" w:ascii="宋体" w:hAnsi="宋体"/>
                <w:szCs w:val="21"/>
              </w:rPr>
              <w:t>□</w:t>
            </w:r>
          </w:p>
        </w:tc>
        <w:tc>
          <w:tcPr>
            <w:tcW w:w="893" w:type="dxa"/>
            <w:gridSpan w:val="2"/>
            <w:noWrap w:val="0"/>
            <w:vAlign w:val="center"/>
          </w:tcPr>
          <w:p>
            <w:pPr>
              <w:jc w:val="center"/>
              <w:rPr>
                <w:rFonts w:ascii="Times New Roman" w:hAnsi="Times New Roman"/>
                <w:szCs w:val="21"/>
              </w:rPr>
            </w:pPr>
            <w:r>
              <w:rPr>
                <w:rFonts w:hint="eastAsia" w:ascii="Times New Roman" w:hAnsi="Times New Roman"/>
                <w:szCs w:val="21"/>
              </w:rPr>
              <w:t>区域污染源</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restart"/>
            <w:noWrap w:val="0"/>
            <w:vAlign w:val="center"/>
          </w:tcPr>
          <w:p>
            <w:pPr>
              <w:jc w:val="center"/>
              <w:rPr>
                <w:rFonts w:hint="eastAsia" w:ascii="Times New Roman" w:hAnsi="Times New Roman"/>
                <w:szCs w:val="21"/>
              </w:rPr>
            </w:pPr>
            <w:r>
              <w:rPr>
                <w:rFonts w:hint="eastAsia" w:ascii="Times New Roman" w:hAnsi="Times New Roman"/>
                <w:szCs w:val="21"/>
              </w:rPr>
              <w:t>大气环境影响预测与评价</w:t>
            </w:r>
          </w:p>
        </w:tc>
        <w:tc>
          <w:tcPr>
            <w:tcW w:w="1655" w:type="dxa"/>
            <w:noWrap w:val="0"/>
            <w:vAlign w:val="center"/>
          </w:tcPr>
          <w:p>
            <w:pPr>
              <w:jc w:val="center"/>
              <w:rPr>
                <w:rFonts w:hint="eastAsia" w:ascii="Times New Roman" w:hAnsi="Times New Roman"/>
                <w:szCs w:val="21"/>
              </w:rPr>
            </w:pPr>
            <w:r>
              <w:rPr>
                <w:rFonts w:hint="eastAsia" w:ascii="Times New Roman" w:hAnsi="Times New Roman"/>
                <w:szCs w:val="21"/>
              </w:rPr>
              <w:t>预测模型</w:t>
            </w:r>
          </w:p>
        </w:tc>
        <w:tc>
          <w:tcPr>
            <w:tcW w:w="973" w:type="dxa"/>
            <w:gridSpan w:val="2"/>
            <w:noWrap w:val="0"/>
            <w:vAlign w:val="center"/>
          </w:tcPr>
          <w:p>
            <w:pPr>
              <w:jc w:val="center"/>
              <w:rPr>
                <w:rFonts w:hint="eastAsia" w:ascii="Times New Roman" w:hAnsi="Times New Roman"/>
                <w:szCs w:val="21"/>
              </w:rPr>
            </w:pPr>
            <w:r>
              <w:rPr>
                <w:rFonts w:hint="eastAsia" w:ascii="Times New Roman" w:hAnsi="Times New Roman"/>
                <w:szCs w:val="21"/>
              </w:rPr>
              <w:t>AERMOD</w:t>
            </w:r>
            <w:r>
              <w:rPr>
                <w:rFonts w:hint="eastAsia" w:ascii="宋体" w:hAnsi="宋体"/>
                <w:szCs w:val="21"/>
              </w:rPr>
              <w:t>□</w:t>
            </w:r>
          </w:p>
        </w:tc>
        <w:tc>
          <w:tcPr>
            <w:tcW w:w="764" w:type="dxa"/>
            <w:gridSpan w:val="3"/>
            <w:noWrap w:val="0"/>
            <w:vAlign w:val="center"/>
          </w:tcPr>
          <w:p>
            <w:pPr>
              <w:jc w:val="center"/>
              <w:rPr>
                <w:rFonts w:hint="eastAsia" w:ascii="Times New Roman" w:hAnsi="Times New Roman"/>
                <w:szCs w:val="21"/>
              </w:rPr>
            </w:pPr>
            <w:r>
              <w:rPr>
                <w:rFonts w:hint="eastAsia" w:ascii="Times New Roman" w:hAnsi="Times New Roman"/>
                <w:szCs w:val="21"/>
              </w:rPr>
              <w:t>ADMS</w:t>
            </w:r>
            <w:r>
              <w:rPr>
                <w:rFonts w:hint="eastAsia" w:ascii="宋体" w:hAnsi="宋体"/>
                <w:szCs w:val="21"/>
              </w:rPr>
              <w:t>□</w:t>
            </w:r>
          </w:p>
        </w:tc>
        <w:tc>
          <w:tcPr>
            <w:tcW w:w="1277" w:type="dxa"/>
            <w:gridSpan w:val="5"/>
            <w:noWrap w:val="0"/>
            <w:vAlign w:val="center"/>
          </w:tcPr>
          <w:p>
            <w:pPr>
              <w:jc w:val="center"/>
              <w:rPr>
                <w:rFonts w:hint="eastAsia" w:ascii="Times New Roman" w:hAnsi="Times New Roman"/>
                <w:szCs w:val="21"/>
              </w:rPr>
            </w:pPr>
            <w:r>
              <w:rPr>
                <w:rFonts w:hint="eastAsia" w:ascii="Times New Roman" w:hAnsi="Times New Roman"/>
                <w:szCs w:val="21"/>
              </w:rPr>
              <w:t>AUSTAL2000</w:t>
            </w:r>
            <w:r>
              <w:rPr>
                <w:rFonts w:hint="eastAsia" w:ascii="宋体" w:hAnsi="宋体"/>
                <w:szCs w:val="21"/>
              </w:rPr>
              <w:t>□</w:t>
            </w:r>
          </w:p>
        </w:tc>
        <w:tc>
          <w:tcPr>
            <w:tcW w:w="1119" w:type="dxa"/>
            <w:gridSpan w:val="4"/>
            <w:noWrap w:val="0"/>
            <w:vAlign w:val="center"/>
          </w:tcPr>
          <w:p>
            <w:pPr>
              <w:jc w:val="center"/>
              <w:rPr>
                <w:rFonts w:hint="eastAsia" w:ascii="Times New Roman" w:hAnsi="Times New Roman"/>
                <w:szCs w:val="21"/>
              </w:rPr>
            </w:pPr>
            <w:r>
              <w:rPr>
                <w:rFonts w:hint="eastAsia" w:ascii="Times New Roman" w:hAnsi="Times New Roman"/>
                <w:szCs w:val="21"/>
              </w:rPr>
              <w:t>EDMS/AEDT</w:t>
            </w:r>
            <w:r>
              <w:rPr>
                <w:rFonts w:hint="eastAsia" w:ascii="宋体" w:hAnsi="宋体"/>
                <w:szCs w:val="21"/>
              </w:rPr>
              <w:t>□</w:t>
            </w:r>
          </w:p>
        </w:tc>
        <w:tc>
          <w:tcPr>
            <w:tcW w:w="896" w:type="dxa"/>
            <w:gridSpan w:val="3"/>
            <w:noWrap w:val="0"/>
            <w:vAlign w:val="center"/>
          </w:tcPr>
          <w:p>
            <w:pPr>
              <w:jc w:val="center"/>
              <w:rPr>
                <w:rFonts w:hint="eastAsia" w:ascii="Times New Roman" w:hAnsi="Times New Roman" w:eastAsia="宋体"/>
                <w:szCs w:val="21"/>
                <w:lang w:eastAsia="zh-CN"/>
              </w:rPr>
            </w:pPr>
            <w:r>
              <w:rPr>
                <w:rFonts w:hint="eastAsia" w:ascii="Times New Roman" w:hAnsi="Times New Roman"/>
                <w:szCs w:val="21"/>
              </w:rPr>
              <w:t>CALPUFF</w:t>
            </w:r>
            <w:r>
              <w:rPr>
                <w:rFonts w:hint="eastAsia" w:ascii="宋体" w:hAnsi="宋体"/>
                <w:szCs w:val="21"/>
                <w:lang w:eastAsia="zh-CN"/>
              </w:rPr>
              <w:t>□</w:t>
            </w:r>
          </w:p>
        </w:tc>
        <w:tc>
          <w:tcPr>
            <w:tcW w:w="1024" w:type="dxa"/>
            <w:gridSpan w:val="3"/>
            <w:noWrap w:val="0"/>
            <w:vAlign w:val="center"/>
          </w:tcPr>
          <w:p>
            <w:pPr>
              <w:jc w:val="center"/>
              <w:rPr>
                <w:rFonts w:hint="eastAsia" w:ascii="Times New Roman" w:hAnsi="Times New Roman"/>
                <w:szCs w:val="21"/>
              </w:rPr>
            </w:pPr>
            <w:r>
              <w:rPr>
                <w:rFonts w:hint="eastAsia" w:ascii="Times New Roman" w:hAnsi="Times New Roman"/>
                <w:szCs w:val="21"/>
              </w:rPr>
              <w:t>网格模型</w:t>
            </w:r>
            <w:r>
              <w:rPr>
                <w:rFonts w:hint="eastAsia" w:ascii="宋体" w:hAnsi="宋体"/>
                <w:szCs w:val="21"/>
              </w:rPr>
              <w:t>□</w:t>
            </w:r>
          </w:p>
        </w:tc>
        <w:tc>
          <w:tcPr>
            <w:tcW w:w="653" w:type="dxa"/>
            <w:noWrap w:val="0"/>
            <w:vAlign w:val="center"/>
          </w:tcPr>
          <w:p>
            <w:pPr>
              <w:jc w:val="center"/>
              <w:rPr>
                <w:rFonts w:hint="eastAsia" w:ascii="Times New Roman" w:hAnsi="Times New Roman"/>
                <w:szCs w:val="21"/>
              </w:rPr>
            </w:pPr>
            <w:r>
              <w:rPr>
                <w:rFonts w:hint="eastAsia" w:ascii="Times New Roman" w:hAnsi="Times New Roman"/>
                <w:szCs w:val="21"/>
              </w:rPr>
              <w:t>其他</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continue"/>
            <w:noWrap w:val="0"/>
            <w:vAlign w:val="center"/>
          </w:tcPr>
          <w:p>
            <w:pPr>
              <w:jc w:val="center"/>
              <w:rPr>
                <w:rFonts w:hint="eastAsia" w:ascii="Times New Roman" w:hAnsi="Times New Roman"/>
                <w:szCs w:val="21"/>
              </w:rPr>
            </w:pPr>
          </w:p>
        </w:tc>
        <w:tc>
          <w:tcPr>
            <w:tcW w:w="1655" w:type="dxa"/>
            <w:noWrap w:val="0"/>
            <w:vAlign w:val="center"/>
          </w:tcPr>
          <w:p>
            <w:pPr>
              <w:jc w:val="center"/>
              <w:rPr>
                <w:rFonts w:hint="eastAsia" w:ascii="Times New Roman" w:hAnsi="Times New Roman"/>
                <w:szCs w:val="21"/>
              </w:rPr>
            </w:pPr>
            <w:r>
              <w:rPr>
                <w:rFonts w:hint="eastAsia" w:ascii="Times New Roman" w:hAnsi="Times New Roman"/>
                <w:szCs w:val="21"/>
              </w:rPr>
              <w:t>预测范围</w:t>
            </w:r>
          </w:p>
        </w:tc>
        <w:tc>
          <w:tcPr>
            <w:tcW w:w="1737" w:type="dxa"/>
            <w:gridSpan w:val="5"/>
            <w:noWrap w:val="0"/>
            <w:vAlign w:val="center"/>
          </w:tcPr>
          <w:p>
            <w:pPr>
              <w:jc w:val="center"/>
              <w:rPr>
                <w:rFonts w:hint="eastAsia" w:ascii="Times New Roman" w:hAnsi="Times New Roman"/>
                <w:szCs w:val="21"/>
              </w:rPr>
            </w:pPr>
            <w:r>
              <w:rPr>
                <w:rFonts w:hint="eastAsia" w:ascii="Times New Roman" w:hAnsi="Times New Roman"/>
                <w:szCs w:val="21"/>
              </w:rPr>
              <w:t>边长</w:t>
            </w:r>
            <w:r>
              <w:rPr>
                <w:rFonts w:hint="eastAsia" w:ascii="宋体" w:hAnsi="宋体"/>
                <w:szCs w:val="21"/>
              </w:rPr>
              <w:t>≥</w:t>
            </w:r>
            <w:r>
              <w:rPr>
                <w:rFonts w:hint="eastAsia" w:ascii="Times New Roman" w:hAnsi="Times New Roman"/>
                <w:szCs w:val="21"/>
              </w:rPr>
              <w:t>50km</w:t>
            </w:r>
            <w:r>
              <w:rPr>
                <w:rFonts w:hint="eastAsia" w:ascii="宋体" w:hAnsi="宋体"/>
                <w:szCs w:val="21"/>
              </w:rPr>
              <w:t>□</w:t>
            </w:r>
          </w:p>
        </w:tc>
        <w:tc>
          <w:tcPr>
            <w:tcW w:w="3292" w:type="dxa"/>
            <w:gridSpan w:val="12"/>
            <w:noWrap w:val="0"/>
            <w:vAlign w:val="center"/>
          </w:tcPr>
          <w:p>
            <w:pPr>
              <w:jc w:val="center"/>
              <w:rPr>
                <w:rFonts w:hint="eastAsia" w:ascii="Times New Roman" w:hAnsi="Times New Roman"/>
                <w:szCs w:val="21"/>
              </w:rPr>
            </w:pPr>
            <w:r>
              <w:rPr>
                <w:rFonts w:hint="eastAsia" w:ascii="Times New Roman" w:hAnsi="Times New Roman"/>
                <w:szCs w:val="21"/>
              </w:rPr>
              <w:t>边长5~50km</w:t>
            </w:r>
            <w:r>
              <w:rPr>
                <w:rFonts w:hint="eastAsia" w:ascii="宋体" w:hAnsi="宋体"/>
                <w:szCs w:val="21"/>
              </w:rPr>
              <w:t>□</w:t>
            </w:r>
          </w:p>
        </w:tc>
        <w:tc>
          <w:tcPr>
            <w:tcW w:w="1677" w:type="dxa"/>
            <w:gridSpan w:val="4"/>
            <w:noWrap w:val="0"/>
            <w:vAlign w:val="center"/>
          </w:tcPr>
          <w:p>
            <w:pPr>
              <w:jc w:val="center"/>
              <w:rPr>
                <w:rFonts w:hint="eastAsia" w:ascii="Times New Roman" w:hAnsi="Times New Roman"/>
                <w:szCs w:val="21"/>
              </w:rPr>
            </w:pPr>
            <w:r>
              <w:rPr>
                <w:rFonts w:hint="eastAsia" w:ascii="Times New Roman" w:hAnsi="Times New Roman"/>
                <w:szCs w:val="21"/>
              </w:rPr>
              <w:t>边长=5km</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continue"/>
            <w:noWrap w:val="0"/>
            <w:vAlign w:val="center"/>
          </w:tcPr>
          <w:p>
            <w:pPr>
              <w:jc w:val="center"/>
              <w:rPr>
                <w:rFonts w:hint="eastAsia" w:ascii="Times New Roman" w:hAnsi="Times New Roman"/>
                <w:szCs w:val="21"/>
              </w:rPr>
            </w:pPr>
          </w:p>
        </w:tc>
        <w:tc>
          <w:tcPr>
            <w:tcW w:w="1655" w:type="dxa"/>
            <w:noWrap w:val="0"/>
            <w:vAlign w:val="center"/>
          </w:tcPr>
          <w:p>
            <w:pPr>
              <w:jc w:val="center"/>
              <w:rPr>
                <w:rFonts w:hint="eastAsia" w:ascii="Times New Roman" w:hAnsi="Times New Roman"/>
                <w:szCs w:val="21"/>
              </w:rPr>
            </w:pPr>
            <w:r>
              <w:rPr>
                <w:rFonts w:hint="eastAsia" w:ascii="Times New Roman" w:hAnsi="Times New Roman"/>
                <w:szCs w:val="21"/>
              </w:rPr>
              <w:t>预测因子</w:t>
            </w:r>
          </w:p>
        </w:tc>
        <w:tc>
          <w:tcPr>
            <w:tcW w:w="3352" w:type="dxa"/>
            <w:gridSpan w:val="11"/>
            <w:noWrap w:val="0"/>
            <w:vAlign w:val="center"/>
          </w:tcPr>
          <w:p>
            <w:pPr>
              <w:jc w:val="center"/>
              <w:rPr>
                <w:rFonts w:hint="eastAsia" w:ascii="Times New Roman" w:hAnsi="Times New Roman"/>
                <w:szCs w:val="21"/>
              </w:rPr>
            </w:pPr>
            <w:r>
              <w:rPr>
                <w:rFonts w:hint="eastAsia" w:ascii="Times New Roman" w:hAnsi="Times New Roman"/>
                <w:szCs w:val="21"/>
              </w:rPr>
              <w:t>预测因子（              ）</w:t>
            </w:r>
          </w:p>
        </w:tc>
        <w:tc>
          <w:tcPr>
            <w:tcW w:w="3354" w:type="dxa"/>
            <w:gridSpan w:val="10"/>
            <w:noWrap w:val="0"/>
            <w:vAlign w:val="center"/>
          </w:tcPr>
          <w:p>
            <w:pPr>
              <w:jc w:val="center"/>
              <w:rPr>
                <w:rFonts w:hint="eastAsia" w:ascii="Times New Roman" w:hAnsi="Times New Roman"/>
                <w:szCs w:val="21"/>
              </w:rPr>
            </w:pPr>
            <w:r>
              <w:rPr>
                <w:rFonts w:hint="eastAsia" w:ascii="Times New Roman" w:hAnsi="Times New Roman"/>
                <w:szCs w:val="21"/>
              </w:rPr>
              <w:t xml:space="preserve">  包括二次PM</w:t>
            </w:r>
            <w:r>
              <w:rPr>
                <w:rFonts w:hint="eastAsia" w:ascii="Times New Roman" w:hAnsi="Times New Roman"/>
                <w:szCs w:val="21"/>
                <w:vertAlign w:val="subscript"/>
              </w:rPr>
              <w:t>2.5</w:t>
            </w:r>
            <w:r>
              <w:rPr>
                <w:rFonts w:hint="eastAsia" w:ascii="宋体" w:hAnsi="宋体"/>
                <w:szCs w:val="21"/>
              </w:rPr>
              <w:t>□</w:t>
            </w:r>
          </w:p>
          <w:p>
            <w:pPr>
              <w:jc w:val="center"/>
              <w:rPr>
                <w:rFonts w:hint="eastAsia" w:ascii="Times New Roman" w:hAnsi="Times New Roman"/>
                <w:szCs w:val="21"/>
              </w:rPr>
            </w:pPr>
            <w:r>
              <w:rPr>
                <w:rFonts w:hint="eastAsia" w:ascii="Times New Roman" w:hAnsi="Times New Roman"/>
                <w:szCs w:val="21"/>
              </w:rPr>
              <w:t>不包括二次PM</w:t>
            </w:r>
            <w:r>
              <w:rPr>
                <w:rFonts w:hint="eastAsia" w:ascii="Times New Roman" w:hAnsi="Times New Roman"/>
                <w:szCs w:val="21"/>
                <w:vertAlign w:val="subscript"/>
              </w:rPr>
              <w:t>2.5</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continue"/>
            <w:noWrap w:val="0"/>
            <w:vAlign w:val="center"/>
          </w:tcPr>
          <w:p>
            <w:pPr>
              <w:jc w:val="center"/>
              <w:rPr>
                <w:rFonts w:hint="eastAsia" w:ascii="Times New Roman" w:hAnsi="Times New Roman"/>
                <w:szCs w:val="21"/>
              </w:rPr>
            </w:pPr>
          </w:p>
        </w:tc>
        <w:tc>
          <w:tcPr>
            <w:tcW w:w="1655" w:type="dxa"/>
            <w:noWrap w:val="0"/>
            <w:vAlign w:val="center"/>
          </w:tcPr>
          <w:p>
            <w:pPr>
              <w:jc w:val="center"/>
              <w:rPr>
                <w:rFonts w:hint="eastAsia" w:ascii="Times New Roman" w:hAnsi="Times New Roman"/>
                <w:szCs w:val="21"/>
              </w:rPr>
            </w:pPr>
            <w:r>
              <w:rPr>
                <w:rFonts w:hint="eastAsia" w:ascii="Times New Roman" w:hAnsi="Times New Roman"/>
                <w:szCs w:val="21"/>
              </w:rPr>
              <w:t>正常排放短期</w:t>
            </w:r>
          </w:p>
          <w:p>
            <w:pPr>
              <w:jc w:val="center"/>
              <w:rPr>
                <w:rFonts w:hint="eastAsia" w:ascii="Times New Roman" w:hAnsi="Times New Roman"/>
                <w:szCs w:val="21"/>
              </w:rPr>
            </w:pPr>
            <w:r>
              <w:rPr>
                <w:rFonts w:hint="eastAsia" w:ascii="Times New Roman" w:hAnsi="Times New Roman"/>
                <w:szCs w:val="21"/>
              </w:rPr>
              <w:t>浓度贡献值</w:t>
            </w:r>
          </w:p>
        </w:tc>
        <w:tc>
          <w:tcPr>
            <w:tcW w:w="3352" w:type="dxa"/>
            <w:gridSpan w:val="11"/>
            <w:noWrap w:val="0"/>
            <w:vAlign w:val="center"/>
          </w:tcPr>
          <w:p>
            <w:pPr>
              <w:jc w:val="center"/>
              <w:rPr>
                <w:rFonts w:hint="eastAsia" w:ascii="Times New Roman" w:hAnsi="Times New Roman"/>
                <w:szCs w:val="21"/>
              </w:rPr>
            </w:pPr>
            <w:r>
              <w:rPr>
                <w:rFonts w:ascii="Times New Roman" w:hAnsi="Times New Roman"/>
                <w:szCs w:val="21"/>
              </w:rPr>
              <w:t>C</w:t>
            </w:r>
            <w:r>
              <w:rPr>
                <w:rFonts w:hint="eastAsia" w:ascii="Times New Roman" w:hAnsi="Times New Roman"/>
                <w:szCs w:val="21"/>
                <w:vertAlign w:val="subscript"/>
              </w:rPr>
              <w:t>本项目</w:t>
            </w:r>
            <w:r>
              <w:rPr>
                <w:rFonts w:hint="eastAsia" w:ascii="Times New Roman" w:hAnsi="Times New Roman"/>
                <w:szCs w:val="21"/>
              </w:rPr>
              <w:t>最大占标率</w:t>
            </w:r>
            <w:r>
              <w:rPr>
                <w:rFonts w:hint="eastAsia" w:ascii="宋体" w:hAnsi="宋体"/>
                <w:szCs w:val="21"/>
              </w:rPr>
              <w:t>≤</w:t>
            </w:r>
            <w:r>
              <w:rPr>
                <w:rFonts w:hint="eastAsia" w:ascii="Times New Roman" w:hAnsi="Times New Roman"/>
                <w:szCs w:val="21"/>
              </w:rPr>
              <w:t>100%</w:t>
            </w:r>
            <w:r>
              <w:rPr>
                <w:rFonts w:hint="eastAsia" w:ascii="宋体" w:hAnsi="宋体"/>
                <w:szCs w:val="21"/>
              </w:rPr>
              <w:t>□</w:t>
            </w:r>
          </w:p>
        </w:tc>
        <w:tc>
          <w:tcPr>
            <w:tcW w:w="3354" w:type="dxa"/>
            <w:gridSpan w:val="10"/>
            <w:noWrap w:val="0"/>
            <w:vAlign w:val="center"/>
          </w:tcPr>
          <w:p>
            <w:pPr>
              <w:jc w:val="center"/>
              <w:rPr>
                <w:rFonts w:hint="eastAsia" w:ascii="Times New Roman" w:hAnsi="Times New Roman"/>
                <w:szCs w:val="21"/>
              </w:rPr>
            </w:pPr>
            <w:r>
              <w:rPr>
                <w:rFonts w:ascii="Times New Roman" w:hAnsi="Times New Roman"/>
                <w:szCs w:val="21"/>
              </w:rPr>
              <w:t>C</w:t>
            </w:r>
            <w:r>
              <w:rPr>
                <w:rFonts w:hint="eastAsia" w:ascii="Times New Roman" w:hAnsi="Times New Roman"/>
                <w:szCs w:val="21"/>
                <w:vertAlign w:val="subscript"/>
              </w:rPr>
              <w:t>本项目</w:t>
            </w:r>
            <w:r>
              <w:rPr>
                <w:rFonts w:hint="eastAsia" w:ascii="Times New Roman" w:hAnsi="Times New Roman"/>
                <w:szCs w:val="21"/>
              </w:rPr>
              <w:t>最大占标率&gt;100%</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25" w:type="dxa"/>
            <w:vMerge w:val="continue"/>
            <w:noWrap w:val="0"/>
            <w:vAlign w:val="center"/>
          </w:tcPr>
          <w:p>
            <w:pPr>
              <w:jc w:val="center"/>
              <w:rPr>
                <w:rFonts w:hint="eastAsia" w:ascii="Times New Roman" w:hAnsi="Times New Roman"/>
                <w:szCs w:val="21"/>
              </w:rPr>
            </w:pPr>
          </w:p>
        </w:tc>
        <w:tc>
          <w:tcPr>
            <w:tcW w:w="1655" w:type="dxa"/>
            <w:vMerge w:val="restart"/>
            <w:noWrap w:val="0"/>
            <w:vAlign w:val="center"/>
          </w:tcPr>
          <w:p>
            <w:pPr>
              <w:jc w:val="center"/>
              <w:rPr>
                <w:rFonts w:hint="eastAsia" w:ascii="Times New Roman" w:hAnsi="Times New Roman"/>
                <w:szCs w:val="21"/>
              </w:rPr>
            </w:pPr>
            <w:r>
              <w:rPr>
                <w:rFonts w:hint="eastAsia" w:ascii="Times New Roman" w:hAnsi="Times New Roman"/>
                <w:szCs w:val="21"/>
              </w:rPr>
              <w:t>正常排放年均</w:t>
            </w:r>
          </w:p>
          <w:p>
            <w:pPr>
              <w:jc w:val="center"/>
              <w:rPr>
                <w:rFonts w:hint="eastAsia" w:ascii="Times New Roman" w:hAnsi="Times New Roman"/>
                <w:szCs w:val="21"/>
              </w:rPr>
            </w:pPr>
            <w:r>
              <w:rPr>
                <w:rFonts w:hint="eastAsia" w:ascii="Times New Roman" w:hAnsi="Times New Roman"/>
                <w:szCs w:val="21"/>
              </w:rPr>
              <w:t>浓度贡献值</w:t>
            </w:r>
          </w:p>
        </w:tc>
        <w:tc>
          <w:tcPr>
            <w:tcW w:w="839" w:type="dxa"/>
            <w:noWrap w:val="0"/>
            <w:vAlign w:val="center"/>
          </w:tcPr>
          <w:p>
            <w:pPr>
              <w:jc w:val="center"/>
              <w:rPr>
                <w:rFonts w:hint="eastAsia" w:ascii="Times New Roman" w:hAnsi="Times New Roman"/>
                <w:szCs w:val="21"/>
              </w:rPr>
            </w:pPr>
            <w:r>
              <w:rPr>
                <w:rFonts w:hint="eastAsia" w:ascii="Times New Roman" w:hAnsi="Times New Roman"/>
                <w:szCs w:val="21"/>
              </w:rPr>
              <w:t>一类区</w:t>
            </w:r>
          </w:p>
        </w:tc>
        <w:tc>
          <w:tcPr>
            <w:tcW w:w="2513" w:type="dxa"/>
            <w:gridSpan w:val="10"/>
            <w:noWrap w:val="0"/>
            <w:vAlign w:val="center"/>
          </w:tcPr>
          <w:p>
            <w:pPr>
              <w:jc w:val="center"/>
              <w:rPr>
                <w:rFonts w:hint="eastAsia" w:ascii="Times New Roman" w:hAnsi="Times New Roman"/>
                <w:szCs w:val="21"/>
              </w:rPr>
            </w:pPr>
            <w:r>
              <w:rPr>
                <w:rFonts w:ascii="Times New Roman" w:hAnsi="Times New Roman"/>
                <w:szCs w:val="21"/>
              </w:rPr>
              <w:t>C</w:t>
            </w:r>
            <w:r>
              <w:rPr>
                <w:rFonts w:hint="eastAsia" w:ascii="Times New Roman" w:hAnsi="Times New Roman"/>
                <w:szCs w:val="21"/>
                <w:vertAlign w:val="subscript"/>
              </w:rPr>
              <w:t>本项目</w:t>
            </w:r>
            <w:r>
              <w:rPr>
                <w:rFonts w:hint="eastAsia" w:ascii="Times New Roman" w:hAnsi="Times New Roman"/>
                <w:szCs w:val="21"/>
              </w:rPr>
              <w:t>最大占标率</w:t>
            </w:r>
            <w:r>
              <w:rPr>
                <w:rFonts w:hint="eastAsia" w:ascii="宋体" w:hAnsi="宋体"/>
                <w:szCs w:val="21"/>
              </w:rPr>
              <w:t>≤</w:t>
            </w:r>
            <w:r>
              <w:rPr>
                <w:rFonts w:ascii="Times New Roman" w:hAnsi="Times New Roman"/>
                <w:szCs w:val="21"/>
              </w:rPr>
              <w:t>10%</w:t>
            </w:r>
            <w:r>
              <w:rPr>
                <w:rFonts w:hint="eastAsia" w:ascii="宋体" w:hAnsi="宋体"/>
                <w:szCs w:val="21"/>
              </w:rPr>
              <w:t>□</w:t>
            </w:r>
          </w:p>
        </w:tc>
        <w:tc>
          <w:tcPr>
            <w:tcW w:w="3354" w:type="dxa"/>
            <w:gridSpan w:val="10"/>
            <w:noWrap w:val="0"/>
            <w:vAlign w:val="center"/>
          </w:tcPr>
          <w:p>
            <w:pPr>
              <w:jc w:val="center"/>
              <w:rPr>
                <w:rFonts w:hint="eastAsia" w:ascii="Times New Roman" w:hAnsi="Times New Roman"/>
                <w:szCs w:val="21"/>
              </w:rPr>
            </w:pPr>
            <w:r>
              <w:rPr>
                <w:rFonts w:ascii="Times New Roman" w:hAnsi="Times New Roman"/>
                <w:szCs w:val="21"/>
              </w:rPr>
              <w:t>C</w:t>
            </w:r>
            <w:r>
              <w:rPr>
                <w:rFonts w:hint="eastAsia" w:ascii="Times New Roman" w:hAnsi="Times New Roman"/>
                <w:szCs w:val="21"/>
                <w:vertAlign w:val="subscript"/>
              </w:rPr>
              <w:t>本项目</w:t>
            </w:r>
            <w:r>
              <w:rPr>
                <w:rFonts w:hint="eastAsia" w:ascii="Times New Roman" w:hAnsi="Times New Roman"/>
                <w:szCs w:val="21"/>
              </w:rPr>
              <w:t>最大标率&gt;10%</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25" w:type="dxa"/>
            <w:vMerge w:val="continue"/>
            <w:noWrap w:val="0"/>
            <w:vAlign w:val="center"/>
          </w:tcPr>
          <w:p>
            <w:pPr>
              <w:jc w:val="center"/>
              <w:rPr>
                <w:rFonts w:hint="eastAsia" w:ascii="Times New Roman" w:hAnsi="Times New Roman"/>
                <w:szCs w:val="21"/>
              </w:rPr>
            </w:pPr>
          </w:p>
        </w:tc>
        <w:tc>
          <w:tcPr>
            <w:tcW w:w="1655" w:type="dxa"/>
            <w:vMerge w:val="continue"/>
            <w:noWrap w:val="0"/>
            <w:vAlign w:val="center"/>
          </w:tcPr>
          <w:p>
            <w:pPr>
              <w:jc w:val="center"/>
              <w:rPr>
                <w:rFonts w:hint="eastAsia" w:ascii="Times New Roman" w:hAnsi="Times New Roman"/>
                <w:szCs w:val="21"/>
              </w:rPr>
            </w:pPr>
          </w:p>
        </w:tc>
        <w:tc>
          <w:tcPr>
            <w:tcW w:w="839" w:type="dxa"/>
            <w:noWrap w:val="0"/>
            <w:vAlign w:val="center"/>
          </w:tcPr>
          <w:p>
            <w:pPr>
              <w:jc w:val="center"/>
              <w:rPr>
                <w:rFonts w:hint="eastAsia" w:ascii="Times New Roman" w:hAnsi="Times New Roman"/>
                <w:szCs w:val="21"/>
              </w:rPr>
            </w:pPr>
            <w:r>
              <w:rPr>
                <w:rFonts w:hint="eastAsia" w:ascii="Times New Roman" w:hAnsi="Times New Roman"/>
                <w:szCs w:val="21"/>
              </w:rPr>
              <w:t>二类区</w:t>
            </w:r>
          </w:p>
        </w:tc>
        <w:tc>
          <w:tcPr>
            <w:tcW w:w="2513" w:type="dxa"/>
            <w:gridSpan w:val="10"/>
            <w:noWrap w:val="0"/>
            <w:vAlign w:val="center"/>
          </w:tcPr>
          <w:p>
            <w:pPr>
              <w:jc w:val="center"/>
              <w:rPr>
                <w:rFonts w:hint="eastAsia" w:ascii="Times New Roman" w:hAnsi="Times New Roman"/>
                <w:szCs w:val="21"/>
              </w:rPr>
            </w:pPr>
            <w:r>
              <w:rPr>
                <w:rFonts w:ascii="Times New Roman" w:hAnsi="Times New Roman"/>
                <w:szCs w:val="21"/>
              </w:rPr>
              <w:t>C</w:t>
            </w:r>
            <w:r>
              <w:rPr>
                <w:rFonts w:hint="eastAsia" w:ascii="Times New Roman" w:hAnsi="Times New Roman"/>
                <w:szCs w:val="21"/>
                <w:vertAlign w:val="subscript"/>
              </w:rPr>
              <w:t>本项目</w:t>
            </w:r>
            <w:r>
              <w:rPr>
                <w:rFonts w:hint="eastAsia" w:ascii="Times New Roman" w:hAnsi="Times New Roman"/>
                <w:szCs w:val="21"/>
              </w:rPr>
              <w:t>最大占标率</w:t>
            </w:r>
            <w:r>
              <w:rPr>
                <w:rFonts w:hint="eastAsia" w:ascii="宋体" w:hAnsi="宋体"/>
                <w:szCs w:val="21"/>
              </w:rPr>
              <w:t>≤</w:t>
            </w:r>
            <w:r>
              <w:rPr>
                <w:rFonts w:ascii="Times New Roman" w:hAnsi="Times New Roman"/>
                <w:szCs w:val="21"/>
              </w:rPr>
              <w:t>30%</w:t>
            </w:r>
            <w:r>
              <w:rPr>
                <w:rFonts w:hint="eastAsia" w:ascii="宋体" w:hAnsi="宋体"/>
                <w:szCs w:val="21"/>
              </w:rPr>
              <w:t>□</w:t>
            </w:r>
          </w:p>
        </w:tc>
        <w:tc>
          <w:tcPr>
            <w:tcW w:w="3354" w:type="dxa"/>
            <w:gridSpan w:val="10"/>
            <w:noWrap w:val="0"/>
            <w:vAlign w:val="center"/>
          </w:tcPr>
          <w:p>
            <w:pPr>
              <w:jc w:val="center"/>
              <w:rPr>
                <w:rFonts w:hint="eastAsia" w:ascii="Times New Roman" w:hAnsi="Times New Roman"/>
                <w:szCs w:val="21"/>
              </w:rPr>
            </w:pPr>
            <w:r>
              <w:rPr>
                <w:rFonts w:ascii="Times New Roman" w:hAnsi="Times New Roman"/>
                <w:szCs w:val="21"/>
              </w:rPr>
              <w:t>C</w:t>
            </w:r>
            <w:r>
              <w:rPr>
                <w:rFonts w:hint="eastAsia" w:ascii="Times New Roman" w:hAnsi="Times New Roman"/>
                <w:szCs w:val="21"/>
                <w:vertAlign w:val="subscript"/>
              </w:rPr>
              <w:t>本项目</w:t>
            </w:r>
            <w:r>
              <w:rPr>
                <w:rFonts w:hint="eastAsia" w:ascii="Times New Roman" w:hAnsi="Times New Roman"/>
                <w:szCs w:val="21"/>
              </w:rPr>
              <w:t>最大标率&gt;30%</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continue"/>
            <w:noWrap w:val="0"/>
            <w:vAlign w:val="center"/>
          </w:tcPr>
          <w:p>
            <w:pPr>
              <w:jc w:val="center"/>
              <w:rPr>
                <w:rFonts w:hint="eastAsia" w:ascii="Times New Roman" w:hAnsi="Times New Roman"/>
                <w:szCs w:val="21"/>
              </w:rPr>
            </w:pPr>
          </w:p>
        </w:tc>
        <w:tc>
          <w:tcPr>
            <w:tcW w:w="1655" w:type="dxa"/>
            <w:noWrap w:val="0"/>
            <w:vAlign w:val="center"/>
          </w:tcPr>
          <w:p>
            <w:pPr>
              <w:jc w:val="center"/>
              <w:rPr>
                <w:rFonts w:hint="eastAsia" w:ascii="Times New Roman" w:hAnsi="Times New Roman"/>
                <w:szCs w:val="21"/>
              </w:rPr>
            </w:pPr>
            <w:r>
              <w:rPr>
                <w:rFonts w:hint="eastAsia" w:ascii="Times New Roman" w:hAnsi="Times New Roman"/>
                <w:szCs w:val="21"/>
              </w:rPr>
              <w:t>非正常排放1h</w:t>
            </w:r>
          </w:p>
          <w:p>
            <w:pPr>
              <w:jc w:val="center"/>
              <w:rPr>
                <w:rFonts w:hint="eastAsia" w:ascii="Times New Roman" w:hAnsi="Times New Roman"/>
                <w:szCs w:val="21"/>
              </w:rPr>
            </w:pPr>
            <w:r>
              <w:rPr>
                <w:rFonts w:hint="eastAsia" w:ascii="Times New Roman" w:hAnsi="Times New Roman"/>
                <w:szCs w:val="21"/>
              </w:rPr>
              <w:t>浓度贡献值</w:t>
            </w:r>
          </w:p>
        </w:tc>
        <w:tc>
          <w:tcPr>
            <w:tcW w:w="2028" w:type="dxa"/>
            <w:gridSpan w:val="6"/>
            <w:noWrap w:val="0"/>
            <w:vAlign w:val="center"/>
          </w:tcPr>
          <w:p>
            <w:pPr>
              <w:jc w:val="center"/>
              <w:rPr>
                <w:rFonts w:hint="eastAsia" w:ascii="Times New Roman" w:hAnsi="Times New Roman"/>
                <w:szCs w:val="21"/>
              </w:rPr>
            </w:pPr>
            <w:r>
              <w:rPr>
                <w:rFonts w:hint="eastAsia" w:ascii="Times New Roman" w:hAnsi="Times New Roman"/>
                <w:szCs w:val="21"/>
              </w:rPr>
              <w:t>非正常持续时长（ ）h</w:t>
            </w:r>
          </w:p>
        </w:tc>
        <w:tc>
          <w:tcPr>
            <w:tcW w:w="2442" w:type="dxa"/>
            <w:gridSpan w:val="10"/>
            <w:noWrap w:val="0"/>
            <w:vAlign w:val="center"/>
          </w:tcPr>
          <w:p>
            <w:pPr>
              <w:jc w:val="center"/>
              <w:rPr>
                <w:rFonts w:hint="eastAsia" w:ascii="Times New Roman" w:hAnsi="Times New Roman"/>
                <w:szCs w:val="21"/>
              </w:rPr>
            </w:pPr>
            <w:r>
              <w:rPr>
                <w:rFonts w:ascii="Times New Roman" w:hAnsi="Times New Roman"/>
                <w:szCs w:val="21"/>
              </w:rPr>
              <w:t>C</w:t>
            </w:r>
            <w:r>
              <w:rPr>
                <w:rFonts w:hint="eastAsia" w:ascii="Times New Roman" w:hAnsi="Times New Roman"/>
                <w:szCs w:val="21"/>
                <w:vertAlign w:val="subscript"/>
              </w:rPr>
              <w:t>非正常</w:t>
            </w:r>
            <w:r>
              <w:rPr>
                <w:rFonts w:hint="eastAsia" w:ascii="Times New Roman" w:hAnsi="Times New Roman"/>
                <w:szCs w:val="21"/>
              </w:rPr>
              <w:t>占标率</w:t>
            </w:r>
            <w:r>
              <w:rPr>
                <w:rFonts w:hint="eastAsia" w:ascii="宋体" w:hAnsi="宋体"/>
                <w:szCs w:val="21"/>
              </w:rPr>
              <w:t>≤</w:t>
            </w:r>
            <w:r>
              <w:rPr>
                <w:rFonts w:hint="eastAsia" w:ascii="Times New Roman" w:hAnsi="Times New Roman"/>
                <w:szCs w:val="21"/>
              </w:rPr>
              <w:t>100%</w:t>
            </w:r>
            <w:r>
              <w:rPr>
                <w:rFonts w:hint="eastAsia" w:ascii="宋体" w:hAnsi="宋体"/>
                <w:szCs w:val="21"/>
              </w:rPr>
              <w:t>□</w:t>
            </w:r>
          </w:p>
        </w:tc>
        <w:tc>
          <w:tcPr>
            <w:tcW w:w="2236" w:type="dxa"/>
            <w:gridSpan w:val="5"/>
            <w:noWrap w:val="0"/>
            <w:vAlign w:val="center"/>
          </w:tcPr>
          <w:p>
            <w:pPr>
              <w:jc w:val="center"/>
              <w:rPr>
                <w:rFonts w:hint="eastAsia" w:ascii="Times New Roman" w:hAnsi="Times New Roman"/>
                <w:szCs w:val="21"/>
              </w:rPr>
            </w:pPr>
            <w:r>
              <w:rPr>
                <w:rFonts w:ascii="Times New Roman" w:hAnsi="Times New Roman"/>
                <w:szCs w:val="21"/>
              </w:rPr>
              <w:t>C</w:t>
            </w:r>
            <w:r>
              <w:rPr>
                <w:rFonts w:hint="eastAsia" w:ascii="Times New Roman" w:hAnsi="Times New Roman"/>
                <w:szCs w:val="21"/>
                <w:vertAlign w:val="subscript"/>
              </w:rPr>
              <w:t>非正常</w:t>
            </w:r>
            <w:r>
              <w:rPr>
                <w:rFonts w:hint="eastAsia" w:ascii="Times New Roman" w:hAnsi="Times New Roman"/>
                <w:szCs w:val="21"/>
              </w:rPr>
              <w:t>占标率&gt;100%</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continue"/>
            <w:noWrap w:val="0"/>
            <w:vAlign w:val="center"/>
          </w:tcPr>
          <w:p>
            <w:pPr>
              <w:jc w:val="center"/>
              <w:rPr>
                <w:rFonts w:hint="eastAsia" w:ascii="Times New Roman" w:hAnsi="Times New Roman"/>
                <w:szCs w:val="21"/>
              </w:rPr>
            </w:pPr>
          </w:p>
        </w:tc>
        <w:tc>
          <w:tcPr>
            <w:tcW w:w="1655" w:type="dxa"/>
            <w:noWrap w:val="0"/>
            <w:vAlign w:val="center"/>
          </w:tcPr>
          <w:p>
            <w:pPr>
              <w:jc w:val="center"/>
              <w:rPr>
                <w:rFonts w:hint="eastAsia" w:ascii="Times New Roman" w:hAnsi="Times New Roman"/>
                <w:szCs w:val="21"/>
              </w:rPr>
            </w:pPr>
            <w:r>
              <w:rPr>
                <w:rFonts w:hint="eastAsia" w:ascii="Times New Roman" w:hAnsi="Times New Roman"/>
                <w:szCs w:val="21"/>
              </w:rPr>
              <w:t>保证率日平均浓度和年平均浓度叠加值</w:t>
            </w:r>
          </w:p>
        </w:tc>
        <w:tc>
          <w:tcPr>
            <w:tcW w:w="3352" w:type="dxa"/>
            <w:gridSpan w:val="11"/>
            <w:noWrap w:val="0"/>
            <w:vAlign w:val="center"/>
          </w:tcPr>
          <w:p>
            <w:pPr>
              <w:jc w:val="center"/>
              <w:rPr>
                <w:rFonts w:hint="eastAsia" w:ascii="Times New Roman" w:hAnsi="Times New Roman"/>
                <w:szCs w:val="21"/>
              </w:rPr>
            </w:pPr>
            <w:r>
              <w:rPr>
                <w:rFonts w:ascii="Times New Roman" w:hAnsi="Times New Roman"/>
                <w:szCs w:val="21"/>
              </w:rPr>
              <w:t>C</w:t>
            </w:r>
            <w:r>
              <w:rPr>
                <w:rFonts w:hint="eastAsia" w:ascii="Times New Roman" w:hAnsi="Times New Roman"/>
                <w:szCs w:val="21"/>
                <w:vertAlign w:val="subscript"/>
              </w:rPr>
              <w:t>叠加</w:t>
            </w:r>
            <w:r>
              <w:rPr>
                <w:rFonts w:hint="eastAsia" w:ascii="Times New Roman" w:hAnsi="Times New Roman"/>
                <w:szCs w:val="21"/>
              </w:rPr>
              <w:t>达标</w:t>
            </w:r>
            <w:r>
              <w:rPr>
                <w:rFonts w:hint="eastAsia" w:ascii="宋体" w:hAnsi="宋体"/>
                <w:szCs w:val="21"/>
              </w:rPr>
              <w:t>□</w:t>
            </w:r>
          </w:p>
        </w:tc>
        <w:tc>
          <w:tcPr>
            <w:tcW w:w="3354" w:type="dxa"/>
            <w:gridSpan w:val="10"/>
            <w:noWrap w:val="0"/>
            <w:vAlign w:val="center"/>
          </w:tcPr>
          <w:p>
            <w:pPr>
              <w:jc w:val="center"/>
              <w:rPr>
                <w:rFonts w:hint="eastAsia" w:ascii="Times New Roman" w:hAnsi="Times New Roman"/>
                <w:szCs w:val="21"/>
              </w:rPr>
            </w:pPr>
            <w:r>
              <w:rPr>
                <w:rFonts w:ascii="Times New Roman" w:hAnsi="Times New Roman"/>
                <w:szCs w:val="21"/>
              </w:rPr>
              <w:t>C</w:t>
            </w:r>
            <w:r>
              <w:rPr>
                <w:rFonts w:hint="eastAsia" w:ascii="Times New Roman" w:hAnsi="Times New Roman"/>
                <w:szCs w:val="21"/>
                <w:vertAlign w:val="subscript"/>
              </w:rPr>
              <w:t>叠加</w:t>
            </w:r>
            <w:r>
              <w:rPr>
                <w:rFonts w:hint="eastAsia" w:ascii="Times New Roman" w:hAnsi="Times New Roman"/>
                <w:szCs w:val="21"/>
              </w:rPr>
              <w:t>不达标</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continue"/>
            <w:noWrap w:val="0"/>
            <w:vAlign w:val="center"/>
          </w:tcPr>
          <w:p>
            <w:pPr>
              <w:jc w:val="center"/>
              <w:rPr>
                <w:rFonts w:hint="eastAsia" w:ascii="Times New Roman" w:hAnsi="Times New Roman"/>
                <w:szCs w:val="21"/>
              </w:rPr>
            </w:pPr>
          </w:p>
        </w:tc>
        <w:tc>
          <w:tcPr>
            <w:tcW w:w="1655" w:type="dxa"/>
            <w:noWrap w:val="0"/>
            <w:vAlign w:val="center"/>
          </w:tcPr>
          <w:p>
            <w:pPr>
              <w:jc w:val="center"/>
              <w:rPr>
                <w:rFonts w:hint="eastAsia" w:ascii="Times New Roman" w:hAnsi="Times New Roman"/>
                <w:szCs w:val="21"/>
              </w:rPr>
            </w:pPr>
            <w:r>
              <w:rPr>
                <w:rFonts w:hint="eastAsia" w:ascii="Times New Roman" w:hAnsi="Times New Roman"/>
                <w:szCs w:val="21"/>
              </w:rPr>
              <w:t>区域环境质量的整体变化情况</w:t>
            </w:r>
          </w:p>
        </w:tc>
        <w:tc>
          <w:tcPr>
            <w:tcW w:w="3352" w:type="dxa"/>
            <w:gridSpan w:val="11"/>
            <w:noWrap w:val="0"/>
            <w:vAlign w:val="center"/>
          </w:tcPr>
          <w:p>
            <w:pPr>
              <w:jc w:val="center"/>
              <w:rPr>
                <w:rFonts w:hint="eastAsia" w:ascii="Times New Roman" w:hAnsi="Times New Roman"/>
                <w:szCs w:val="21"/>
              </w:rPr>
            </w:pPr>
            <w:r>
              <w:rPr>
                <w:rFonts w:hint="eastAsia" w:ascii="Times New Roman" w:hAnsi="Times New Roman"/>
                <w:szCs w:val="21"/>
              </w:rPr>
              <w:t>k</w:t>
            </w:r>
            <w:r>
              <w:rPr>
                <w:rFonts w:hint="eastAsia" w:ascii="宋体" w:hAnsi="宋体"/>
                <w:szCs w:val="21"/>
              </w:rPr>
              <w:t>≤</w:t>
            </w:r>
            <w:r>
              <w:rPr>
                <w:rFonts w:hint="eastAsia" w:ascii="Times New Roman" w:hAnsi="Times New Roman"/>
                <w:szCs w:val="21"/>
              </w:rPr>
              <w:t>-20%</w:t>
            </w:r>
            <w:r>
              <w:rPr>
                <w:rFonts w:hint="eastAsia" w:ascii="宋体" w:hAnsi="宋体"/>
                <w:szCs w:val="21"/>
              </w:rPr>
              <w:t>□</w:t>
            </w:r>
          </w:p>
        </w:tc>
        <w:tc>
          <w:tcPr>
            <w:tcW w:w="3354" w:type="dxa"/>
            <w:gridSpan w:val="10"/>
            <w:noWrap w:val="0"/>
            <w:vAlign w:val="center"/>
          </w:tcPr>
          <w:p>
            <w:pPr>
              <w:jc w:val="center"/>
              <w:rPr>
                <w:rFonts w:hint="eastAsia" w:ascii="Times New Roman" w:hAnsi="Times New Roman"/>
                <w:szCs w:val="21"/>
              </w:rPr>
            </w:pPr>
            <w:r>
              <w:rPr>
                <w:rFonts w:hint="eastAsia" w:ascii="Times New Roman" w:hAnsi="Times New Roman"/>
                <w:szCs w:val="21"/>
              </w:rPr>
              <w:t>k&gt;-20%</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restart"/>
            <w:noWrap w:val="0"/>
            <w:vAlign w:val="center"/>
          </w:tcPr>
          <w:p>
            <w:pPr>
              <w:jc w:val="center"/>
              <w:rPr>
                <w:rFonts w:hint="eastAsia" w:ascii="Times New Roman" w:hAnsi="Times New Roman"/>
                <w:szCs w:val="21"/>
              </w:rPr>
            </w:pPr>
            <w:r>
              <w:rPr>
                <w:rFonts w:hint="eastAsia" w:ascii="Times New Roman" w:hAnsi="Times New Roman"/>
                <w:szCs w:val="21"/>
              </w:rPr>
              <w:t>环境监测计划</w:t>
            </w:r>
          </w:p>
        </w:tc>
        <w:tc>
          <w:tcPr>
            <w:tcW w:w="1655" w:type="dxa"/>
            <w:noWrap w:val="0"/>
            <w:vAlign w:val="center"/>
          </w:tcPr>
          <w:p>
            <w:pPr>
              <w:jc w:val="center"/>
              <w:rPr>
                <w:rFonts w:hint="eastAsia" w:ascii="Times New Roman" w:hAnsi="Times New Roman"/>
                <w:szCs w:val="21"/>
              </w:rPr>
            </w:pPr>
            <w:r>
              <w:rPr>
                <w:rFonts w:hint="eastAsia" w:ascii="Times New Roman" w:hAnsi="Times New Roman"/>
                <w:szCs w:val="21"/>
              </w:rPr>
              <w:t>污染源监测</w:t>
            </w:r>
          </w:p>
        </w:tc>
        <w:tc>
          <w:tcPr>
            <w:tcW w:w="2506" w:type="dxa"/>
            <w:gridSpan w:val="9"/>
            <w:noWrap w:val="0"/>
            <w:vAlign w:val="center"/>
          </w:tcPr>
          <w:p>
            <w:pPr>
              <w:jc w:val="center"/>
              <w:rPr>
                <w:rFonts w:hint="eastAsia" w:ascii="Times New Roman" w:hAnsi="Times New Roman"/>
                <w:szCs w:val="21"/>
              </w:rPr>
            </w:pPr>
            <w:r>
              <w:rPr>
                <w:rFonts w:hint="eastAsia" w:ascii="Times New Roman" w:hAnsi="Times New Roman"/>
                <w:szCs w:val="21"/>
              </w:rPr>
              <w:t>监测因子：（         ）</w:t>
            </w:r>
          </w:p>
        </w:tc>
        <w:tc>
          <w:tcPr>
            <w:tcW w:w="2523" w:type="dxa"/>
            <w:gridSpan w:val="8"/>
            <w:noWrap w:val="0"/>
            <w:vAlign w:val="center"/>
          </w:tcPr>
          <w:p>
            <w:pPr>
              <w:jc w:val="center"/>
              <w:rPr>
                <w:rFonts w:hint="eastAsia" w:ascii="宋体" w:hAnsi="宋体"/>
                <w:szCs w:val="21"/>
              </w:rPr>
            </w:pPr>
            <w:r>
              <w:rPr>
                <w:rFonts w:hint="eastAsia" w:ascii="Times New Roman" w:hAnsi="Times New Roman"/>
                <w:szCs w:val="21"/>
              </w:rPr>
              <w:t>有组织废气监测</w:t>
            </w:r>
            <w:r>
              <w:rPr>
                <w:rFonts w:hint="eastAsia" w:ascii="宋体" w:hAnsi="宋体"/>
                <w:szCs w:val="21"/>
              </w:rPr>
              <w:t>□</w:t>
            </w:r>
          </w:p>
          <w:p>
            <w:pPr>
              <w:jc w:val="center"/>
              <w:rPr>
                <w:rFonts w:hint="eastAsia" w:ascii="Times New Roman" w:hAnsi="Times New Roman"/>
                <w:szCs w:val="21"/>
              </w:rPr>
            </w:pPr>
            <w:r>
              <w:rPr>
                <w:rFonts w:hint="eastAsia" w:ascii="宋体" w:hAnsi="宋体"/>
                <w:szCs w:val="21"/>
              </w:rPr>
              <w:t>无组织废气监测□</w:t>
            </w:r>
          </w:p>
        </w:tc>
        <w:tc>
          <w:tcPr>
            <w:tcW w:w="1677" w:type="dxa"/>
            <w:gridSpan w:val="4"/>
            <w:noWrap w:val="0"/>
            <w:vAlign w:val="center"/>
          </w:tcPr>
          <w:p>
            <w:pPr>
              <w:jc w:val="center"/>
              <w:rPr>
                <w:rFonts w:hint="eastAsia" w:ascii="Times New Roman" w:hAnsi="Times New Roman" w:eastAsia="宋体"/>
                <w:szCs w:val="21"/>
                <w:lang w:eastAsia="zh-CN"/>
              </w:rPr>
            </w:pPr>
            <w:r>
              <w:rPr>
                <w:rFonts w:hint="eastAsia" w:ascii="Times New Roman" w:hAnsi="Times New Roman"/>
                <w:szCs w:val="21"/>
              </w:rPr>
              <w:t>无监测</w:t>
            </w:r>
            <w:r>
              <w:rPr>
                <w:rFonts w:hint="eastAsia" w:ascii="宋体" w:hAnsi="宋体"/>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continue"/>
            <w:noWrap w:val="0"/>
            <w:vAlign w:val="center"/>
          </w:tcPr>
          <w:p>
            <w:pPr>
              <w:jc w:val="center"/>
              <w:rPr>
                <w:rFonts w:hint="eastAsia" w:ascii="Times New Roman" w:hAnsi="Times New Roman"/>
                <w:szCs w:val="21"/>
              </w:rPr>
            </w:pPr>
          </w:p>
        </w:tc>
        <w:tc>
          <w:tcPr>
            <w:tcW w:w="1655" w:type="dxa"/>
            <w:noWrap w:val="0"/>
            <w:vAlign w:val="center"/>
          </w:tcPr>
          <w:p>
            <w:pPr>
              <w:jc w:val="center"/>
              <w:rPr>
                <w:rFonts w:hint="eastAsia" w:ascii="Times New Roman" w:hAnsi="Times New Roman"/>
                <w:szCs w:val="21"/>
              </w:rPr>
            </w:pPr>
            <w:r>
              <w:rPr>
                <w:rFonts w:hint="eastAsia" w:ascii="Times New Roman" w:hAnsi="Times New Roman"/>
                <w:szCs w:val="21"/>
              </w:rPr>
              <w:t>环境质量监测</w:t>
            </w:r>
          </w:p>
        </w:tc>
        <w:tc>
          <w:tcPr>
            <w:tcW w:w="2506" w:type="dxa"/>
            <w:gridSpan w:val="9"/>
            <w:noWrap w:val="0"/>
            <w:vAlign w:val="center"/>
          </w:tcPr>
          <w:p>
            <w:pPr>
              <w:jc w:val="center"/>
              <w:rPr>
                <w:rFonts w:hint="eastAsia" w:ascii="Times New Roman" w:hAnsi="Times New Roman"/>
                <w:szCs w:val="21"/>
              </w:rPr>
            </w:pPr>
            <w:r>
              <w:rPr>
                <w:rFonts w:hint="eastAsia" w:ascii="Times New Roman" w:hAnsi="Times New Roman"/>
                <w:szCs w:val="21"/>
              </w:rPr>
              <w:t>监测因子：（         ）</w:t>
            </w:r>
          </w:p>
        </w:tc>
        <w:tc>
          <w:tcPr>
            <w:tcW w:w="2523" w:type="dxa"/>
            <w:gridSpan w:val="8"/>
            <w:noWrap w:val="0"/>
            <w:vAlign w:val="center"/>
          </w:tcPr>
          <w:p>
            <w:pPr>
              <w:jc w:val="center"/>
              <w:rPr>
                <w:rFonts w:hint="eastAsia" w:ascii="Times New Roman" w:hAnsi="Times New Roman"/>
                <w:szCs w:val="21"/>
              </w:rPr>
            </w:pPr>
            <w:r>
              <w:rPr>
                <w:rFonts w:hint="eastAsia" w:ascii="Times New Roman" w:hAnsi="Times New Roman"/>
                <w:szCs w:val="21"/>
              </w:rPr>
              <w:t>监测点位数（    ）</w:t>
            </w:r>
          </w:p>
        </w:tc>
        <w:tc>
          <w:tcPr>
            <w:tcW w:w="1677" w:type="dxa"/>
            <w:gridSpan w:val="4"/>
            <w:noWrap w:val="0"/>
            <w:vAlign w:val="center"/>
          </w:tcPr>
          <w:p>
            <w:pPr>
              <w:jc w:val="center"/>
              <w:rPr>
                <w:rFonts w:hint="eastAsia" w:ascii="Times New Roman" w:hAnsi="Times New Roman" w:eastAsia="宋体"/>
                <w:szCs w:val="21"/>
                <w:lang w:eastAsia="zh-CN"/>
              </w:rPr>
            </w:pPr>
            <w:r>
              <w:rPr>
                <w:rFonts w:hint="eastAsia" w:ascii="Times New Roman" w:hAnsi="Times New Roman"/>
                <w:szCs w:val="21"/>
              </w:rPr>
              <w:t>无监测</w:t>
            </w:r>
            <w:r>
              <w:rPr>
                <w:rFonts w:hint="eastAsia" w:ascii="宋体" w:hAnsi="宋体"/>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restart"/>
            <w:noWrap w:val="0"/>
            <w:vAlign w:val="center"/>
          </w:tcPr>
          <w:p>
            <w:pPr>
              <w:jc w:val="center"/>
              <w:rPr>
                <w:rFonts w:hint="eastAsia" w:ascii="Times New Roman" w:hAnsi="Times New Roman"/>
                <w:szCs w:val="21"/>
              </w:rPr>
            </w:pPr>
            <w:r>
              <w:rPr>
                <w:rFonts w:hint="eastAsia" w:ascii="Times New Roman" w:hAnsi="Times New Roman"/>
                <w:szCs w:val="21"/>
              </w:rPr>
              <w:t>评价结论</w:t>
            </w:r>
          </w:p>
        </w:tc>
        <w:tc>
          <w:tcPr>
            <w:tcW w:w="1655" w:type="dxa"/>
            <w:noWrap w:val="0"/>
            <w:vAlign w:val="center"/>
          </w:tcPr>
          <w:p>
            <w:pPr>
              <w:jc w:val="center"/>
              <w:rPr>
                <w:rFonts w:hint="eastAsia" w:ascii="Times New Roman" w:hAnsi="Times New Roman"/>
                <w:szCs w:val="21"/>
              </w:rPr>
            </w:pPr>
            <w:r>
              <w:rPr>
                <w:rFonts w:hint="eastAsia" w:ascii="Times New Roman" w:hAnsi="Times New Roman"/>
                <w:szCs w:val="21"/>
              </w:rPr>
              <w:t>环境影响</w:t>
            </w:r>
          </w:p>
        </w:tc>
        <w:tc>
          <w:tcPr>
            <w:tcW w:w="6706" w:type="dxa"/>
            <w:gridSpan w:val="21"/>
            <w:noWrap w:val="0"/>
            <w:vAlign w:val="center"/>
          </w:tcPr>
          <w:p>
            <w:pPr>
              <w:jc w:val="center"/>
              <w:rPr>
                <w:rFonts w:hint="eastAsia" w:ascii="Times New Roman" w:hAnsi="Times New Roman"/>
                <w:szCs w:val="21"/>
              </w:rPr>
            </w:pPr>
            <w:r>
              <w:rPr>
                <w:rFonts w:hint="eastAsia" w:ascii="Times New Roman" w:hAnsi="Times New Roman"/>
                <w:szCs w:val="21"/>
              </w:rPr>
              <w:t xml:space="preserve">可以接受 </w:t>
            </w:r>
            <w:r>
              <w:rPr>
                <w:rFonts w:hint="eastAsia" w:ascii="宋体" w:hAnsi="宋体"/>
                <w:szCs w:val="21"/>
                <w:lang w:eastAsia="zh-CN"/>
              </w:rPr>
              <w:t>☑</w:t>
            </w:r>
            <w:r>
              <w:rPr>
                <w:rFonts w:hint="eastAsia" w:ascii="Times New Roman" w:hAnsi="Times New Roman"/>
                <w:szCs w:val="21"/>
              </w:rPr>
              <w:t xml:space="preserve">       不可以接受 </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continue"/>
            <w:noWrap w:val="0"/>
            <w:vAlign w:val="center"/>
          </w:tcPr>
          <w:p>
            <w:pPr>
              <w:jc w:val="center"/>
              <w:rPr>
                <w:rFonts w:hint="eastAsia" w:ascii="Times New Roman" w:hAnsi="Times New Roman"/>
                <w:szCs w:val="21"/>
              </w:rPr>
            </w:pPr>
          </w:p>
        </w:tc>
        <w:tc>
          <w:tcPr>
            <w:tcW w:w="1655" w:type="dxa"/>
            <w:noWrap w:val="0"/>
            <w:vAlign w:val="center"/>
          </w:tcPr>
          <w:p>
            <w:pPr>
              <w:jc w:val="center"/>
              <w:rPr>
                <w:rFonts w:hint="eastAsia" w:ascii="Times New Roman" w:hAnsi="Times New Roman"/>
                <w:szCs w:val="21"/>
              </w:rPr>
            </w:pPr>
            <w:r>
              <w:rPr>
                <w:rFonts w:hint="eastAsia" w:ascii="Times New Roman" w:hAnsi="Times New Roman"/>
                <w:szCs w:val="21"/>
              </w:rPr>
              <w:t>大气环境防护距离</w:t>
            </w:r>
          </w:p>
        </w:tc>
        <w:tc>
          <w:tcPr>
            <w:tcW w:w="6706" w:type="dxa"/>
            <w:gridSpan w:val="21"/>
            <w:noWrap w:val="0"/>
            <w:vAlign w:val="center"/>
          </w:tcPr>
          <w:p>
            <w:pPr>
              <w:jc w:val="center"/>
              <w:rPr>
                <w:rFonts w:hint="eastAsia" w:ascii="Times New Roman" w:hAnsi="Times New Roman"/>
                <w:szCs w:val="21"/>
              </w:rPr>
            </w:pPr>
            <w:r>
              <w:rPr>
                <w:rFonts w:hint="eastAsia" w:ascii="Times New Roman" w:hAnsi="Times New Roman"/>
                <w:szCs w:val="21"/>
              </w:rPr>
              <w:t>距（      ）厂界最远（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5" w:type="dxa"/>
            <w:vMerge w:val="continue"/>
            <w:noWrap w:val="0"/>
            <w:vAlign w:val="center"/>
          </w:tcPr>
          <w:p>
            <w:pPr>
              <w:jc w:val="center"/>
              <w:rPr>
                <w:rFonts w:hint="eastAsia" w:ascii="Times New Roman" w:hAnsi="Times New Roman"/>
                <w:szCs w:val="21"/>
              </w:rPr>
            </w:pPr>
          </w:p>
        </w:tc>
        <w:tc>
          <w:tcPr>
            <w:tcW w:w="1655" w:type="dxa"/>
            <w:noWrap w:val="0"/>
            <w:vAlign w:val="center"/>
          </w:tcPr>
          <w:p>
            <w:pPr>
              <w:jc w:val="center"/>
              <w:rPr>
                <w:rFonts w:hint="eastAsia" w:ascii="Times New Roman" w:hAnsi="Times New Roman"/>
                <w:szCs w:val="21"/>
              </w:rPr>
            </w:pPr>
            <w:r>
              <w:rPr>
                <w:rFonts w:hint="eastAsia" w:ascii="Times New Roman" w:hAnsi="Times New Roman"/>
                <w:szCs w:val="21"/>
              </w:rPr>
              <w:t>污染源年排放量</w:t>
            </w:r>
          </w:p>
        </w:tc>
        <w:tc>
          <w:tcPr>
            <w:tcW w:w="1676" w:type="dxa"/>
            <w:gridSpan w:val="4"/>
            <w:noWrap w:val="0"/>
            <w:vAlign w:val="center"/>
          </w:tcPr>
          <w:p>
            <w:pPr>
              <w:jc w:val="center"/>
              <w:rPr>
                <w:rFonts w:hint="eastAsia" w:ascii="Times New Roman" w:hAnsi="Times New Roman"/>
                <w:szCs w:val="21"/>
              </w:rPr>
            </w:pPr>
            <w:r>
              <w:rPr>
                <w:rFonts w:hint="eastAsia" w:ascii="Times New Roman" w:hAnsi="Times New Roman"/>
                <w:szCs w:val="21"/>
              </w:rPr>
              <w:t>SO</w:t>
            </w:r>
            <w:r>
              <w:rPr>
                <w:rFonts w:hint="eastAsia" w:ascii="Times New Roman" w:hAnsi="Times New Roman"/>
                <w:szCs w:val="21"/>
                <w:vertAlign w:val="subscript"/>
              </w:rPr>
              <w:t>2</w:t>
            </w:r>
            <w:r>
              <w:rPr>
                <w:rFonts w:hint="eastAsia" w:ascii="Times New Roman" w:hAnsi="Times New Roman"/>
                <w:szCs w:val="21"/>
              </w:rPr>
              <w:t>：（   ）t/a</w:t>
            </w:r>
          </w:p>
        </w:tc>
        <w:tc>
          <w:tcPr>
            <w:tcW w:w="1676" w:type="dxa"/>
            <w:gridSpan w:val="7"/>
            <w:noWrap w:val="0"/>
            <w:vAlign w:val="center"/>
          </w:tcPr>
          <w:p>
            <w:pPr>
              <w:jc w:val="center"/>
              <w:rPr>
                <w:rFonts w:hint="eastAsia" w:ascii="Times New Roman" w:hAnsi="Times New Roman"/>
                <w:szCs w:val="21"/>
              </w:rPr>
            </w:pPr>
            <w:r>
              <w:rPr>
                <w:rFonts w:hint="eastAsia" w:ascii="Times New Roman" w:hAnsi="Times New Roman"/>
                <w:szCs w:val="21"/>
              </w:rPr>
              <w:t>NO</w:t>
            </w:r>
            <w:r>
              <w:rPr>
                <w:rFonts w:hint="eastAsia" w:ascii="Times New Roman" w:hAnsi="Times New Roman"/>
                <w:szCs w:val="21"/>
                <w:vertAlign w:val="subscript"/>
              </w:rPr>
              <w:t>X</w:t>
            </w:r>
            <w:r>
              <w:rPr>
                <w:rFonts w:hint="eastAsia" w:ascii="Times New Roman" w:hAnsi="Times New Roman"/>
                <w:szCs w:val="21"/>
              </w:rPr>
              <w:t>：（   ）t/a</w:t>
            </w:r>
          </w:p>
        </w:tc>
        <w:tc>
          <w:tcPr>
            <w:tcW w:w="1806" w:type="dxa"/>
            <w:gridSpan w:val="7"/>
            <w:noWrap w:val="0"/>
            <w:vAlign w:val="center"/>
          </w:tcPr>
          <w:p>
            <w:pPr>
              <w:jc w:val="center"/>
              <w:rPr>
                <w:rFonts w:hint="eastAsia" w:ascii="Times New Roman" w:hAnsi="Times New Roman"/>
                <w:szCs w:val="21"/>
              </w:rPr>
            </w:pPr>
            <w:r>
              <w:rPr>
                <w:rFonts w:hint="eastAsia" w:ascii="Times New Roman" w:hAnsi="Times New Roman"/>
                <w:szCs w:val="21"/>
              </w:rPr>
              <w:t>颗粒物：（   ）t/a</w:t>
            </w:r>
          </w:p>
        </w:tc>
        <w:tc>
          <w:tcPr>
            <w:tcW w:w="1548" w:type="dxa"/>
            <w:gridSpan w:val="3"/>
            <w:noWrap w:val="0"/>
            <w:vAlign w:val="center"/>
          </w:tcPr>
          <w:p>
            <w:pPr>
              <w:jc w:val="center"/>
              <w:rPr>
                <w:rFonts w:hint="eastAsia" w:ascii="Times New Roman" w:hAnsi="Times New Roman"/>
                <w:szCs w:val="21"/>
              </w:rPr>
            </w:pPr>
            <w:r>
              <w:rPr>
                <w:rFonts w:hint="eastAsia" w:ascii="Times New Roman" w:hAnsi="Times New Roman"/>
                <w:szCs w:val="21"/>
              </w:rPr>
              <w:t>VOC</w:t>
            </w:r>
            <w:r>
              <w:rPr>
                <w:rFonts w:hint="eastAsia" w:ascii="Times New Roman" w:hAnsi="Times New Roman"/>
                <w:szCs w:val="21"/>
                <w:vertAlign w:val="subscript"/>
              </w:rPr>
              <w:t>S</w:t>
            </w:r>
            <w:r>
              <w:rPr>
                <w:rFonts w:hint="eastAsia" w:ascii="Times New Roman" w:hAnsi="Times New Roman"/>
                <w:szCs w:val="21"/>
              </w:rPr>
              <w:t>：（   ）t/a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286" w:type="dxa"/>
            <w:gridSpan w:val="23"/>
            <w:noWrap w:val="0"/>
            <w:vAlign w:val="center"/>
          </w:tcPr>
          <w:p>
            <w:pPr>
              <w:jc w:val="left"/>
              <w:rPr>
                <w:rFonts w:hint="eastAsia" w:ascii="Times New Roman" w:hAnsi="Times New Roman"/>
                <w:szCs w:val="21"/>
              </w:rPr>
            </w:pPr>
            <w:r>
              <w:rPr>
                <w:rFonts w:hint="eastAsia" w:ascii="Times New Roman" w:hAnsi="Times New Roman"/>
                <w:szCs w:val="21"/>
              </w:rPr>
              <w:t>注：“</w:t>
            </w:r>
            <w:r>
              <w:rPr>
                <w:rFonts w:hint="eastAsia" w:ascii="宋体" w:hAnsi="宋体"/>
                <w:szCs w:val="21"/>
              </w:rPr>
              <w:t>□</w:t>
            </w:r>
            <w:r>
              <w:rPr>
                <w:rFonts w:hint="eastAsia" w:ascii="Times New Roman" w:hAnsi="Times New Roman"/>
                <w:szCs w:val="21"/>
              </w:rPr>
              <w:t>”为勾选项，填“</w:t>
            </w:r>
            <w:r>
              <w:rPr>
                <w:rFonts w:hint="eastAsia" w:ascii="宋体" w:hAnsi="宋体"/>
                <w:szCs w:val="21"/>
              </w:rPr>
              <w:t>√</w:t>
            </w:r>
            <w:r>
              <w:rPr>
                <w:rFonts w:hint="eastAsia" w:ascii="Times New Roman" w:hAnsi="Times New Roman"/>
                <w:szCs w:val="21"/>
              </w:rPr>
              <w:t>”；“（   ）”为内容填写项</w:t>
            </w:r>
          </w:p>
        </w:tc>
      </w:tr>
    </w:tbl>
    <w:p/>
    <w:p/>
    <w:p/>
    <w:p/>
    <w:sectPr>
      <w:pgSz w:w="11906" w:h="16838"/>
      <w:pgMar w:top="1417" w:right="1418" w:bottom="1417" w:left="1418" w:header="851" w:footer="992" w:gutter="0"/>
      <w:pgBorders>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2000019F" w:csb1="00000000"/>
  </w:font>
  <w:font w:name="楷体_GB2312">
    <w:altName w:val="方正楷体_GBK"/>
    <w:panose1 w:val="02010609030101010101"/>
    <w:charset w:val="86"/>
    <w:family w:val="modern"/>
    <w:pitch w:val="default"/>
    <w:sig w:usb0="00000000" w:usb1="00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Wingdings 2">
    <w:panose1 w:val="05020102010507070707"/>
    <w:charset w:val="00"/>
    <w:family w:val="auto"/>
    <w:pitch w:val="default"/>
    <w:sig w:usb0="00000000" w:usb1="00000000" w:usb2="00000000" w:usb3="00000000" w:csb0="8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68C403"/>
    <w:multiLevelType w:val="singleLevel"/>
    <w:tmpl w:val="A468C403"/>
    <w:lvl w:ilvl="0" w:tentative="0">
      <w:start w:val="1"/>
      <w:numFmt w:val="bullet"/>
      <w:pStyle w:val="6"/>
      <w:lvlText w:val=""/>
      <w:lvlJc w:val="left"/>
      <w:pPr>
        <w:tabs>
          <w:tab w:val="left" w:pos="360"/>
        </w:tabs>
        <w:ind w:left="360" w:hanging="360"/>
      </w:pPr>
      <w:rPr>
        <w:rFonts w:hint="default" w:ascii="Wingdings" w:hAnsi="Wingdings"/>
      </w:rPr>
    </w:lvl>
  </w:abstractNum>
  <w:abstractNum w:abstractNumId="1">
    <w:nsid w:val="1E8C1AA1"/>
    <w:multiLevelType w:val="singleLevel"/>
    <w:tmpl w:val="1E8C1AA1"/>
    <w:lvl w:ilvl="0" w:tentative="0">
      <w:start w:val="3"/>
      <w:numFmt w:val="decimal"/>
      <w:suff w:val="nothing"/>
      <w:lvlText w:val="%1、"/>
      <w:lvlJc w:val="left"/>
    </w:lvl>
  </w:abstractNum>
  <w:abstractNum w:abstractNumId="2">
    <w:nsid w:val="2B6DDA0F"/>
    <w:multiLevelType w:val="singleLevel"/>
    <w:tmpl w:val="2B6DDA0F"/>
    <w:lvl w:ilvl="0" w:tentative="0">
      <w:start w:val="1"/>
      <w:numFmt w:val="lowerLetter"/>
      <w:suff w:val="space"/>
      <w:lvlText w:val="%1."/>
      <w:lvlJc w:val="left"/>
    </w:lvl>
  </w:abstractNum>
  <w:abstractNum w:abstractNumId="3">
    <w:nsid w:val="794DC92A"/>
    <w:multiLevelType w:val="singleLevel"/>
    <w:tmpl w:val="794DC92A"/>
    <w:lvl w:ilvl="0" w:tentative="0">
      <w:start w:val="6"/>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HorizontalSpacing w:val="21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lMDllMTUzNTI4MTBmN2U0ZWExMTNlMzJiYjE0MmEifQ=="/>
  </w:docVars>
  <w:rsids>
    <w:rsidRoot w:val="5BBB0887"/>
    <w:rsid w:val="003F78AD"/>
    <w:rsid w:val="0186618C"/>
    <w:rsid w:val="01AF246D"/>
    <w:rsid w:val="023A5CEC"/>
    <w:rsid w:val="0B7A738E"/>
    <w:rsid w:val="0C391DC1"/>
    <w:rsid w:val="0D4F59C2"/>
    <w:rsid w:val="1311562B"/>
    <w:rsid w:val="16ED7E1E"/>
    <w:rsid w:val="17081B85"/>
    <w:rsid w:val="178C54CD"/>
    <w:rsid w:val="1D065F24"/>
    <w:rsid w:val="1F54027F"/>
    <w:rsid w:val="1FA343BE"/>
    <w:rsid w:val="1FCA50ED"/>
    <w:rsid w:val="21687363"/>
    <w:rsid w:val="21F64EE3"/>
    <w:rsid w:val="2B0475C1"/>
    <w:rsid w:val="329B0613"/>
    <w:rsid w:val="372C4164"/>
    <w:rsid w:val="37483677"/>
    <w:rsid w:val="38637FD8"/>
    <w:rsid w:val="3C3563FD"/>
    <w:rsid w:val="42FE26FF"/>
    <w:rsid w:val="45793FFB"/>
    <w:rsid w:val="45B835DB"/>
    <w:rsid w:val="5242335E"/>
    <w:rsid w:val="548524D6"/>
    <w:rsid w:val="549A49A2"/>
    <w:rsid w:val="5AF16DC2"/>
    <w:rsid w:val="5BBB0887"/>
    <w:rsid w:val="65C06E39"/>
    <w:rsid w:val="6844784A"/>
    <w:rsid w:val="685619B5"/>
    <w:rsid w:val="685C168C"/>
    <w:rsid w:val="6B4441D6"/>
    <w:rsid w:val="6CF6746B"/>
    <w:rsid w:val="707445B4"/>
    <w:rsid w:val="72464FB1"/>
    <w:rsid w:val="7A96651C"/>
    <w:rsid w:val="7C164371"/>
    <w:rsid w:val="9B3F31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99"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Autospacing="0" w:afterAutospacing="0" w:line="600" w:lineRule="exact"/>
      <w:ind w:firstLine="803" w:firstLineChars="200"/>
      <w:outlineLvl w:val="2"/>
    </w:pPr>
    <w:rPr>
      <w:b/>
      <w:kern w:val="0"/>
      <w:sz w:val="30"/>
      <w:szCs w:val="20"/>
    </w:rPr>
  </w:style>
  <w:style w:type="paragraph" w:styleId="5">
    <w:name w:val="heading 4"/>
    <w:basedOn w:val="1"/>
    <w:next w:val="1"/>
    <w:qFormat/>
    <w:uiPriority w:val="0"/>
    <w:pPr>
      <w:keepNext/>
      <w:keepLines/>
      <w:spacing w:beforeLines="0" w:beforeAutospacing="0" w:afterLines="0" w:afterAutospacing="0" w:line="600" w:lineRule="exact"/>
      <w:ind w:firstLine="803" w:firstLineChars="200"/>
      <w:jc w:val="left"/>
      <w:outlineLvl w:val="3"/>
    </w:pPr>
    <w:rPr>
      <w:rFonts w:ascii="Times New Roman" w:hAnsi="Times New Roman" w:eastAsia="楷体_GB2312"/>
      <w:b/>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6">
    <w:name w:val="List Bullet"/>
    <w:basedOn w:val="1"/>
    <w:qFormat/>
    <w:uiPriority w:val="0"/>
    <w:pPr>
      <w:numPr>
        <w:ilvl w:val="0"/>
        <w:numId w:val="1"/>
      </w:numPr>
    </w:pPr>
  </w:style>
  <w:style w:type="paragraph" w:styleId="7">
    <w:name w:val="annotation text"/>
    <w:basedOn w:val="1"/>
    <w:semiHidden/>
    <w:qFormat/>
    <w:uiPriority w:val="0"/>
    <w:pPr>
      <w:spacing w:line="520" w:lineRule="exact"/>
      <w:ind w:firstLine="480" w:firstLineChars="200"/>
      <w:jc w:val="left"/>
    </w:pPr>
    <w:rPr>
      <w:sz w:val="24"/>
    </w:rPr>
  </w:style>
  <w:style w:type="paragraph" w:styleId="8">
    <w:name w:val="Body Text"/>
    <w:basedOn w:val="1"/>
    <w:unhideWhenUsed/>
    <w:qFormat/>
    <w:uiPriority w:val="0"/>
    <w:pPr>
      <w:spacing w:after="120"/>
    </w:pPr>
    <w:rPr>
      <w:rFonts w:ascii="Calibri" w:hAnsi="Calibri"/>
      <w:szCs w:val="22"/>
    </w:rPr>
  </w:style>
  <w:style w:type="paragraph" w:styleId="9">
    <w:name w:val="Body Text Indent"/>
    <w:basedOn w:val="1"/>
    <w:next w:val="1"/>
    <w:qFormat/>
    <w:uiPriority w:val="0"/>
    <w:pPr>
      <w:spacing w:after="120"/>
      <w:ind w:left="420" w:leftChars="200"/>
    </w:pPr>
    <w:rPr>
      <w:kern w:val="0"/>
      <w:sz w:val="20"/>
    </w:rPr>
  </w:style>
  <w:style w:type="paragraph" w:styleId="10">
    <w:name w:val="List 2"/>
    <w:basedOn w:val="1"/>
    <w:qFormat/>
    <w:uiPriority w:val="0"/>
    <w:pPr>
      <w:snapToGrid w:val="0"/>
      <w:jc w:val="center"/>
    </w:pPr>
    <w:rPr>
      <w:rFonts w:ascii="宋体"/>
    </w:rPr>
  </w:style>
  <w:style w:type="paragraph" w:styleId="11">
    <w:name w:val="Plain Text"/>
    <w:basedOn w:val="1"/>
    <w:qFormat/>
    <w:uiPriority w:val="0"/>
    <w:rPr>
      <w:rFonts w:ascii="宋体" w:hAnsi="Courier New"/>
      <w:kern w:val="0"/>
      <w:sz w:val="20"/>
      <w:szCs w:val="21"/>
    </w:rPr>
  </w:style>
  <w:style w:type="paragraph" w:styleId="12">
    <w:name w:val="footer"/>
    <w:basedOn w:val="1"/>
    <w:next w:val="1"/>
    <w:qFormat/>
    <w:uiPriority w:val="0"/>
    <w:pPr>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semiHidden/>
    <w:qFormat/>
    <w:uiPriority w:val="0"/>
  </w:style>
  <w:style w:type="paragraph" w:styleId="15">
    <w:name w:val="List"/>
    <w:basedOn w:val="1"/>
    <w:qFormat/>
    <w:uiPriority w:val="0"/>
    <w:pPr>
      <w:spacing w:line="320" w:lineRule="exact"/>
      <w:jc w:val="center"/>
    </w:pPr>
    <w:rPr>
      <w:sz w:val="20"/>
    </w:rPr>
  </w:style>
  <w:style w:type="paragraph" w:styleId="16">
    <w:name w:val="Body Text Indent 3"/>
    <w:basedOn w:val="1"/>
    <w:unhideWhenUsed/>
    <w:qFormat/>
    <w:uiPriority w:val="99"/>
    <w:pPr>
      <w:spacing w:after="120"/>
      <w:ind w:left="420" w:leftChars="200"/>
    </w:pPr>
    <w:rPr>
      <w:kern w:val="0"/>
      <w:sz w:val="16"/>
      <w:szCs w:val="16"/>
    </w:rPr>
  </w:style>
  <w:style w:type="paragraph" w:styleId="17">
    <w:name w:val="Body Text First Indent"/>
    <w:basedOn w:val="8"/>
    <w:qFormat/>
    <w:uiPriority w:val="0"/>
    <w:pPr>
      <w:autoSpaceDE w:val="0"/>
      <w:autoSpaceDN w:val="0"/>
      <w:adjustRightInd w:val="0"/>
      <w:spacing w:line="360" w:lineRule="auto"/>
      <w:ind w:firstLine="420"/>
      <w:jc w:val="left"/>
      <w:textAlignment w:val="baseline"/>
    </w:pPr>
    <w:rPr>
      <w:rFonts w:ascii="宋体" w:hAnsi="Times New Roman"/>
      <w:b/>
      <w:bCs/>
      <w:color w:val="000000"/>
      <w:kern w:val="0"/>
      <w:position w:val="-6"/>
      <w:sz w:val="24"/>
      <w:szCs w:val="20"/>
    </w:rPr>
  </w:style>
  <w:style w:type="paragraph" w:styleId="18">
    <w:name w:val="Body Text First Indent 2"/>
    <w:basedOn w:val="9"/>
    <w:qFormat/>
    <w:uiPriority w:val="0"/>
    <w:pPr>
      <w:ind w:firstLine="420" w:firstLineChars="200"/>
    </w:pPr>
  </w:style>
  <w:style w:type="table" w:styleId="20">
    <w:name w:val="Table Grid"/>
    <w:basedOn w:val="1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2">
    <w:name w:val="annotation reference"/>
    <w:semiHidden/>
    <w:qFormat/>
    <w:uiPriority w:val="99"/>
    <w:rPr>
      <w:sz w:val="21"/>
      <w:szCs w:val="21"/>
    </w:rPr>
  </w:style>
  <w:style w:type="paragraph" w:customStyle="1" w:styleId="23">
    <w:name w:val="p0"/>
    <w:basedOn w:val="1"/>
    <w:qFormat/>
    <w:uiPriority w:val="99"/>
    <w:pPr>
      <w:widowControl/>
    </w:pPr>
    <w:rPr>
      <w:kern w:val="0"/>
      <w:szCs w:val="21"/>
    </w:rPr>
  </w:style>
  <w:style w:type="paragraph" w:customStyle="1" w:styleId="24">
    <w:name w:val="xl36"/>
    <w:basedOn w:val="1"/>
    <w:qFormat/>
    <w:uiPriority w:val="0"/>
    <w:pPr>
      <w:widowControl/>
      <w:pBdr>
        <w:bottom w:val="single" w:color="auto" w:sz="4" w:space="0"/>
      </w:pBdr>
      <w:spacing w:before="100" w:beforeAutospacing="1" w:after="100" w:afterAutospacing="1"/>
      <w:jc w:val="center"/>
    </w:pPr>
    <w:rPr>
      <w:rFonts w:ascii="宋体" w:hAnsi="宋体"/>
      <w:kern w:val="0"/>
      <w:sz w:val="24"/>
      <w:szCs w:val="20"/>
    </w:rPr>
  </w:style>
  <w:style w:type="paragraph" w:customStyle="1" w:styleId="25">
    <w:name w:val="xl40"/>
    <w:basedOn w:val="1"/>
    <w:qFormat/>
    <w:uiPriority w:val="0"/>
    <w:pPr>
      <w:widowControl/>
      <w:spacing w:before="100" w:beforeAutospacing="1" w:after="100" w:afterAutospacing="1"/>
      <w:jc w:val="center"/>
    </w:pPr>
    <w:rPr>
      <w:rFonts w:ascii="宋体" w:hAnsi="宋体" w:cs="宋体"/>
      <w:kern w:val="0"/>
      <w:sz w:val="16"/>
      <w:szCs w:val="16"/>
    </w:rPr>
  </w:style>
  <w:style w:type="paragraph" w:customStyle="1" w:styleId="26">
    <w:name w:val="表头"/>
    <w:qFormat/>
    <w:uiPriority w:val="0"/>
    <w:pPr>
      <w:adjustRightInd w:val="0"/>
      <w:snapToGrid w:val="0"/>
      <w:spacing w:line="400" w:lineRule="exact"/>
      <w:jc w:val="center"/>
    </w:pPr>
    <w:rPr>
      <w:rFonts w:ascii="Times New Roman" w:hAnsi="Times New Roman" w:eastAsia="仿宋_GB2312" w:cs="Times New Roman"/>
      <w:b/>
      <w:sz w:val="28"/>
      <w:lang w:val="en-US" w:eastAsia="zh-CN" w:bidi="ar-SA"/>
    </w:rPr>
  </w:style>
  <w:style w:type="paragraph" w:customStyle="1" w:styleId="27">
    <w:name w:val="wxh正文"/>
    <w:basedOn w:val="1"/>
    <w:qFormat/>
    <w:uiPriority w:val="0"/>
    <w:pPr>
      <w:widowControl w:val="0"/>
      <w:spacing w:line="500" w:lineRule="exact"/>
      <w:ind w:firstLine="200" w:firstLineChars="200"/>
      <w:jc w:val="both"/>
    </w:pPr>
    <w:rPr>
      <w:rFonts w:ascii="Times New Roman" w:hAnsi="Times New Roman" w:eastAsia="仿宋_GB2312"/>
      <w:kern w:val="2"/>
      <w:sz w:val="28"/>
    </w:rPr>
  </w:style>
  <w:style w:type="paragraph" w:customStyle="1" w:styleId="28">
    <w:name w:val="图名"/>
    <w:basedOn w:val="1"/>
    <w:qFormat/>
    <w:uiPriority w:val="0"/>
    <w:pPr>
      <w:spacing w:line="400" w:lineRule="exact"/>
      <w:ind w:firstLine="0" w:firstLineChars="0"/>
      <w:jc w:val="center"/>
    </w:pPr>
    <w:rPr>
      <w:b/>
      <w:kern w:val="0"/>
      <w:szCs w:val="20"/>
    </w:rPr>
  </w:style>
  <w:style w:type="paragraph" w:customStyle="1" w:styleId="29">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30">
    <w:name w:val="【表头】"/>
    <w:basedOn w:val="1"/>
    <w:qFormat/>
    <w:uiPriority w:val="0"/>
    <w:pPr>
      <w:spacing w:line="460" w:lineRule="exact"/>
      <w:jc w:val="center"/>
    </w:pPr>
    <w:rPr>
      <w:rFonts w:ascii="等线" w:hAnsi="等线" w:eastAsia="黑体" w:cs="宋体"/>
    </w:rPr>
  </w:style>
  <w:style w:type="paragraph" w:customStyle="1" w:styleId="31">
    <w:name w:val="表格1"/>
    <w:basedOn w:val="1"/>
    <w:qFormat/>
    <w:uiPriority w:val="0"/>
    <w:pPr>
      <w:adjustRightInd w:val="0"/>
      <w:spacing w:line="300" w:lineRule="auto"/>
      <w:jc w:val="center"/>
      <w:textAlignment w:val="baseline"/>
    </w:pPr>
    <w:rPr>
      <w:rFonts w:ascii="宋体" w:cs="Times New Roman"/>
      <w:kern w:val="0"/>
      <w:sz w:val="21"/>
      <w:szCs w:val="20"/>
    </w:rPr>
  </w:style>
  <w:style w:type="character" w:customStyle="1" w:styleId="32">
    <w:name w:val="font01"/>
    <w:basedOn w:val="2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oleObject" Target="embeddings/oleObject1.bin"/><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33951</Words>
  <Characters>41999</Characters>
  <Lines>0</Lines>
  <Paragraphs>0</Paragraphs>
  <TotalTime>32</TotalTime>
  <ScaleCrop>false</ScaleCrop>
  <LinksUpToDate>false</LinksUpToDate>
  <CharactersWithSpaces>42682</CharactersWithSpaces>
  <Application>WPS Office_11.8.2.10587_F1E327BC-269C-435d-A152-05C5408002CA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2021-01-15T08:58:00Z</dcterms:created>
  <dc:creator>W.婷</dc:creator>
  <cp:lastModifiedBy>微信用户</cp:lastModifiedBy>
  <dcterms:modified xsi:type="dcterms:W3CDTF">2023-09-07T11:22:13Z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2052-11.8.2.10587</vt:lpwstr>
  </property>
  <property fmtid="{D5CDD505-2E9C-101B-9397-08002B2CF9AE}" pid="3" name="ICV">
    <vt:lpwstr>0E2577D8585E4056B41ED5DBF9CBF940_12</vt:lpwstr>
  </property>
</Properties>
</file>